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山西太钢保税综合服务有限公司信息公开</w:t>
      </w:r>
    </w:p>
    <w:p>
      <w:pPr>
        <w:spacing w:after="159" w:afterLines="50"/>
        <w:jc w:val="center"/>
        <w:rPr>
          <w:rFonts w:ascii="楷体_GB2312" w:eastAsia="楷体_GB2312"/>
          <w:sz w:val="32"/>
          <w:szCs w:val="32"/>
        </w:rPr>
      </w:pPr>
      <w:bookmarkStart w:id="0" w:name="_Hlk87362038"/>
      <w:r>
        <w:rPr>
          <w:rFonts w:hint="eastAsia" w:ascii="楷体_GB2312" w:eastAsia="楷体_GB2312"/>
          <w:sz w:val="32"/>
          <w:szCs w:val="32"/>
        </w:rPr>
        <w:t>2</w:t>
      </w:r>
      <w:r>
        <w:rPr>
          <w:rFonts w:ascii="楷体_GB2312" w:eastAsia="楷体_GB2312"/>
          <w:sz w:val="32"/>
          <w:szCs w:val="32"/>
        </w:rPr>
        <w:t>023</w:t>
      </w:r>
      <w:r>
        <w:rPr>
          <w:rFonts w:hint="eastAsia" w:ascii="楷体_GB2312" w:eastAsia="楷体_GB2312"/>
          <w:sz w:val="32"/>
          <w:szCs w:val="32"/>
        </w:rPr>
        <w:t>年全年报</w:t>
      </w:r>
      <w:bookmarkEnd w:id="0"/>
      <w:bookmarkStart w:id="1" w:name="_GoBack"/>
      <w:bookmarkEnd w:id="1"/>
    </w:p>
    <w:tbl>
      <w:tblPr>
        <w:tblStyle w:val="5"/>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jc w:val="center"/>
        </w:trPr>
        <w:tc>
          <w:tcPr>
            <w:tcW w:w="8931" w:type="dxa"/>
          </w:tcPr>
          <w:p>
            <w:pPr>
              <w:spacing w:line="540" w:lineRule="exact"/>
              <w:ind w:firstLine="560" w:firstLineChars="200"/>
              <w:jc w:val="left"/>
              <w:rPr>
                <w:rFonts w:ascii="楷体" w:hAnsi="楷体" w:eastAsia="楷体" w:cs="仿宋"/>
                <w:sz w:val="28"/>
                <w:szCs w:val="28"/>
              </w:rPr>
            </w:pPr>
            <w:r>
              <w:rPr>
                <w:rFonts w:hint="eastAsia" w:ascii="楷体" w:hAnsi="楷体" w:eastAsia="楷体" w:cs="仿宋"/>
                <w:sz w:val="28"/>
                <w:szCs w:val="28"/>
              </w:rPr>
              <w:t>本公司及董事会全体成员保证信息披露内容的真实、准确、完整，没有虚假记载、误导性陈述或重大遗漏。</w:t>
            </w:r>
          </w:p>
        </w:tc>
      </w:tr>
    </w:tbl>
    <w:p>
      <w:pPr>
        <w:rPr>
          <w:rFonts w:ascii="黑体" w:hAnsi="黑体" w:eastAsia="黑体"/>
          <w:bCs/>
          <w:sz w:val="18"/>
          <w:szCs w:val="18"/>
        </w:rPr>
      </w:pPr>
    </w:p>
    <w:p>
      <w:pPr>
        <w:ind w:firstLine="600" w:firstLineChars="200"/>
        <w:rPr>
          <w:rFonts w:ascii="黑体" w:hAnsi="黑体" w:eastAsia="黑体"/>
          <w:bCs/>
          <w:sz w:val="30"/>
          <w:szCs w:val="30"/>
        </w:rPr>
      </w:pPr>
      <w:r>
        <w:rPr>
          <w:rFonts w:hint="eastAsia" w:ascii="黑体" w:hAnsi="黑体" w:eastAsia="黑体"/>
          <w:bCs/>
          <w:sz w:val="30"/>
          <w:szCs w:val="30"/>
        </w:rPr>
        <w:t>一、企业基本情况</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中文名称：山西太钢保税综合服务有限公司，简称：太钢保税</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法定代表人：丛双龙</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股东名称：山西太钢不锈钢股份有限公司</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注册地址：太原武宿综合保税区一号路一号</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办公地址：太原市小店区庆云街1</w:t>
      </w:r>
      <w:r>
        <w:rPr>
          <w:rFonts w:ascii="仿宋_GB2312" w:hAnsi="仿宋" w:eastAsia="仿宋_GB2312" w:cs="仿宋"/>
          <w:sz w:val="30"/>
          <w:szCs w:val="30"/>
        </w:rPr>
        <w:t>9</w:t>
      </w:r>
      <w:r>
        <w:rPr>
          <w:rFonts w:hint="eastAsia" w:ascii="仿宋_GB2312" w:hAnsi="仿宋" w:eastAsia="仿宋_GB2312" w:cs="仿宋"/>
          <w:sz w:val="30"/>
          <w:szCs w:val="30"/>
        </w:rPr>
        <w:t>号太原武宿综合保税区B座4</w:t>
      </w:r>
      <w:r>
        <w:rPr>
          <w:rFonts w:ascii="仿宋_GB2312" w:hAnsi="仿宋" w:eastAsia="仿宋_GB2312" w:cs="仿宋"/>
          <w:sz w:val="30"/>
          <w:szCs w:val="30"/>
        </w:rPr>
        <w:t>07</w:t>
      </w:r>
      <w:r>
        <w:rPr>
          <w:rFonts w:hint="eastAsia" w:ascii="仿宋_GB2312" w:hAnsi="仿宋" w:eastAsia="仿宋_GB2312" w:cs="仿宋"/>
          <w:sz w:val="30"/>
          <w:szCs w:val="30"/>
        </w:rPr>
        <w:t>室</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邮政编码：</w:t>
      </w:r>
      <w:r>
        <w:rPr>
          <w:rFonts w:ascii="仿宋_GB2312" w:hAnsi="仿宋" w:eastAsia="仿宋_GB2312" w:cs="仿宋"/>
          <w:sz w:val="30"/>
          <w:szCs w:val="30"/>
        </w:rPr>
        <w:t>030032</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公司简介：山西太钢保税综合服务有限公司</w:t>
      </w:r>
      <w:r>
        <w:rPr>
          <w:rFonts w:ascii="仿宋_GB2312" w:hAnsi="仿宋" w:eastAsia="仿宋_GB2312" w:cs="仿宋"/>
          <w:sz w:val="30"/>
          <w:szCs w:val="30"/>
        </w:rPr>
        <w:t>(简称太钢保税公司)是山西太钢不锈钢股份有限公司的全资子公司，于2013 年8 月26 日注册成立，注册资本人民币1. 2 亿元。</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山西太钢保税综合服务有限公司</w:t>
      </w:r>
      <w:r>
        <w:rPr>
          <w:rFonts w:hint="eastAsia" w:ascii="仿宋_GB2312" w:hAnsi="仿宋" w:eastAsia="仿宋_GB2312" w:cs="仿宋"/>
          <w:sz w:val="30"/>
          <w:szCs w:val="30"/>
          <w:lang w:val="en-US" w:eastAsia="zh-CN"/>
        </w:rPr>
        <w:t>保税</w:t>
      </w:r>
      <w:r>
        <w:rPr>
          <w:rFonts w:hint="eastAsia" w:ascii="仿宋_GB2312" w:hAnsi="仿宋" w:eastAsia="仿宋_GB2312" w:cs="仿宋"/>
          <w:sz w:val="30"/>
          <w:szCs w:val="30"/>
        </w:rPr>
        <w:t>仓储基地项目在太原武宿综合保税区内，面积</w:t>
      </w:r>
      <w:r>
        <w:rPr>
          <w:rFonts w:ascii="仿宋_GB2312" w:hAnsi="仿宋" w:eastAsia="仿宋_GB2312" w:cs="仿宋"/>
          <w:sz w:val="30"/>
          <w:szCs w:val="30"/>
        </w:rPr>
        <w:t>33360平方米，项目主要内容有重质保税仓库</w:t>
      </w:r>
      <w:r>
        <w:rPr>
          <w:rFonts w:hint="eastAsia" w:ascii="仿宋_GB2312" w:hAnsi="仿宋" w:eastAsia="仿宋_GB2312" w:cs="仿宋"/>
          <w:sz w:val="30"/>
          <w:szCs w:val="30"/>
          <w:lang w:eastAsia="zh-CN"/>
        </w:rPr>
        <w:t>、</w:t>
      </w:r>
      <w:r>
        <w:rPr>
          <w:rFonts w:hint="eastAsia" w:ascii="仿宋_GB2312" w:hAnsi="仿宋" w:eastAsia="仿宋_GB2312" w:cs="仿宋"/>
          <w:sz w:val="30"/>
          <w:szCs w:val="30"/>
          <w:lang w:val="en-US" w:eastAsia="zh-CN"/>
        </w:rPr>
        <w:t>新能源发电机组核心部件基地项目</w:t>
      </w:r>
      <w:r>
        <w:rPr>
          <w:rFonts w:ascii="仿宋_GB2312" w:hAnsi="仿宋" w:eastAsia="仿宋_GB2312" w:cs="仿宋"/>
          <w:sz w:val="30"/>
          <w:szCs w:val="30"/>
        </w:rPr>
        <w:t>。</w:t>
      </w:r>
      <w:r>
        <w:rPr>
          <w:rFonts w:hint="eastAsia" w:ascii="仿宋_GB2312" w:hAnsi="仿宋" w:eastAsia="仿宋_GB2312" w:cs="仿宋"/>
          <w:sz w:val="30"/>
          <w:szCs w:val="30"/>
        </w:rPr>
        <w:t>目前主要业务为钢材贸易、代理报关、</w:t>
      </w:r>
      <w:r>
        <w:rPr>
          <w:rFonts w:hint="eastAsia" w:ascii="仿宋_GB2312" w:hAnsi="仿宋" w:eastAsia="仿宋_GB2312" w:cs="仿宋"/>
          <w:sz w:val="30"/>
          <w:szCs w:val="30"/>
          <w:lang w:val="en-US" w:eastAsia="zh-CN"/>
        </w:rPr>
        <w:t>租船</w:t>
      </w:r>
      <w:r>
        <w:rPr>
          <w:rFonts w:hint="eastAsia" w:ascii="仿宋_GB2312" w:hAnsi="仿宋" w:eastAsia="仿宋_GB2312" w:cs="仿宋"/>
          <w:sz w:val="30"/>
          <w:szCs w:val="30"/>
        </w:rPr>
        <w:t>订舱及厂房租赁。</w:t>
      </w:r>
    </w:p>
    <w:p>
      <w:pPr>
        <w:ind w:firstLine="600" w:firstLineChars="200"/>
        <w:rPr>
          <w:rFonts w:ascii="黑体" w:hAnsi="黑体" w:eastAsia="黑体"/>
          <w:bCs/>
          <w:sz w:val="30"/>
          <w:szCs w:val="30"/>
        </w:rPr>
      </w:pPr>
      <w:r>
        <w:rPr>
          <w:rFonts w:hint="eastAsia" w:ascii="黑体" w:hAnsi="黑体" w:eastAsia="黑体"/>
          <w:bCs/>
          <w:sz w:val="30"/>
          <w:szCs w:val="30"/>
        </w:rPr>
        <w:t>二、公司治理及管理架构、重要人事变动、企业负责人薪酬水平情况</w:t>
      </w:r>
    </w:p>
    <w:p>
      <w:pPr>
        <w:widowControl/>
        <w:spacing w:line="540" w:lineRule="exact"/>
        <w:ind w:firstLine="602" w:firstLineChars="200"/>
        <w:jc w:val="left"/>
        <w:rPr>
          <w:rFonts w:ascii="仿宋_GB2312" w:hAnsi="仿宋" w:eastAsia="仿宋_GB2312" w:cs="仿宋"/>
          <w:b/>
          <w:bCs/>
          <w:sz w:val="30"/>
          <w:szCs w:val="30"/>
        </w:rPr>
      </w:pPr>
      <w:r>
        <w:rPr>
          <w:rFonts w:hint="eastAsia" w:ascii="Calibri" w:hAnsi="Calibri" w:eastAsia="仿宋" w:cs="Calibri"/>
          <w:b/>
          <w:bCs/>
          <w:sz w:val="30"/>
          <w:szCs w:val="30"/>
        </w:rPr>
        <w:t>（</w:t>
      </w:r>
      <w:r>
        <w:rPr>
          <w:rFonts w:hint="eastAsia" w:ascii="仿宋_GB2312" w:hAnsi="仿宋" w:eastAsia="仿宋_GB2312" w:cs="仿宋"/>
          <w:b/>
          <w:bCs/>
          <w:sz w:val="30"/>
          <w:szCs w:val="30"/>
        </w:rPr>
        <w:t>一）公司治理及管理架构</w:t>
      </w:r>
    </w:p>
    <w:p>
      <w:pPr>
        <w:widowControl/>
        <w:spacing w:line="540" w:lineRule="exact"/>
        <w:ind w:firstLine="600" w:firstLineChars="200"/>
        <w:jc w:val="left"/>
        <w:rPr>
          <w:rFonts w:ascii="仿宋_GB2312" w:hAnsi="仿宋" w:eastAsia="仿宋_GB2312" w:cs="仿宋"/>
          <w:color w:val="auto"/>
          <w:sz w:val="30"/>
          <w:szCs w:val="30"/>
        </w:rPr>
      </w:pPr>
      <w:r>
        <w:rPr>
          <w:rFonts w:hint="eastAsia" w:ascii="仿宋_GB2312" w:hAnsi="仿宋" w:eastAsia="仿宋_GB2312" w:cs="仿宋"/>
          <w:color w:val="auto"/>
          <w:sz w:val="30"/>
          <w:szCs w:val="30"/>
        </w:rPr>
        <w:t>太钢保税公司</w:t>
      </w:r>
      <w:r>
        <w:rPr>
          <w:rFonts w:hint="eastAsia" w:ascii="仿宋_GB2312" w:hAnsi="仿宋" w:eastAsia="仿宋_GB2312" w:cs="仿宋"/>
          <w:color w:val="auto"/>
          <w:sz w:val="30"/>
          <w:szCs w:val="30"/>
          <w:lang w:val="en-US" w:eastAsia="zh-CN"/>
        </w:rPr>
        <w:t>没有</w:t>
      </w:r>
      <w:r>
        <w:rPr>
          <w:rFonts w:hint="eastAsia" w:ascii="仿宋_GB2312" w:hAnsi="仿宋" w:eastAsia="仿宋_GB2312" w:cs="仿宋"/>
          <w:color w:val="auto"/>
          <w:sz w:val="30"/>
          <w:szCs w:val="30"/>
        </w:rPr>
        <w:t>设立董事会、监事会，</w:t>
      </w:r>
      <w:r>
        <w:rPr>
          <w:rFonts w:hint="eastAsia" w:ascii="仿宋_GB2312" w:hAnsi="仿宋" w:eastAsia="仿宋_GB2312" w:cs="仿宋"/>
          <w:color w:val="auto"/>
          <w:sz w:val="30"/>
          <w:szCs w:val="30"/>
          <w:lang w:val="en-US" w:eastAsia="zh-CN"/>
        </w:rPr>
        <w:t>设立执行</w:t>
      </w:r>
      <w:r>
        <w:rPr>
          <w:rFonts w:hint="eastAsia" w:ascii="仿宋_GB2312" w:hAnsi="仿宋" w:eastAsia="仿宋_GB2312" w:cs="仿宋"/>
          <w:color w:val="auto"/>
          <w:sz w:val="30"/>
          <w:szCs w:val="30"/>
        </w:rPr>
        <w:t>董事</w:t>
      </w:r>
      <w:r>
        <w:rPr>
          <w:rFonts w:ascii="仿宋_GB2312" w:hAnsi="仿宋" w:eastAsia="仿宋_GB2312" w:cs="仿宋"/>
          <w:color w:val="auto"/>
          <w:sz w:val="30"/>
          <w:szCs w:val="30"/>
        </w:rPr>
        <w:t>1</w:t>
      </w:r>
      <w:r>
        <w:rPr>
          <w:rFonts w:hint="eastAsia" w:ascii="仿宋_GB2312" w:hAnsi="仿宋" w:eastAsia="仿宋_GB2312" w:cs="仿宋"/>
          <w:color w:val="auto"/>
          <w:sz w:val="30"/>
          <w:szCs w:val="30"/>
        </w:rPr>
        <w:t>人，监事</w:t>
      </w:r>
      <w:r>
        <w:rPr>
          <w:rFonts w:ascii="仿宋_GB2312" w:hAnsi="仿宋" w:eastAsia="仿宋_GB2312" w:cs="仿宋"/>
          <w:color w:val="auto"/>
          <w:sz w:val="30"/>
          <w:szCs w:val="30"/>
        </w:rPr>
        <w:t>1</w:t>
      </w:r>
      <w:r>
        <w:rPr>
          <w:rFonts w:hint="eastAsia" w:ascii="仿宋_GB2312" w:hAnsi="仿宋" w:eastAsia="仿宋_GB2312" w:cs="仿宋"/>
          <w:color w:val="auto"/>
          <w:sz w:val="30"/>
          <w:szCs w:val="30"/>
        </w:rPr>
        <w:t>人，总经理</w:t>
      </w:r>
      <w:r>
        <w:rPr>
          <w:rFonts w:ascii="仿宋_GB2312" w:hAnsi="仿宋" w:eastAsia="仿宋_GB2312" w:cs="仿宋"/>
          <w:color w:val="auto"/>
          <w:sz w:val="30"/>
          <w:szCs w:val="30"/>
        </w:rPr>
        <w:t>1</w:t>
      </w:r>
      <w:r>
        <w:rPr>
          <w:rFonts w:hint="eastAsia" w:ascii="仿宋_GB2312" w:hAnsi="仿宋" w:eastAsia="仿宋_GB2312" w:cs="仿宋"/>
          <w:color w:val="auto"/>
          <w:sz w:val="30"/>
          <w:szCs w:val="30"/>
        </w:rPr>
        <w:t>人，副经理</w:t>
      </w:r>
      <w:r>
        <w:rPr>
          <w:rFonts w:ascii="仿宋_GB2312" w:hAnsi="仿宋" w:eastAsia="仿宋_GB2312" w:cs="仿宋"/>
          <w:color w:val="auto"/>
          <w:sz w:val="30"/>
          <w:szCs w:val="30"/>
        </w:rPr>
        <w:t>0</w:t>
      </w:r>
      <w:r>
        <w:rPr>
          <w:rFonts w:hint="eastAsia" w:ascii="仿宋_GB2312" w:hAnsi="仿宋" w:eastAsia="仿宋_GB2312" w:cs="仿宋"/>
          <w:color w:val="auto"/>
          <w:sz w:val="30"/>
          <w:szCs w:val="30"/>
        </w:rPr>
        <w:t>人，下设综合部、运营部、市场部、财务部4个部门。</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组织机构图（图表）：</w:t>
      </w:r>
    </w:p>
    <w:p>
      <w:pPr>
        <w:widowControl/>
        <w:spacing w:line="540" w:lineRule="exact"/>
        <w:ind w:firstLine="602" w:firstLineChars="200"/>
        <w:jc w:val="left"/>
        <w:rPr>
          <w:rFonts w:ascii="仿宋_GB2312" w:hAnsi="仿宋" w:eastAsia="仿宋_GB2312" w:cs="仿宋"/>
          <w:sz w:val="30"/>
          <w:szCs w:val="30"/>
        </w:rPr>
      </w:pPr>
      <w:r>
        <w:rPr>
          <w:rFonts w:ascii="仿宋_GB2312" w:hAnsi="仿宋" w:eastAsia="仿宋_GB2312" w:cs="仿宋"/>
          <w:b/>
          <w:bCs/>
          <w:sz w:val="30"/>
          <w:szCs w:val="30"/>
        </w:rPr>
        <mc:AlternateContent>
          <mc:Choice Requires="wpg">
            <w:drawing>
              <wp:anchor distT="0" distB="0" distL="114300" distR="114300" simplePos="0" relativeHeight="251659264" behindDoc="0" locked="0" layoutInCell="1" allowOverlap="1">
                <wp:simplePos x="0" y="0"/>
                <wp:positionH relativeFrom="column">
                  <wp:posOffset>868680</wp:posOffset>
                </wp:positionH>
                <wp:positionV relativeFrom="paragraph">
                  <wp:posOffset>212090</wp:posOffset>
                </wp:positionV>
                <wp:extent cx="3638550" cy="3377565"/>
                <wp:effectExtent l="0" t="0" r="19050" b="13335"/>
                <wp:wrapTopAndBottom/>
                <wp:docPr id="1" name="组合 1"/>
                <wp:cNvGraphicFramePr/>
                <a:graphic xmlns:a="http://schemas.openxmlformats.org/drawingml/2006/main">
                  <a:graphicData uri="http://schemas.microsoft.com/office/word/2010/wordprocessingGroup">
                    <wpg:wgp>
                      <wpg:cNvGrpSpPr/>
                      <wpg:grpSpPr>
                        <a:xfrm>
                          <a:off x="0" y="0"/>
                          <a:ext cx="3638550" cy="3377565"/>
                          <a:chOff x="3330" y="2115"/>
                          <a:chExt cx="5565" cy="5355"/>
                        </a:xfrm>
                      </wpg:grpSpPr>
                      <wps:wsp>
                        <wps:cNvPr id="2" name="Rectangle 3"/>
                        <wps:cNvSpPr>
                          <a:spLocks noChangeArrowheads="1"/>
                        </wps:cNvSpPr>
                        <wps:spPr bwMode="auto">
                          <a:xfrm>
                            <a:off x="4500" y="2115"/>
                            <a:ext cx="2775" cy="555"/>
                          </a:xfrm>
                          <a:prstGeom prst="rect">
                            <a:avLst/>
                          </a:prstGeom>
                          <a:solidFill>
                            <a:srgbClr val="FFFFFF"/>
                          </a:solidFill>
                          <a:ln w="9525">
                            <a:solidFill>
                              <a:srgbClr val="000000"/>
                            </a:solidFill>
                            <a:miter lim="800000"/>
                          </a:ln>
                        </wps:spPr>
                        <wps:txbx>
                          <w:txbxContent>
                            <w:p>
                              <w:pPr>
                                <w:ind w:firstLine="840" w:firstLineChars="400"/>
                              </w:pPr>
                              <w:r>
                                <w:rPr>
                                  <w:rFonts w:hint="eastAsia"/>
                                </w:rPr>
                                <w:t>执行董事</w:t>
                              </w:r>
                            </w:p>
                          </w:txbxContent>
                        </wps:txbx>
                        <wps:bodyPr rot="0" vert="horz" wrap="square" lIns="91440" tIns="45720" rIns="91440" bIns="45720" anchor="t" anchorCtr="0" upright="1">
                          <a:noAutofit/>
                        </wps:bodyPr>
                      </wps:wsp>
                      <wps:wsp>
                        <wps:cNvPr id="3" name="Rectangle 4"/>
                        <wps:cNvSpPr>
                          <a:spLocks noChangeArrowheads="1"/>
                        </wps:cNvSpPr>
                        <wps:spPr bwMode="auto">
                          <a:xfrm>
                            <a:off x="4500" y="3360"/>
                            <a:ext cx="2775" cy="555"/>
                          </a:xfrm>
                          <a:prstGeom prst="rect">
                            <a:avLst/>
                          </a:prstGeom>
                          <a:solidFill>
                            <a:srgbClr val="FFFFFF"/>
                          </a:solidFill>
                          <a:ln w="9525">
                            <a:solidFill>
                              <a:srgbClr val="000000"/>
                            </a:solidFill>
                            <a:miter lim="800000"/>
                          </a:ln>
                        </wps:spPr>
                        <wps:txbx>
                          <w:txbxContent>
                            <w:p>
                              <w:pPr>
                                <w:ind w:firstLine="1050" w:firstLineChars="500"/>
                              </w:pPr>
                              <w:r>
                                <w:rPr>
                                  <w:rFonts w:hint="eastAsia"/>
                                </w:rPr>
                                <w:t>总经理</w:t>
                              </w:r>
                            </w:p>
                          </w:txbxContent>
                        </wps:txbx>
                        <wps:bodyPr rot="0" vert="horz" wrap="square" lIns="91440" tIns="45720" rIns="91440" bIns="45720" anchor="t" anchorCtr="0" upright="1">
                          <a:noAutofit/>
                        </wps:bodyPr>
                      </wps:wsp>
                      <wps:wsp>
                        <wps:cNvPr id="4" name="Rectangle 5"/>
                        <wps:cNvSpPr>
                          <a:spLocks noChangeArrowheads="1"/>
                        </wps:cNvSpPr>
                        <wps:spPr bwMode="auto">
                          <a:xfrm>
                            <a:off x="3330" y="4665"/>
                            <a:ext cx="630" cy="2760"/>
                          </a:xfrm>
                          <a:prstGeom prst="rect">
                            <a:avLst/>
                          </a:prstGeom>
                          <a:solidFill>
                            <a:srgbClr val="FFFFFF"/>
                          </a:solidFill>
                          <a:ln w="9525">
                            <a:solidFill>
                              <a:srgbClr val="000000"/>
                            </a:solidFill>
                            <a:miter lim="800000"/>
                          </a:ln>
                        </wps:spPr>
                        <wps:txbx>
                          <w:txbxContent>
                            <w:p/>
                            <w:p/>
                            <w:p/>
                            <w:p>
                              <w:r>
                                <w:rPr>
                                  <w:rFonts w:hint="eastAsia"/>
                                </w:rPr>
                                <w:t>运营部</w:t>
                              </w:r>
                            </w:p>
                          </w:txbxContent>
                        </wps:txbx>
                        <wps:bodyPr rot="0" vert="horz" wrap="square" lIns="91440" tIns="45720" rIns="91440" bIns="45720" anchor="t" anchorCtr="0" upright="1">
                          <a:noAutofit/>
                        </wps:bodyPr>
                      </wps:wsp>
                      <wps:wsp>
                        <wps:cNvPr id="5" name="Rectangle 6"/>
                        <wps:cNvSpPr>
                          <a:spLocks noChangeArrowheads="1"/>
                        </wps:cNvSpPr>
                        <wps:spPr bwMode="auto">
                          <a:xfrm>
                            <a:off x="4905" y="4680"/>
                            <a:ext cx="630" cy="2760"/>
                          </a:xfrm>
                          <a:prstGeom prst="rect">
                            <a:avLst/>
                          </a:prstGeom>
                          <a:solidFill>
                            <a:srgbClr val="FFFFFF"/>
                          </a:solidFill>
                          <a:ln w="9525">
                            <a:solidFill>
                              <a:srgbClr val="000000"/>
                            </a:solidFill>
                            <a:miter lim="800000"/>
                          </a:ln>
                        </wps:spPr>
                        <wps:txbx>
                          <w:txbxContent>
                            <w:p/>
                            <w:p/>
                            <w:p/>
                            <w:p>
                              <w:r>
                                <w:rPr>
                                  <w:rFonts w:hint="eastAsia"/>
                                </w:rPr>
                                <w:t>市场部</w:t>
                              </w:r>
                            </w:p>
                          </w:txbxContent>
                        </wps:txbx>
                        <wps:bodyPr rot="0" vert="horz" wrap="square" lIns="91440" tIns="45720" rIns="91440" bIns="45720" anchor="t" anchorCtr="0" upright="1">
                          <a:noAutofit/>
                        </wps:bodyPr>
                      </wps:wsp>
                      <wps:wsp>
                        <wps:cNvPr id="6" name="Rectangle 7"/>
                        <wps:cNvSpPr>
                          <a:spLocks noChangeArrowheads="1"/>
                        </wps:cNvSpPr>
                        <wps:spPr bwMode="auto">
                          <a:xfrm>
                            <a:off x="6720" y="4680"/>
                            <a:ext cx="630" cy="2760"/>
                          </a:xfrm>
                          <a:prstGeom prst="rect">
                            <a:avLst/>
                          </a:prstGeom>
                          <a:solidFill>
                            <a:srgbClr val="FFFFFF"/>
                          </a:solidFill>
                          <a:ln w="9525">
                            <a:solidFill>
                              <a:srgbClr val="000000"/>
                            </a:solidFill>
                            <a:miter lim="800000"/>
                          </a:ln>
                        </wps:spPr>
                        <wps:txbx>
                          <w:txbxContent>
                            <w:p/>
                            <w:p>
                              <w:pPr>
                                <w:rPr>
                                  <w:b/>
                                </w:rPr>
                              </w:pPr>
                            </w:p>
                            <w:p/>
                            <w:p>
                              <w:r>
                                <w:rPr>
                                  <w:rFonts w:hint="eastAsia"/>
                                </w:rPr>
                                <w:t>综合部</w:t>
                              </w:r>
                            </w:p>
                          </w:txbxContent>
                        </wps:txbx>
                        <wps:bodyPr rot="0" vert="horz" wrap="square" lIns="91440" tIns="45720" rIns="91440" bIns="45720" anchor="t" anchorCtr="0" upright="1">
                          <a:noAutofit/>
                        </wps:bodyPr>
                      </wps:wsp>
                      <wps:wsp>
                        <wps:cNvPr id="7" name="Rectangle 8"/>
                        <wps:cNvSpPr>
                          <a:spLocks noChangeArrowheads="1"/>
                        </wps:cNvSpPr>
                        <wps:spPr bwMode="auto">
                          <a:xfrm>
                            <a:off x="8265" y="4710"/>
                            <a:ext cx="630" cy="2760"/>
                          </a:xfrm>
                          <a:prstGeom prst="rect">
                            <a:avLst/>
                          </a:prstGeom>
                          <a:solidFill>
                            <a:srgbClr val="FFFFFF"/>
                          </a:solidFill>
                          <a:ln w="9525">
                            <a:solidFill>
                              <a:srgbClr val="000000"/>
                            </a:solidFill>
                            <a:miter lim="800000"/>
                          </a:ln>
                        </wps:spPr>
                        <wps:txbx>
                          <w:txbxContent>
                            <w:p/>
                            <w:p/>
                            <w:p/>
                            <w:p>
                              <w:r>
                                <w:rPr>
                                  <w:rFonts w:hint="eastAsia"/>
                                </w:rPr>
                                <w:t>财务部</w:t>
                              </w:r>
                            </w:p>
                          </w:txbxContent>
                        </wps:txbx>
                        <wps:bodyPr rot="0" vert="horz" wrap="square" lIns="91440" tIns="45720" rIns="91440" bIns="45720" anchor="t" anchorCtr="0" upright="1">
                          <a:noAutofit/>
                        </wps:bodyPr>
                      </wps:wsp>
                      <wps:wsp>
                        <wps:cNvPr id="8" name="AutoShape 9"/>
                        <wps:cNvCnPr>
                          <a:cxnSpLocks noChangeShapeType="1"/>
                        </wps:cNvCnPr>
                        <wps:spPr bwMode="auto">
                          <a:xfrm>
                            <a:off x="5895" y="2670"/>
                            <a:ext cx="0" cy="690"/>
                          </a:xfrm>
                          <a:prstGeom prst="straightConnector1">
                            <a:avLst/>
                          </a:prstGeom>
                          <a:noFill/>
                          <a:ln w="9525">
                            <a:solidFill>
                              <a:srgbClr val="000000"/>
                            </a:solidFill>
                            <a:round/>
                            <a:tailEnd type="triangle" w="med" len="med"/>
                          </a:ln>
                        </wps:spPr>
                        <wps:bodyPr/>
                      </wps:wsp>
                      <wps:wsp>
                        <wps:cNvPr id="9" name="AutoShape 10"/>
                        <wps:cNvCnPr>
                          <a:cxnSpLocks noChangeShapeType="1"/>
                        </wps:cNvCnPr>
                        <wps:spPr bwMode="auto">
                          <a:xfrm>
                            <a:off x="3675" y="4365"/>
                            <a:ext cx="0" cy="300"/>
                          </a:xfrm>
                          <a:prstGeom prst="straightConnector1">
                            <a:avLst/>
                          </a:prstGeom>
                          <a:noFill/>
                          <a:ln w="9525">
                            <a:solidFill>
                              <a:srgbClr val="000000"/>
                            </a:solidFill>
                            <a:round/>
                            <a:tailEnd type="triangle" w="med" len="med"/>
                          </a:ln>
                        </wps:spPr>
                        <wps:bodyPr/>
                      </wps:wsp>
                      <wps:wsp>
                        <wps:cNvPr id="10" name="AutoShape 11"/>
                        <wps:cNvCnPr>
                          <a:cxnSpLocks noChangeShapeType="1"/>
                        </wps:cNvCnPr>
                        <wps:spPr bwMode="auto">
                          <a:xfrm>
                            <a:off x="5415" y="4395"/>
                            <a:ext cx="0" cy="300"/>
                          </a:xfrm>
                          <a:prstGeom prst="straightConnector1">
                            <a:avLst/>
                          </a:prstGeom>
                          <a:noFill/>
                          <a:ln w="9525">
                            <a:solidFill>
                              <a:srgbClr val="000000"/>
                            </a:solidFill>
                            <a:round/>
                            <a:tailEnd type="triangle" w="med" len="med"/>
                          </a:ln>
                        </wps:spPr>
                        <wps:bodyPr/>
                      </wps:wsp>
                      <wps:wsp>
                        <wps:cNvPr id="11" name="AutoShape 12"/>
                        <wps:cNvCnPr>
                          <a:cxnSpLocks noChangeShapeType="1"/>
                        </wps:cNvCnPr>
                        <wps:spPr bwMode="auto">
                          <a:xfrm>
                            <a:off x="7020" y="4380"/>
                            <a:ext cx="0" cy="300"/>
                          </a:xfrm>
                          <a:prstGeom prst="straightConnector1">
                            <a:avLst/>
                          </a:prstGeom>
                          <a:noFill/>
                          <a:ln w="9525">
                            <a:solidFill>
                              <a:srgbClr val="000000"/>
                            </a:solidFill>
                            <a:round/>
                            <a:tailEnd type="triangle" w="med" len="med"/>
                          </a:ln>
                        </wps:spPr>
                        <wps:bodyPr/>
                      </wps:wsp>
                      <wps:wsp>
                        <wps:cNvPr id="12" name="AutoShape 13"/>
                        <wps:cNvCnPr>
                          <a:cxnSpLocks noChangeShapeType="1"/>
                        </wps:cNvCnPr>
                        <wps:spPr bwMode="auto">
                          <a:xfrm>
                            <a:off x="8580" y="4380"/>
                            <a:ext cx="0" cy="300"/>
                          </a:xfrm>
                          <a:prstGeom prst="straightConnector1">
                            <a:avLst/>
                          </a:prstGeom>
                          <a:noFill/>
                          <a:ln w="9525">
                            <a:solidFill>
                              <a:srgbClr val="000000"/>
                            </a:solidFill>
                            <a:round/>
                            <a:tailEnd type="triangle" w="med" len="med"/>
                          </a:ln>
                        </wps:spPr>
                        <wps:bodyPr/>
                      </wps:wsp>
                      <wps:wsp>
                        <wps:cNvPr id="13" name="AutoShape 14"/>
                        <wps:cNvCnPr>
                          <a:cxnSpLocks noChangeShapeType="1"/>
                        </wps:cNvCnPr>
                        <wps:spPr bwMode="auto">
                          <a:xfrm>
                            <a:off x="3675" y="4365"/>
                            <a:ext cx="4905" cy="45"/>
                          </a:xfrm>
                          <a:prstGeom prst="straightConnector1">
                            <a:avLst/>
                          </a:prstGeom>
                          <a:noFill/>
                          <a:ln w="9525">
                            <a:solidFill>
                              <a:srgbClr val="000000"/>
                            </a:solidFill>
                            <a:round/>
                          </a:ln>
                        </wps:spPr>
                        <wps:bodyPr/>
                      </wps:wsp>
                      <wps:wsp>
                        <wps:cNvPr id="14" name="AutoShape 15"/>
                        <wps:cNvCnPr>
                          <a:cxnSpLocks noChangeShapeType="1"/>
                        </wps:cNvCnPr>
                        <wps:spPr bwMode="auto">
                          <a:xfrm flipH="1">
                            <a:off x="5925" y="3915"/>
                            <a:ext cx="15" cy="450"/>
                          </a:xfrm>
                          <a:prstGeom prst="straightConnector1">
                            <a:avLst/>
                          </a:prstGeom>
                          <a:noFill/>
                          <a:ln w="9525">
                            <a:solidFill>
                              <a:srgbClr val="000000"/>
                            </a:solidFill>
                            <a:round/>
                          </a:ln>
                        </wps:spPr>
                        <wps:bodyPr/>
                      </wps:wsp>
                    </wpg:wgp>
                  </a:graphicData>
                </a:graphic>
              </wp:anchor>
            </w:drawing>
          </mc:Choice>
          <mc:Fallback>
            <w:pict>
              <v:group id="_x0000_s1026" o:spid="_x0000_s1026" o:spt="203" style="position:absolute;left:0pt;margin-left:68.4pt;margin-top:16.7pt;height:265.95pt;width:286.5pt;mso-wrap-distance-bottom:0pt;mso-wrap-distance-top:0pt;z-index:251659264;mso-width-relative:page;mso-height-relative:page;" coordorigin="3330,2115" coordsize="5565,5355" o:gfxdata="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">
                <o:lock v:ext="edit" aspectratio="f"/>
                <v:rect id="Rectangle 3" o:spid="_x0000_s1026" o:spt="1" style="position:absolute;left:4500;top:2115;height:555;width:2775;"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ind w:firstLine="840" w:firstLineChars="400"/>
                        </w:pPr>
                        <w:r>
                          <w:rPr>
                            <w:rFonts w:hint="eastAsia"/>
                          </w:rPr>
                          <w:t>执行董事</w:t>
                        </w:r>
                      </w:p>
                    </w:txbxContent>
                  </v:textbox>
                </v:rect>
                <v:rect id="Rectangle 4" o:spid="_x0000_s1026" o:spt="1" style="position:absolute;left:4500;top:3360;height:555;width:2775;"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ind w:firstLine="1050" w:firstLineChars="500"/>
                        </w:pPr>
                        <w:r>
                          <w:rPr>
                            <w:rFonts w:hint="eastAsia"/>
                          </w:rPr>
                          <w:t>总经理</w:t>
                        </w:r>
                      </w:p>
                    </w:txbxContent>
                  </v:textbox>
                </v:rect>
                <v:rect id="Rectangle 5" o:spid="_x0000_s1026" o:spt="1" style="position:absolute;left:3330;top:4665;height:2760;width:63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
                      <w:p/>
                      <w:p>
                        <w:r>
                          <w:rPr>
                            <w:rFonts w:hint="eastAsia"/>
                          </w:rPr>
                          <w:t>运营部</w:t>
                        </w:r>
                      </w:p>
                    </w:txbxContent>
                  </v:textbox>
                </v:rect>
                <v:rect id="Rectangle 6" o:spid="_x0000_s1026" o:spt="1" style="position:absolute;left:4905;top:4680;height:2760;width:630;"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
                      <w:p/>
                      <w:p>
                        <w:r>
                          <w:rPr>
                            <w:rFonts w:hint="eastAsia"/>
                          </w:rPr>
                          <w:t>市场部</w:t>
                        </w:r>
                      </w:p>
                    </w:txbxContent>
                  </v:textbox>
                </v:rect>
                <v:rect id="Rectangle 7" o:spid="_x0000_s1026" o:spt="1" style="position:absolute;left:6720;top:4680;height:2760;width:630;"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
                        <w:pPr>
                          <w:rPr>
                            <w:b/>
                          </w:rPr>
                        </w:pPr>
                      </w:p>
                      <w:p/>
                      <w:p>
                        <w:r>
                          <w:rPr>
                            <w:rFonts w:hint="eastAsia"/>
                          </w:rPr>
                          <w:t>综合部</w:t>
                        </w:r>
                      </w:p>
                    </w:txbxContent>
                  </v:textbox>
                </v:rect>
                <v:rect id="Rectangle 8" o:spid="_x0000_s1026" o:spt="1" style="position:absolute;left:8265;top:4710;height:2760;width:630;"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
                      <w:p/>
                      <w:p>
                        <w:r>
                          <w:rPr>
                            <w:rFonts w:hint="eastAsia"/>
                          </w:rPr>
                          <w:t>财务部</w:t>
                        </w:r>
                      </w:p>
                    </w:txbxContent>
                  </v:textbox>
                </v:rect>
                <v:shape id="AutoShape 9" o:spid="_x0000_s1026" o:spt="32" type="#_x0000_t32" style="position:absolute;left:5895;top:2670;height:690;width:0;" filled="f" stroked="t" coordsize="21600,21600" o:gfxdata="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0dEi5AAAA2gAA&#10;AA8AAAAAAAAAAQAgAAAAIgAAAGRycy9kb3ducmV2LnhtbFBLAQIUABQAAAAIAIdO4kAzLwWeOwAA&#10;ADkAAAAQAAAAAAAAAAEAIAAAAAgBAABkcnMvc2hhcGV4bWwueG1sUEsFBgAAAAAGAAYAWwEAALID&#10;AAAAAA==&#10;">
                  <v:fill on="f" focussize="0,0"/>
                  <v:stroke color="#000000" joinstyle="round" endarrow="block"/>
                  <v:imagedata o:title=""/>
                  <o:lock v:ext="edit" aspectratio="f"/>
                </v:shape>
                <v:shape id="AutoShape 10" o:spid="_x0000_s1026" o:spt="32" type="#_x0000_t32" style="position:absolute;left:3675;top:4365;height:300;width:0;" filled="f" stroked="t" coordsize="21600,21600" o:gfxdata="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eNHT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AutoShape 11" o:spid="_x0000_s1026" o:spt="32" type="#_x0000_t32" style="position:absolute;left:5415;top:4395;height:300;width:0;" filled="f" stroked="t" coordsize="21600,21600" o:gfxdata="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zp+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AutoShape 12" o:spid="_x0000_s1026" o:spt="32" type="#_x0000_t32" style="position:absolute;left:7020;top:4380;height:300;width:0;" filled="f" stroked="t" coordsize="21600,21600" o:gfxdata="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BMY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AutoShape 13" o:spid="_x0000_s1026" o:spt="32" type="#_x0000_t32" style="position:absolute;left:8580;top:4380;height:300;width:0;" filled="f" stroked="t" coordsize="21600,21600" o:gfxdata="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BLSF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AutoShape 14" o:spid="_x0000_s1026" o:spt="32" type="#_x0000_t32" style="position:absolute;left:3675;top:4365;height:45;width:4905;" filled="f" stroked="t" coordsize="21600,21600" o:gfxdata="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JpIF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15" o:spid="_x0000_s1026" o:spt="32" type="#_x0000_t32" style="position:absolute;left:5925;top:3915;flip:x;height:450;width:15;" filled="f" stroked="t" coordsize="21600,21600" o:gfxdata="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Xbq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w10:wrap type="topAndBottom"/>
              </v:group>
            </w:pict>
          </mc:Fallback>
        </mc:AlternateContent>
      </w:r>
    </w:p>
    <w:p>
      <w:pPr>
        <w:widowControl/>
        <w:spacing w:line="540" w:lineRule="exact"/>
        <w:ind w:firstLine="602" w:firstLineChars="200"/>
        <w:jc w:val="left"/>
        <w:rPr>
          <w:rFonts w:ascii="仿宋_GB2312" w:hAnsi="仿宋" w:eastAsia="仿宋_GB2312" w:cs="仿宋"/>
          <w:b/>
          <w:bCs/>
          <w:sz w:val="30"/>
          <w:szCs w:val="30"/>
        </w:rPr>
      </w:pPr>
      <w:r>
        <w:rPr>
          <w:rFonts w:hint="eastAsia" w:ascii="仿宋_GB2312" w:hAnsi="仿宋" w:eastAsia="仿宋_GB2312" w:cs="仿宋"/>
          <w:b/>
          <w:bCs/>
          <w:sz w:val="30"/>
          <w:szCs w:val="30"/>
        </w:rPr>
        <w:t>（二）重要人事变动（董事、监事、高级管理人员）</w:t>
      </w:r>
    </w:p>
    <w:p>
      <w:pPr>
        <w:widowControl/>
        <w:spacing w:line="540" w:lineRule="exact"/>
        <w:ind w:firstLine="602" w:firstLineChars="200"/>
        <w:jc w:val="left"/>
        <w:rPr>
          <w:rFonts w:ascii="仿宋_GB2312" w:hAnsi="仿宋" w:eastAsia="仿宋_GB2312" w:cs="仿宋"/>
          <w:b/>
          <w:bCs/>
          <w:sz w:val="30"/>
          <w:szCs w:val="30"/>
        </w:rPr>
      </w:pPr>
    </w:p>
    <w:tbl>
      <w:tblPr>
        <w:tblStyle w:val="5"/>
        <w:tblW w:w="9055" w:type="dxa"/>
        <w:jc w:val="center"/>
        <w:tblInd w:w="0" w:type="dxa"/>
        <w:tblLayout w:type="fixed"/>
        <w:tblCellMar>
          <w:top w:w="0" w:type="dxa"/>
          <w:left w:w="108" w:type="dxa"/>
          <w:bottom w:w="0" w:type="dxa"/>
          <w:right w:w="108" w:type="dxa"/>
        </w:tblCellMar>
      </w:tblPr>
      <w:tblGrid>
        <w:gridCol w:w="930"/>
        <w:gridCol w:w="897"/>
        <w:gridCol w:w="898"/>
        <w:gridCol w:w="898"/>
        <w:gridCol w:w="898"/>
        <w:gridCol w:w="898"/>
        <w:gridCol w:w="898"/>
        <w:gridCol w:w="1276"/>
        <w:gridCol w:w="1462"/>
      </w:tblGrid>
      <w:tr>
        <w:tblPrEx>
          <w:tblLayout w:type="fixed"/>
          <w:tblCellMar>
            <w:top w:w="0" w:type="dxa"/>
            <w:left w:w="108" w:type="dxa"/>
            <w:bottom w:w="0" w:type="dxa"/>
            <w:right w:w="108" w:type="dxa"/>
          </w:tblCellMar>
        </w:tblPrEx>
        <w:trPr>
          <w:trHeight w:val="874"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序号</w:t>
            </w:r>
          </w:p>
        </w:tc>
        <w:tc>
          <w:tcPr>
            <w:tcW w:w="89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姓名</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性别</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年龄</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现职务</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级别</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学历</w:t>
            </w:r>
          </w:p>
        </w:tc>
        <w:tc>
          <w:tcPr>
            <w:tcW w:w="127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毕业院校时间专业</w:t>
            </w:r>
          </w:p>
        </w:tc>
        <w:tc>
          <w:tcPr>
            <w:tcW w:w="146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任</w:t>
            </w:r>
            <w:r>
              <w:rPr>
                <w:rFonts w:ascii="仿宋_GB2312" w:hAnsi="宋体" w:eastAsia="仿宋_GB2312" w:cs="宋体"/>
                <w:b/>
                <w:kern w:val="0"/>
                <w:sz w:val="22"/>
                <w:szCs w:val="22"/>
              </w:rPr>
              <w:t>(</w:t>
            </w:r>
            <w:r>
              <w:rPr>
                <w:rFonts w:hint="eastAsia" w:ascii="仿宋_GB2312" w:hAnsi="宋体" w:eastAsia="仿宋_GB2312" w:cs="宋体"/>
                <w:b/>
                <w:kern w:val="0"/>
                <w:sz w:val="22"/>
                <w:szCs w:val="22"/>
              </w:rPr>
              <w:t>免</w:t>
            </w:r>
            <w:r>
              <w:rPr>
                <w:rFonts w:ascii="仿宋_GB2312" w:hAnsi="宋体" w:eastAsia="仿宋_GB2312" w:cs="宋体"/>
                <w:b/>
                <w:kern w:val="0"/>
                <w:sz w:val="22"/>
                <w:szCs w:val="22"/>
              </w:rPr>
              <w:t>)</w:t>
            </w:r>
            <w:r>
              <w:rPr>
                <w:rFonts w:hint="eastAsia" w:ascii="仿宋_GB2312" w:hAnsi="宋体" w:eastAsia="仿宋_GB2312" w:cs="宋体"/>
                <w:b/>
                <w:kern w:val="0"/>
                <w:sz w:val="22"/>
                <w:szCs w:val="22"/>
              </w:rPr>
              <w:t>职</w:t>
            </w:r>
          </w:p>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时间</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p>
        </w:tc>
        <w:tc>
          <w:tcPr>
            <w:tcW w:w="897"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1276"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1462"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p>
        </w:tc>
        <w:tc>
          <w:tcPr>
            <w:tcW w:w="897"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1276"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1462"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r>
    </w:tbl>
    <w:p>
      <w:pPr>
        <w:widowControl/>
        <w:spacing w:before="159" w:beforeLines="50" w:after="159" w:afterLines="50" w:line="540" w:lineRule="exact"/>
        <w:ind w:firstLine="602" w:firstLineChars="200"/>
        <w:jc w:val="left"/>
        <w:rPr>
          <w:rFonts w:ascii="仿宋_GB2312" w:hAnsi="宋体" w:eastAsia="仿宋_GB2312" w:cs="Arial"/>
          <w:szCs w:val="21"/>
        </w:rPr>
      </w:pPr>
      <w:r>
        <w:rPr>
          <w:rFonts w:hint="eastAsia" w:ascii="仿宋_GB2312" w:hAnsi="仿宋" w:eastAsia="仿宋_GB2312" w:cs="仿宋"/>
          <w:b/>
          <w:bCs/>
          <w:sz w:val="30"/>
          <w:szCs w:val="30"/>
        </w:rPr>
        <w:t>（三）企业负责人薪酬水平情况</w:t>
      </w:r>
      <w:r>
        <w:rPr>
          <w:rFonts w:hint="eastAsia" w:ascii="仿宋_GB2312" w:hAnsi="仿宋" w:eastAsia="仿宋_GB2312" w:cs="仿宋"/>
          <w:b/>
          <w:bCs/>
          <w:sz w:val="32"/>
          <w:szCs w:val="32"/>
        </w:rPr>
        <w:t xml:space="preserve"> </w:t>
      </w:r>
      <w:r>
        <w:rPr>
          <w:rFonts w:ascii="仿宋_GB2312" w:hAnsi="仿宋" w:eastAsia="仿宋_GB2312" w:cs="仿宋"/>
          <w:b/>
          <w:bCs/>
          <w:sz w:val="32"/>
          <w:szCs w:val="32"/>
        </w:rPr>
        <w:t xml:space="preserve">          </w:t>
      </w:r>
      <w:r>
        <w:rPr>
          <w:rFonts w:hint="eastAsia" w:ascii="仿宋_GB2312" w:hAnsi="仿宋" w:eastAsia="仿宋_GB2312" w:cs="仿宋"/>
          <w:b/>
          <w:bCs/>
          <w:sz w:val="32"/>
          <w:szCs w:val="32"/>
        </w:rPr>
        <w:t xml:space="preserve">       </w:t>
      </w:r>
      <w:r>
        <w:rPr>
          <w:rFonts w:hint="eastAsia" w:ascii="仿宋_GB2312" w:hAnsi="宋体" w:eastAsia="仿宋_GB2312" w:cs="Arial"/>
          <w:szCs w:val="21"/>
        </w:rPr>
        <w:t>单位：万元</w:t>
      </w:r>
    </w:p>
    <w:tbl>
      <w:tblPr>
        <w:tblStyle w:val="5"/>
        <w:tblW w:w="90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38"/>
        <w:gridCol w:w="900"/>
        <w:gridCol w:w="916"/>
        <w:gridCol w:w="1450"/>
        <w:gridCol w:w="1884"/>
        <w:gridCol w:w="153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94" w:hRule="atLeast"/>
          <w:jc w:val="center"/>
        </w:trPr>
        <w:tc>
          <w:tcPr>
            <w:tcW w:w="838" w:type="dxa"/>
            <w:vMerge w:val="restart"/>
            <w:vAlign w:val="center"/>
          </w:tcPr>
          <w:p>
            <w:pPr>
              <w:jc w:val="center"/>
              <w:rPr>
                <w:rFonts w:ascii="仿宋_GB2312" w:eastAsia="仿宋_GB2312"/>
                <w:b/>
                <w:sz w:val="22"/>
                <w:szCs w:val="22"/>
              </w:rPr>
            </w:pPr>
            <w:r>
              <w:rPr>
                <w:rFonts w:hint="eastAsia" w:ascii="仿宋_GB2312" w:eastAsia="仿宋_GB2312" w:cs="宋体"/>
                <w:b/>
                <w:sz w:val="22"/>
                <w:szCs w:val="22"/>
              </w:rPr>
              <w:t>姓 名</w:t>
            </w:r>
          </w:p>
        </w:tc>
        <w:tc>
          <w:tcPr>
            <w:tcW w:w="900" w:type="dxa"/>
            <w:vMerge w:val="restart"/>
            <w:vAlign w:val="center"/>
          </w:tcPr>
          <w:p>
            <w:pPr>
              <w:jc w:val="center"/>
              <w:rPr>
                <w:rFonts w:ascii="仿宋_GB2312" w:eastAsia="仿宋_GB2312"/>
                <w:b/>
                <w:sz w:val="22"/>
                <w:szCs w:val="22"/>
              </w:rPr>
            </w:pPr>
            <w:r>
              <w:rPr>
                <w:rFonts w:hint="eastAsia" w:ascii="仿宋_GB2312" w:eastAsia="仿宋_GB2312" w:cs="宋体"/>
                <w:b/>
                <w:sz w:val="22"/>
                <w:szCs w:val="22"/>
              </w:rPr>
              <w:t>职务</w:t>
            </w:r>
          </w:p>
        </w:tc>
        <w:tc>
          <w:tcPr>
            <w:tcW w:w="916" w:type="dxa"/>
            <w:vMerge w:val="restart"/>
            <w:vAlign w:val="center"/>
          </w:tcPr>
          <w:p>
            <w:pPr>
              <w:jc w:val="center"/>
              <w:rPr>
                <w:rFonts w:ascii="仿宋_GB2312" w:eastAsia="仿宋_GB2312" w:cs="宋体"/>
                <w:b/>
                <w:sz w:val="22"/>
                <w:szCs w:val="22"/>
              </w:rPr>
            </w:pPr>
            <w:r>
              <w:rPr>
                <w:rFonts w:hint="eastAsia" w:ascii="仿宋_GB2312" w:eastAsia="仿宋_GB2312" w:cs="宋体"/>
                <w:b/>
                <w:sz w:val="22"/>
                <w:szCs w:val="22"/>
              </w:rPr>
              <w:t>任职</w:t>
            </w:r>
          </w:p>
          <w:p>
            <w:pPr>
              <w:jc w:val="center"/>
              <w:rPr>
                <w:rFonts w:ascii="仿宋_GB2312" w:eastAsia="仿宋_GB2312" w:cs="宋体"/>
                <w:b/>
                <w:sz w:val="22"/>
                <w:szCs w:val="22"/>
              </w:rPr>
            </w:pPr>
            <w:r>
              <w:rPr>
                <w:rFonts w:hint="eastAsia" w:ascii="仿宋_GB2312" w:eastAsia="仿宋_GB2312" w:cs="宋体"/>
                <w:b/>
                <w:sz w:val="22"/>
                <w:szCs w:val="22"/>
              </w:rPr>
              <w:t>起止</w:t>
            </w:r>
          </w:p>
          <w:p>
            <w:pPr>
              <w:jc w:val="center"/>
              <w:rPr>
                <w:rFonts w:ascii="仿宋_GB2312" w:eastAsia="仿宋_GB2312"/>
                <w:b/>
                <w:sz w:val="22"/>
                <w:szCs w:val="22"/>
              </w:rPr>
            </w:pPr>
            <w:r>
              <w:rPr>
                <w:rFonts w:hint="eastAsia" w:ascii="仿宋_GB2312" w:eastAsia="仿宋_GB2312" w:cs="宋体"/>
                <w:b/>
                <w:sz w:val="22"/>
                <w:szCs w:val="22"/>
              </w:rPr>
              <w:t>时间</w:t>
            </w:r>
          </w:p>
        </w:tc>
        <w:tc>
          <w:tcPr>
            <w:tcW w:w="4867" w:type="dxa"/>
            <w:gridSpan w:val="3"/>
            <w:vAlign w:val="center"/>
          </w:tcPr>
          <w:p>
            <w:pPr>
              <w:jc w:val="center"/>
              <w:rPr>
                <w:rFonts w:ascii="仿宋_GB2312" w:eastAsia="仿宋_GB2312"/>
                <w:b/>
                <w:sz w:val="22"/>
                <w:szCs w:val="22"/>
              </w:rPr>
            </w:pPr>
            <w:r>
              <w:rPr>
                <w:rFonts w:hint="eastAsia" w:ascii="仿宋_GB2312" w:eastAsia="仿宋_GB2312"/>
                <w:b/>
                <w:sz w:val="22"/>
                <w:szCs w:val="22"/>
              </w:rPr>
              <w:t>202X年度从本公司获得的税前报酬</w:t>
            </w:r>
          </w:p>
        </w:tc>
        <w:tc>
          <w:tcPr>
            <w:tcW w:w="1521" w:type="dxa"/>
            <w:vAlign w:val="center"/>
          </w:tcPr>
          <w:p>
            <w:pPr>
              <w:jc w:val="center"/>
              <w:rPr>
                <w:rFonts w:ascii="仿宋_GB2312" w:eastAsia="仿宋_GB2312"/>
                <w:b/>
                <w:sz w:val="22"/>
                <w:szCs w:val="22"/>
              </w:rPr>
            </w:pPr>
            <w:r>
              <w:rPr>
                <w:rFonts w:hint="eastAsia" w:ascii="仿宋_GB2312" w:eastAsia="仿宋_GB2312" w:cs="宋体"/>
                <w:b/>
                <w:sz w:val="22"/>
                <w:szCs w:val="22"/>
              </w:rPr>
              <w:t>是否在股东单位或其他关联方领取薪酬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3" w:hRule="atLeast"/>
          <w:jc w:val="center"/>
        </w:trPr>
        <w:tc>
          <w:tcPr>
            <w:tcW w:w="838" w:type="dxa"/>
            <w:vMerge w:val="continue"/>
            <w:vAlign w:val="center"/>
          </w:tcPr>
          <w:p>
            <w:pPr>
              <w:jc w:val="center"/>
              <w:rPr>
                <w:rFonts w:ascii="仿宋_GB2312" w:eastAsia="仿宋_GB2312" w:cs="宋体"/>
                <w:b/>
              </w:rPr>
            </w:pPr>
          </w:p>
        </w:tc>
        <w:tc>
          <w:tcPr>
            <w:tcW w:w="900" w:type="dxa"/>
            <w:vMerge w:val="continue"/>
            <w:vAlign w:val="center"/>
          </w:tcPr>
          <w:p>
            <w:pPr>
              <w:jc w:val="center"/>
              <w:rPr>
                <w:rFonts w:ascii="仿宋_GB2312" w:eastAsia="仿宋_GB2312" w:cs="宋体"/>
                <w:b/>
              </w:rPr>
            </w:pPr>
          </w:p>
        </w:tc>
        <w:tc>
          <w:tcPr>
            <w:tcW w:w="916" w:type="dxa"/>
            <w:vMerge w:val="continue"/>
            <w:vAlign w:val="center"/>
          </w:tcPr>
          <w:p>
            <w:pPr>
              <w:jc w:val="center"/>
              <w:rPr>
                <w:rFonts w:ascii="仿宋_GB2312" w:eastAsia="仿宋_GB2312" w:cs="宋体"/>
                <w:b/>
              </w:rPr>
            </w:pPr>
          </w:p>
        </w:tc>
        <w:tc>
          <w:tcPr>
            <w:tcW w:w="1450" w:type="dxa"/>
            <w:vAlign w:val="center"/>
          </w:tcPr>
          <w:p>
            <w:pPr>
              <w:rPr>
                <w:rFonts w:ascii="仿宋_GB2312" w:hAnsi="宋体" w:eastAsia="仿宋_GB2312" w:cs="宋体"/>
                <w:b/>
                <w:szCs w:val="21"/>
              </w:rPr>
            </w:pPr>
            <w:r>
              <w:rPr>
                <w:rFonts w:hint="eastAsia" w:ascii="仿宋_GB2312" w:eastAsia="仿宋_GB2312" w:cs="宋体"/>
                <w:b/>
                <w:sz w:val="22"/>
                <w:szCs w:val="22"/>
              </w:rPr>
              <w:t>应付年薪（1）</w:t>
            </w:r>
          </w:p>
        </w:tc>
        <w:tc>
          <w:tcPr>
            <w:tcW w:w="1884" w:type="dxa"/>
            <w:vAlign w:val="center"/>
          </w:tcPr>
          <w:p>
            <w:pPr>
              <w:rPr>
                <w:rFonts w:ascii="仿宋_GB2312" w:hAnsi="宋体" w:eastAsia="仿宋_GB2312" w:cs="宋体"/>
                <w:b/>
                <w:szCs w:val="21"/>
              </w:rPr>
            </w:pPr>
            <w:r>
              <w:rPr>
                <w:rFonts w:hint="eastAsia" w:ascii="仿宋_GB2312" w:eastAsia="仿宋_GB2312" w:cs="宋体"/>
                <w:b/>
                <w:sz w:val="22"/>
                <w:szCs w:val="22"/>
              </w:rPr>
              <w:t>社会保险、企业年金及住房公积金的单位缴存部分（2）</w:t>
            </w:r>
          </w:p>
        </w:tc>
        <w:tc>
          <w:tcPr>
            <w:tcW w:w="1533" w:type="dxa"/>
            <w:vAlign w:val="center"/>
          </w:tcPr>
          <w:p>
            <w:pPr>
              <w:rPr>
                <w:rFonts w:ascii="仿宋_GB2312" w:hAnsi="宋体" w:eastAsia="仿宋_GB2312" w:cs="宋体"/>
                <w:b/>
                <w:szCs w:val="21"/>
              </w:rPr>
            </w:pPr>
            <w:r>
              <w:rPr>
                <w:rFonts w:hint="eastAsia" w:ascii="仿宋_GB2312" w:hAnsi="宋体" w:eastAsia="仿宋_GB2312" w:cs="宋体"/>
                <w:b/>
                <w:szCs w:val="21"/>
              </w:rPr>
              <w:t>其他货币性收入（3）</w:t>
            </w:r>
          </w:p>
        </w:tc>
        <w:tc>
          <w:tcPr>
            <w:tcW w:w="1521" w:type="dxa"/>
            <w:vAlign w:val="center"/>
          </w:tcPr>
          <w:p>
            <w:pPr>
              <w:jc w:val="center"/>
              <w:rPr>
                <w:rFonts w:ascii="仿宋_GB2312" w:hAnsi="宋体" w:eastAsia="仿宋_GB2312"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57" w:hRule="atLeast"/>
          <w:jc w:val="center"/>
        </w:trPr>
        <w:tc>
          <w:tcPr>
            <w:tcW w:w="838" w:type="dxa"/>
            <w:vAlign w:val="center"/>
          </w:tcPr>
          <w:p>
            <w:pPr>
              <w:spacing w:after="63" w:afterLines="20" w:line="520" w:lineRule="exact"/>
              <w:jc w:val="center"/>
              <w:rPr>
                <w:rFonts w:cs="宋体"/>
              </w:rPr>
            </w:pPr>
          </w:p>
        </w:tc>
        <w:tc>
          <w:tcPr>
            <w:tcW w:w="900" w:type="dxa"/>
            <w:vAlign w:val="center"/>
          </w:tcPr>
          <w:p>
            <w:pPr>
              <w:spacing w:after="63" w:afterLines="20" w:line="520" w:lineRule="exact"/>
              <w:jc w:val="center"/>
              <w:rPr>
                <w:rFonts w:cs="宋体"/>
              </w:rPr>
            </w:pPr>
          </w:p>
        </w:tc>
        <w:tc>
          <w:tcPr>
            <w:tcW w:w="916" w:type="dxa"/>
            <w:vAlign w:val="center"/>
          </w:tcPr>
          <w:p>
            <w:pPr>
              <w:spacing w:after="63" w:afterLines="20" w:line="520" w:lineRule="exact"/>
              <w:jc w:val="center"/>
              <w:rPr>
                <w:rFonts w:cs="宋体"/>
              </w:rPr>
            </w:pPr>
          </w:p>
        </w:tc>
        <w:tc>
          <w:tcPr>
            <w:tcW w:w="1450" w:type="dxa"/>
            <w:vAlign w:val="center"/>
          </w:tcPr>
          <w:p>
            <w:pPr>
              <w:spacing w:after="63" w:afterLines="20" w:line="520" w:lineRule="exact"/>
              <w:jc w:val="center"/>
              <w:rPr>
                <w:rFonts w:cs="宋体"/>
              </w:rPr>
            </w:pPr>
          </w:p>
        </w:tc>
        <w:tc>
          <w:tcPr>
            <w:tcW w:w="1884" w:type="dxa"/>
            <w:vAlign w:val="center"/>
          </w:tcPr>
          <w:p>
            <w:pPr>
              <w:spacing w:after="63" w:afterLines="20" w:line="520" w:lineRule="exact"/>
              <w:jc w:val="center"/>
              <w:rPr>
                <w:rFonts w:cs="宋体"/>
              </w:rPr>
            </w:pPr>
          </w:p>
        </w:tc>
        <w:tc>
          <w:tcPr>
            <w:tcW w:w="1533" w:type="dxa"/>
            <w:vAlign w:val="center"/>
          </w:tcPr>
          <w:p>
            <w:pPr>
              <w:spacing w:after="63" w:afterLines="20" w:line="520" w:lineRule="exact"/>
              <w:jc w:val="center"/>
              <w:rPr>
                <w:rFonts w:cs="宋体"/>
              </w:rPr>
            </w:pPr>
          </w:p>
        </w:tc>
        <w:tc>
          <w:tcPr>
            <w:tcW w:w="1521" w:type="dxa"/>
            <w:vAlign w:val="center"/>
          </w:tcPr>
          <w:p>
            <w:pPr>
              <w:spacing w:after="63" w:afterLines="20" w:line="520" w:lineRule="exact"/>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1" w:hRule="atLeast"/>
          <w:jc w:val="center"/>
        </w:trPr>
        <w:tc>
          <w:tcPr>
            <w:tcW w:w="838" w:type="dxa"/>
            <w:vAlign w:val="center"/>
          </w:tcPr>
          <w:p>
            <w:pPr>
              <w:spacing w:after="63" w:afterLines="20" w:line="520" w:lineRule="exact"/>
              <w:jc w:val="center"/>
              <w:rPr>
                <w:rFonts w:cs="宋体"/>
              </w:rPr>
            </w:pPr>
          </w:p>
        </w:tc>
        <w:tc>
          <w:tcPr>
            <w:tcW w:w="900" w:type="dxa"/>
            <w:vAlign w:val="center"/>
          </w:tcPr>
          <w:p>
            <w:pPr>
              <w:spacing w:after="63" w:afterLines="20" w:line="520" w:lineRule="exact"/>
              <w:jc w:val="center"/>
              <w:rPr>
                <w:rFonts w:cs="宋体"/>
              </w:rPr>
            </w:pPr>
          </w:p>
        </w:tc>
        <w:tc>
          <w:tcPr>
            <w:tcW w:w="916" w:type="dxa"/>
            <w:vAlign w:val="center"/>
          </w:tcPr>
          <w:p>
            <w:pPr>
              <w:spacing w:after="63" w:afterLines="20" w:line="520" w:lineRule="exact"/>
              <w:jc w:val="center"/>
              <w:rPr>
                <w:rFonts w:cs="宋体"/>
              </w:rPr>
            </w:pPr>
          </w:p>
        </w:tc>
        <w:tc>
          <w:tcPr>
            <w:tcW w:w="1450" w:type="dxa"/>
            <w:vAlign w:val="center"/>
          </w:tcPr>
          <w:p>
            <w:pPr>
              <w:spacing w:after="63" w:afterLines="20" w:line="520" w:lineRule="exact"/>
              <w:jc w:val="center"/>
              <w:rPr>
                <w:rFonts w:cs="宋体"/>
              </w:rPr>
            </w:pPr>
          </w:p>
        </w:tc>
        <w:tc>
          <w:tcPr>
            <w:tcW w:w="1884" w:type="dxa"/>
            <w:vAlign w:val="center"/>
          </w:tcPr>
          <w:p>
            <w:pPr>
              <w:spacing w:after="63" w:afterLines="20" w:line="520" w:lineRule="exact"/>
              <w:jc w:val="center"/>
              <w:rPr>
                <w:rFonts w:cs="宋体"/>
              </w:rPr>
            </w:pPr>
          </w:p>
        </w:tc>
        <w:tc>
          <w:tcPr>
            <w:tcW w:w="1533" w:type="dxa"/>
            <w:vAlign w:val="center"/>
          </w:tcPr>
          <w:p>
            <w:pPr>
              <w:spacing w:after="63" w:afterLines="20" w:line="520" w:lineRule="exact"/>
              <w:jc w:val="center"/>
              <w:rPr>
                <w:rFonts w:cs="宋体"/>
              </w:rPr>
            </w:pPr>
          </w:p>
        </w:tc>
        <w:tc>
          <w:tcPr>
            <w:tcW w:w="1521" w:type="dxa"/>
            <w:vAlign w:val="center"/>
          </w:tcPr>
          <w:p>
            <w:pPr>
              <w:spacing w:after="63" w:afterLines="20" w:line="520" w:lineRule="exact"/>
              <w:jc w:val="center"/>
              <w:rPr>
                <w:rFonts w:cs="宋体"/>
              </w:rPr>
            </w:pPr>
          </w:p>
        </w:tc>
      </w:tr>
    </w:tbl>
    <w:p>
      <w:pPr>
        <w:ind w:firstLine="600" w:firstLineChars="200"/>
        <w:rPr>
          <w:rFonts w:ascii="黑体" w:hAnsi="黑体" w:eastAsia="黑体"/>
          <w:bCs/>
          <w:sz w:val="30"/>
          <w:szCs w:val="30"/>
        </w:rPr>
      </w:pPr>
      <w:r>
        <w:rPr>
          <w:rFonts w:hint="eastAsia" w:ascii="黑体" w:hAnsi="黑体" w:eastAsia="黑体"/>
          <w:bCs/>
          <w:sz w:val="30"/>
          <w:szCs w:val="30"/>
        </w:rPr>
        <w:t>三、企业主要财务状况和经营成果、国有资本保值增值情况</w:t>
      </w:r>
    </w:p>
    <w:p>
      <w:pPr>
        <w:tabs>
          <w:tab w:val="left" w:pos="7350"/>
        </w:tabs>
        <w:spacing w:before="159" w:beforeLines="50" w:after="159" w:afterLines="50" w:line="600" w:lineRule="exact"/>
        <w:ind w:firstLine="482"/>
        <w:rPr>
          <w:rFonts w:ascii="仿宋_GB2312" w:eastAsia="仿宋_GB2312"/>
          <w:b/>
          <w:sz w:val="30"/>
          <w:szCs w:val="30"/>
        </w:rPr>
      </w:pPr>
      <w:r>
        <w:rPr>
          <w:rFonts w:hint="eastAsia" w:ascii="仿宋_GB2312" w:hAnsi="宋体" w:eastAsia="仿宋_GB2312" w:cs="宋体"/>
          <w:b/>
          <w:bCs/>
          <w:kern w:val="0"/>
          <w:sz w:val="30"/>
          <w:szCs w:val="30"/>
          <w:lang w:val="zh-CN"/>
        </w:rPr>
        <w:t>（一）</w:t>
      </w:r>
      <w:r>
        <w:rPr>
          <w:rFonts w:hint="eastAsia" w:ascii="仿宋_GB2312" w:hAnsi="宋体" w:eastAsia="仿宋_GB2312"/>
          <w:b/>
          <w:sz w:val="30"/>
          <w:szCs w:val="30"/>
        </w:rPr>
        <w:t xml:space="preserve">报告期内收入利润情况                    </w:t>
      </w:r>
      <w:r>
        <w:rPr>
          <w:rFonts w:hint="eastAsia" w:ascii="仿宋_GB2312" w:hAnsi="宋体" w:eastAsia="仿宋_GB2312" w:cs="Arial"/>
          <w:szCs w:val="21"/>
        </w:rPr>
        <w:t>单位：万元</w:t>
      </w:r>
    </w:p>
    <w:tbl>
      <w:tblPr>
        <w:tblStyle w:val="5"/>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2646"/>
        <w:gridCol w:w="2489"/>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bCs/>
                <w:kern w:val="0"/>
                <w:sz w:val="22"/>
                <w:szCs w:val="22"/>
              </w:rPr>
            </w:pPr>
            <w:r>
              <w:rPr>
                <w:rFonts w:hint="eastAsia" w:ascii="仿宋_GB2312" w:hAnsi="宋体" w:eastAsia="仿宋_GB2312" w:cs="宋体"/>
                <w:b/>
                <w:bCs/>
                <w:kern w:val="0"/>
                <w:sz w:val="22"/>
                <w:szCs w:val="22"/>
              </w:rPr>
              <w:t>报表项目</w:t>
            </w:r>
          </w:p>
        </w:tc>
        <w:tc>
          <w:tcPr>
            <w:tcW w:w="2646" w:type="dxa"/>
            <w:vAlign w:val="center"/>
          </w:tcPr>
          <w:p>
            <w:pPr>
              <w:widowControl/>
              <w:jc w:val="center"/>
              <w:rPr>
                <w:rFonts w:ascii="仿宋_GB2312" w:eastAsia="仿宋_GB2312" w:cs="宋体"/>
                <w:b/>
                <w:bCs/>
                <w:kern w:val="0"/>
                <w:sz w:val="22"/>
                <w:szCs w:val="22"/>
              </w:rPr>
            </w:pPr>
            <w:r>
              <w:rPr>
                <w:rFonts w:hint="eastAsia" w:ascii="仿宋_GB2312" w:hAnsi="宋体" w:eastAsia="仿宋_GB2312" w:cs="宋体"/>
                <w:b/>
                <w:bCs/>
                <w:kern w:val="0"/>
                <w:sz w:val="22"/>
                <w:szCs w:val="22"/>
              </w:rPr>
              <w:t>本期累计金额（</w:t>
            </w:r>
            <w:r>
              <w:rPr>
                <w:rFonts w:hint="eastAsia" w:ascii="仿宋_GB2312" w:hAnsi="宋体" w:eastAsia="仿宋_GB2312" w:cs="宋体"/>
                <w:b/>
                <w:bCs/>
                <w:kern w:val="0"/>
                <w:sz w:val="22"/>
                <w:szCs w:val="22"/>
                <w:lang w:val="en-US" w:eastAsia="zh-CN"/>
              </w:rPr>
              <w:t>1</w:t>
            </w:r>
            <w:r>
              <w:rPr>
                <w:rFonts w:hint="eastAsia" w:ascii="仿宋_GB2312" w:hAnsi="宋体" w:eastAsia="仿宋_GB2312" w:cs="宋体"/>
                <w:b/>
                <w:bCs/>
                <w:kern w:val="0"/>
                <w:sz w:val="22"/>
                <w:szCs w:val="22"/>
              </w:rPr>
              <w:t>-</w:t>
            </w:r>
            <w:r>
              <w:rPr>
                <w:rFonts w:hint="eastAsia" w:ascii="仿宋_GB2312" w:hAnsi="宋体" w:eastAsia="仿宋_GB2312" w:cs="宋体"/>
                <w:b/>
                <w:bCs/>
                <w:kern w:val="0"/>
                <w:sz w:val="22"/>
                <w:szCs w:val="22"/>
                <w:lang w:val="en-US" w:eastAsia="zh-CN"/>
              </w:rPr>
              <w:t>12</w:t>
            </w:r>
            <w:r>
              <w:rPr>
                <w:rFonts w:hint="eastAsia" w:ascii="仿宋_GB2312" w:hAnsi="宋体" w:eastAsia="仿宋_GB2312" w:cs="宋体"/>
                <w:b/>
                <w:bCs/>
                <w:kern w:val="0"/>
                <w:sz w:val="22"/>
                <w:szCs w:val="22"/>
              </w:rPr>
              <w:t>月）</w:t>
            </w:r>
          </w:p>
        </w:tc>
        <w:tc>
          <w:tcPr>
            <w:tcW w:w="2489" w:type="dxa"/>
            <w:vAlign w:val="center"/>
          </w:tcPr>
          <w:p>
            <w:pPr>
              <w:widowControl/>
              <w:jc w:val="center"/>
              <w:rPr>
                <w:rFonts w:ascii="仿宋_GB2312" w:eastAsia="仿宋_GB2312" w:cs="宋体"/>
                <w:b/>
                <w:bCs/>
                <w:kern w:val="0"/>
                <w:sz w:val="22"/>
                <w:szCs w:val="22"/>
              </w:rPr>
            </w:pPr>
            <w:r>
              <w:rPr>
                <w:rFonts w:hint="eastAsia" w:ascii="仿宋_GB2312" w:hAnsi="宋体" w:eastAsia="仿宋_GB2312" w:cs="宋体"/>
                <w:b/>
                <w:bCs/>
                <w:kern w:val="0"/>
                <w:sz w:val="22"/>
                <w:szCs w:val="22"/>
              </w:rPr>
              <w:t>上年同期金额（</w:t>
            </w:r>
            <w:r>
              <w:rPr>
                <w:rFonts w:hint="eastAsia" w:ascii="仿宋_GB2312" w:hAnsi="宋体" w:eastAsia="仿宋_GB2312" w:cs="宋体"/>
                <w:b/>
                <w:bCs/>
                <w:kern w:val="0"/>
                <w:sz w:val="22"/>
                <w:szCs w:val="22"/>
                <w:lang w:val="en-US" w:eastAsia="zh-CN"/>
              </w:rPr>
              <w:t>1</w:t>
            </w:r>
            <w:r>
              <w:rPr>
                <w:rFonts w:hint="eastAsia" w:ascii="仿宋_GB2312" w:hAnsi="宋体" w:eastAsia="仿宋_GB2312" w:cs="宋体"/>
                <w:b/>
                <w:bCs/>
                <w:kern w:val="0"/>
                <w:sz w:val="22"/>
                <w:szCs w:val="22"/>
              </w:rPr>
              <w:t>-</w:t>
            </w:r>
            <w:r>
              <w:rPr>
                <w:rFonts w:hint="eastAsia" w:ascii="仿宋_GB2312" w:hAnsi="宋体" w:eastAsia="仿宋_GB2312" w:cs="宋体"/>
                <w:b/>
                <w:bCs/>
                <w:kern w:val="0"/>
                <w:sz w:val="22"/>
                <w:szCs w:val="22"/>
                <w:lang w:val="en-US" w:eastAsia="zh-CN"/>
              </w:rPr>
              <w:t>12</w:t>
            </w:r>
            <w:r>
              <w:rPr>
                <w:rFonts w:hint="eastAsia" w:ascii="仿宋_GB2312" w:hAnsi="宋体" w:eastAsia="仿宋_GB2312" w:cs="宋体"/>
                <w:b/>
                <w:bCs/>
                <w:kern w:val="0"/>
                <w:sz w:val="22"/>
                <w:szCs w:val="22"/>
              </w:rPr>
              <w:t>月）</w:t>
            </w:r>
          </w:p>
        </w:tc>
        <w:tc>
          <w:tcPr>
            <w:tcW w:w="2124" w:type="dxa"/>
            <w:vAlign w:val="center"/>
          </w:tcPr>
          <w:p>
            <w:pPr>
              <w:widowControl/>
              <w:jc w:val="center"/>
              <w:rPr>
                <w:rFonts w:ascii="仿宋_GB2312" w:eastAsia="仿宋_GB2312" w:cs="宋体"/>
                <w:b/>
                <w:bCs/>
                <w:kern w:val="0"/>
                <w:sz w:val="22"/>
                <w:szCs w:val="22"/>
              </w:rPr>
            </w:pPr>
            <w:r>
              <w:rPr>
                <w:rFonts w:hint="eastAsia" w:ascii="仿宋_GB2312" w:hAnsi="宋体" w:eastAsia="仿宋_GB2312" w:cs="宋体"/>
                <w:b/>
                <w:bCs/>
                <w:kern w:val="0"/>
                <w:sz w:val="22"/>
                <w:szCs w:val="22"/>
              </w:rPr>
              <w:t>变动比率(%)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kern w:val="0"/>
                <w:sz w:val="22"/>
                <w:szCs w:val="22"/>
              </w:rPr>
            </w:pPr>
            <w:r>
              <w:rPr>
                <w:rFonts w:hint="eastAsia" w:ascii="仿宋_GB2312" w:hAnsi="宋体" w:eastAsia="仿宋_GB2312" w:cs="宋体"/>
                <w:b/>
                <w:kern w:val="0"/>
                <w:sz w:val="22"/>
                <w:szCs w:val="22"/>
              </w:rPr>
              <w:t>营业收入</w:t>
            </w:r>
          </w:p>
        </w:tc>
        <w:tc>
          <w:tcPr>
            <w:tcW w:w="2646" w:type="dxa"/>
            <w:vAlign w:val="center"/>
          </w:tcPr>
          <w:p>
            <w:pPr>
              <w:jc w:val="center"/>
              <w:rPr>
                <w:sz w:val="22"/>
              </w:rPr>
            </w:pPr>
            <w:r>
              <w:rPr>
                <w:sz w:val="22"/>
              </w:rPr>
              <w:t>17204</w:t>
            </w:r>
          </w:p>
        </w:tc>
        <w:tc>
          <w:tcPr>
            <w:tcW w:w="2489" w:type="dxa"/>
            <w:vAlign w:val="center"/>
          </w:tcPr>
          <w:p>
            <w:pPr>
              <w:jc w:val="center"/>
              <w:rPr>
                <w:sz w:val="22"/>
              </w:rPr>
            </w:pPr>
            <w:r>
              <w:rPr>
                <w:sz w:val="22"/>
              </w:rPr>
              <w:t>10232</w:t>
            </w:r>
          </w:p>
        </w:tc>
        <w:tc>
          <w:tcPr>
            <w:tcW w:w="2124" w:type="dxa"/>
            <w:vAlign w:val="center"/>
          </w:tcPr>
          <w:p>
            <w:pPr>
              <w:jc w:val="center"/>
              <w:rPr>
                <w:sz w:val="22"/>
              </w:rPr>
            </w:pPr>
            <w:r>
              <w:rPr>
                <w:sz w:val="22"/>
              </w:rPr>
              <w:t>68.14%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kern w:val="0"/>
                <w:sz w:val="22"/>
                <w:szCs w:val="22"/>
              </w:rPr>
            </w:pPr>
            <w:r>
              <w:rPr>
                <w:rFonts w:hint="eastAsia" w:ascii="仿宋_GB2312" w:hAnsi="宋体" w:eastAsia="仿宋_GB2312" w:cs="宋体"/>
                <w:b/>
                <w:kern w:val="0"/>
                <w:sz w:val="22"/>
                <w:szCs w:val="22"/>
              </w:rPr>
              <w:t>利润总额</w:t>
            </w:r>
          </w:p>
        </w:tc>
        <w:tc>
          <w:tcPr>
            <w:tcW w:w="2646" w:type="dxa"/>
            <w:vAlign w:val="center"/>
          </w:tcPr>
          <w:p>
            <w:pPr>
              <w:jc w:val="center"/>
              <w:rPr>
                <w:sz w:val="22"/>
              </w:rPr>
            </w:pPr>
            <w:r>
              <w:rPr>
                <w:sz w:val="22"/>
              </w:rPr>
              <w:t>176</w:t>
            </w:r>
          </w:p>
        </w:tc>
        <w:tc>
          <w:tcPr>
            <w:tcW w:w="2489" w:type="dxa"/>
            <w:vAlign w:val="center"/>
          </w:tcPr>
          <w:p>
            <w:pPr>
              <w:jc w:val="center"/>
              <w:rPr>
                <w:sz w:val="22"/>
              </w:rPr>
            </w:pPr>
            <w:r>
              <w:rPr>
                <w:sz w:val="22"/>
              </w:rPr>
              <w:t>955</w:t>
            </w:r>
          </w:p>
        </w:tc>
        <w:tc>
          <w:tcPr>
            <w:tcW w:w="2124" w:type="dxa"/>
            <w:vAlign w:val="center"/>
          </w:tcPr>
          <w:p>
            <w:pPr>
              <w:jc w:val="center"/>
              <w:rPr>
                <w:sz w:val="22"/>
              </w:rPr>
            </w:pPr>
            <w:r>
              <w:rPr>
                <w:sz w:val="22"/>
              </w:rPr>
              <w:t>-81.62%</w:t>
            </w:r>
          </w:p>
        </w:tc>
      </w:tr>
    </w:tbl>
    <w:p>
      <w:pPr>
        <w:tabs>
          <w:tab w:val="left" w:pos="7350"/>
        </w:tabs>
        <w:spacing w:before="159" w:beforeLines="50" w:after="159" w:afterLines="50" w:line="600" w:lineRule="exact"/>
        <w:ind w:firstLine="482"/>
        <w:rPr>
          <w:rFonts w:ascii="仿宋_GB2312" w:hAnsi="宋体" w:eastAsia="仿宋_GB2312" w:cs="宋体"/>
          <w:b/>
          <w:bCs/>
          <w:kern w:val="0"/>
          <w:sz w:val="30"/>
          <w:szCs w:val="30"/>
          <w:lang w:val="zh-CN"/>
        </w:rPr>
      </w:pPr>
      <w:r>
        <w:rPr>
          <w:rFonts w:hint="eastAsia" w:ascii="仿宋_GB2312" w:hAnsi="宋体" w:eastAsia="仿宋_GB2312" w:cs="宋体"/>
          <w:b/>
          <w:bCs/>
          <w:kern w:val="0"/>
          <w:sz w:val="30"/>
          <w:szCs w:val="30"/>
          <w:lang w:val="zh-CN"/>
        </w:rPr>
        <w:t>（二）报告期内资产负债情况</w:t>
      </w:r>
      <w:r>
        <w:rPr>
          <w:rFonts w:hint="eastAsia" w:ascii="仿宋_GB2312" w:hAnsi="宋体" w:eastAsia="仿宋_GB2312" w:cs="宋体"/>
          <w:b/>
          <w:bCs/>
          <w:kern w:val="0"/>
          <w:sz w:val="30"/>
          <w:szCs w:val="30"/>
        </w:rPr>
        <w:t xml:space="preserve">                    </w:t>
      </w:r>
      <w:r>
        <w:rPr>
          <w:rFonts w:hint="eastAsia" w:ascii="仿宋_GB2312" w:hAnsi="宋体" w:eastAsia="仿宋_GB2312" w:cs="Arial"/>
          <w:szCs w:val="21"/>
        </w:rPr>
        <w:t>单位：万元</w:t>
      </w:r>
    </w:p>
    <w:tbl>
      <w:tblPr>
        <w:tblStyle w:val="5"/>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2"/>
        <w:gridCol w:w="2094"/>
        <w:gridCol w:w="1982"/>
        <w:gridCol w:w="2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bottom"/>
          </w:tcPr>
          <w:p>
            <w:pPr>
              <w:widowControl/>
              <w:jc w:val="center"/>
              <w:rPr>
                <w:rFonts w:ascii="仿宋_GB2312" w:eastAsia="仿宋_GB2312" w:cs="宋体"/>
                <w:b/>
                <w:bCs/>
                <w:kern w:val="0"/>
                <w:sz w:val="22"/>
                <w:szCs w:val="22"/>
              </w:rPr>
            </w:pPr>
            <w:r>
              <w:rPr>
                <w:rFonts w:hint="eastAsia" w:ascii="仿宋_GB2312" w:hAnsi="宋体" w:eastAsia="仿宋_GB2312" w:cs="宋体"/>
                <w:b/>
                <w:bCs/>
                <w:kern w:val="0"/>
                <w:sz w:val="22"/>
                <w:szCs w:val="22"/>
              </w:rPr>
              <w:t>主要报表项目</w:t>
            </w:r>
          </w:p>
        </w:tc>
        <w:tc>
          <w:tcPr>
            <w:tcW w:w="2094" w:type="dxa"/>
            <w:vAlign w:val="bottom"/>
          </w:tcPr>
          <w:p>
            <w:pPr>
              <w:widowControl/>
              <w:jc w:val="center"/>
              <w:rPr>
                <w:rFonts w:ascii="仿宋_GB2312" w:hAnsi="宋体" w:eastAsia="仿宋_GB2312" w:cs="宋体"/>
                <w:b/>
                <w:bCs/>
                <w:kern w:val="0"/>
                <w:sz w:val="22"/>
                <w:szCs w:val="22"/>
              </w:rPr>
            </w:pPr>
            <w:r>
              <w:rPr>
                <w:rFonts w:hint="eastAsia" w:ascii="仿宋_GB2312" w:hAnsi="宋体" w:eastAsia="仿宋_GB2312" w:cs="宋体"/>
                <w:b/>
                <w:bCs/>
                <w:kern w:val="0"/>
                <w:sz w:val="22"/>
                <w:szCs w:val="22"/>
              </w:rPr>
              <w:t xml:space="preserve"> 年初余额 </w:t>
            </w:r>
          </w:p>
        </w:tc>
        <w:tc>
          <w:tcPr>
            <w:tcW w:w="1982" w:type="dxa"/>
            <w:vAlign w:val="bottom"/>
          </w:tcPr>
          <w:p>
            <w:pPr>
              <w:widowControl/>
              <w:jc w:val="center"/>
              <w:rPr>
                <w:rFonts w:ascii="仿宋_GB2312" w:hAnsi="宋体" w:eastAsia="仿宋_GB2312" w:cs="宋体"/>
                <w:b/>
                <w:bCs/>
                <w:kern w:val="0"/>
                <w:sz w:val="22"/>
                <w:szCs w:val="22"/>
              </w:rPr>
            </w:pPr>
            <w:r>
              <w:rPr>
                <w:rFonts w:hint="eastAsia" w:ascii="仿宋_GB2312" w:hAnsi="宋体" w:eastAsia="仿宋_GB2312" w:cs="宋体"/>
                <w:b/>
                <w:bCs/>
                <w:kern w:val="0"/>
                <w:sz w:val="22"/>
                <w:szCs w:val="22"/>
              </w:rPr>
              <w:t xml:space="preserve"> 期末余额 </w:t>
            </w:r>
          </w:p>
        </w:tc>
        <w:tc>
          <w:tcPr>
            <w:tcW w:w="2157" w:type="dxa"/>
            <w:vAlign w:val="bottom"/>
          </w:tcPr>
          <w:p>
            <w:pPr>
              <w:widowControl/>
              <w:jc w:val="center"/>
              <w:rPr>
                <w:rFonts w:ascii="仿宋_GB2312" w:hAnsi="宋体" w:eastAsia="仿宋_GB2312" w:cs="宋体"/>
                <w:b/>
                <w:bCs/>
                <w:kern w:val="0"/>
                <w:sz w:val="22"/>
                <w:szCs w:val="22"/>
              </w:rPr>
            </w:pPr>
            <w:r>
              <w:rPr>
                <w:rFonts w:hint="eastAsia" w:ascii="仿宋_GB2312" w:hAnsi="宋体" w:eastAsia="仿宋_GB2312" w:cs="宋体"/>
                <w:b/>
                <w:bCs/>
                <w:kern w:val="0"/>
                <w:sz w:val="22"/>
                <w:szCs w:val="22"/>
              </w:rPr>
              <w:t xml:space="preserve">变动比率(%)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widowControl/>
              <w:jc w:val="center"/>
              <w:rPr>
                <w:rFonts w:ascii="仿宋_GB2312" w:eastAsia="仿宋_GB2312" w:cs="宋体"/>
                <w:kern w:val="0"/>
                <w:sz w:val="22"/>
                <w:szCs w:val="22"/>
              </w:rPr>
            </w:pPr>
            <w:r>
              <w:rPr>
                <w:rFonts w:hint="eastAsia" w:ascii="仿宋_GB2312" w:eastAsia="仿宋_GB2312" w:cs="宋体"/>
                <w:kern w:val="0"/>
                <w:sz w:val="22"/>
                <w:szCs w:val="22"/>
              </w:rPr>
              <w:t>资产总计</w:t>
            </w:r>
          </w:p>
        </w:tc>
        <w:tc>
          <w:tcPr>
            <w:tcW w:w="2094" w:type="dxa"/>
            <w:vAlign w:val="center"/>
          </w:tcPr>
          <w:p>
            <w:pPr>
              <w:autoSpaceDE w:val="0"/>
              <w:autoSpaceDN w:val="0"/>
              <w:adjustRightInd w:val="0"/>
              <w:jc w:val="center"/>
              <w:rPr>
                <w:rFonts w:ascii="仿宋_GB2312" w:eastAsia="仿宋_GB2312"/>
                <w:kern w:val="0"/>
                <w:szCs w:val="21"/>
              </w:rPr>
            </w:pPr>
            <w:r>
              <w:rPr>
                <w:rFonts w:hint="eastAsia" w:ascii="仿宋_GB2312" w:eastAsia="仿宋_GB2312"/>
                <w:kern w:val="0"/>
                <w:szCs w:val="21"/>
              </w:rPr>
              <w:t>13226</w:t>
            </w:r>
          </w:p>
        </w:tc>
        <w:tc>
          <w:tcPr>
            <w:tcW w:w="1982" w:type="dxa"/>
            <w:vAlign w:val="center"/>
          </w:tcPr>
          <w:p>
            <w:pPr>
              <w:autoSpaceDE w:val="0"/>
              <w:autoSpaceDN w:val="0"/>
              <w:adjustRightInd w:val="0"/>
              <w:jc w:val="center"/>
              <w:rPr>
                <w:rFonts w:ascii="仿宋_GB2312" w:eastAsia="仿宋_GB2312"/>
                <w:kern w:val="0"/>
                <w:szCs w:val="21"/>
              </w:rPr>
            </w:pPr>
            <w:r>
              <w:rPr>
                <w:rFonts w:hint="eastAsia" w:ascii="仿宋_GB2312" w:eastAsia="仿宋_GB2312"/>
                <w:kern w:val="0"/>
                <w:szCs w:val="21"/>
              </w:rPr>
              <w:t>12721</w:t>
            </w:r>
          </w:p>
        </w:tc>
        <w:tc>
          <w:tcPr>
            <w:tcW w:w="2157" w:type="dxa"/>
            <w:vAlign w:val="center"/>
          </w:tcPr>
          <w:p>
            <w:pPr>
              <w:jc w:val="center"/>
              <w:rPr>
                <w:rFonts w:ascii="仿宋_GB2312" w:eastAsia="仿宋_GB2312" w:cs="宋体"/>
                <w:sz w:val="22"/>
                <w:szCs w:val="22"/>
              </w:rPr>
            </w:pPr>
            <w:r>
              <w:rPr>
                <w:rFonts w:hint="eastAsia" w:ascii="仿宋_GB2312" w:eastAsia="仿宋_GB2312" w:cs="宋体"/>
                <w:sz w:val="22"/>
                <w:szCs w:val="22"/>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bottom"/>
          </w:tcPr>
          <w:p>
            <w:pPr>
              <w:widowControl/>
              <w:jc w:val="center"/>
              <w:rPr>
                <w:rFonts w:ascii="仿宋_GB2312" w:eastAsia="仿宋_GB2312" w:cs="宋体"/>
                <w:kern w:val="0"/>
                <w:sz w:val="22"/>
                <w:szCs w:val="22"/>
              </w:rPr>
            </w:pPr>
            <w:r>
              <w:rPr>
                <w:rFonts w:hint="eastAsia" w:ascii="仿宋_GB2312" w:eastAsia="仿宋_GB2312" w:cs="宋体"/>
                <w:kern w:val="0"/>
                <w:sz w:val="22"/>
                <w:szCs w:val="22"/>
              </w:rPr>
              <w:t>负债合计</w:t>
            </w:r>
          </w:p>
        </w:tc>
        <w:tc>
          <w:tcPr>
            <w:tcW w:w="2094" w:type="dxa"/>
            <w:vAlign w:val="center"/>
          </w:tcPr>
          <w:p>
            <w:pPr>
              <w:autoSpaceDE w:val="0"/>
              <w:autoSpaceDN w:val="0"/>
              <w:adjustRightInd w:val="0"/>
              <w:jc w:val="center"/>
              <w:rPr>
                <w:rFonts w:ascii="仿宋_GB2312" w:eastAsia="仿宋_GB2312"/>
                <w:kern w:val="0"/>
                <w:szCs w:val="21"/>
              </w:rPr>
            </w:pPr>
            <w:r>
              <w:rPr>
                <w:rFonts w:hint="eastAsia" w:ascii="仿宋_GB2312" w:eastAsia="仿宋_GB2312"/>
                <w:kern w:val="0"/>
                <w:szCs w:val="21"/>
              </w:rPr>
              <w:t>419</w:t>
            </w:r>
          </w:p>
        </w:tc>
        <w:tc>
          <w:tcPr>
            <w:tcW w:w="1982" w:type="dxa"/>
            <w:vAlign w:val="center"/>
          </w:tcPr>
          <w:p>
            <w:pPr>
              <w:autoSpaceDE w:val="0"/>
              <w:autoSpaceDN w:val="0"/>
              <w:adjustRightInd w:val="0"/>
              <w:jc w:val="center"/>
              <w:rPr>
                <w:rFonts w:ascii="仿宋_GB2312" w:eastAsia="仿宋_GB2312"/>
                <w:kern w:val="0"/>
                <w:szCs w:val="21"/>
              </w:rPr>
            </w:pPr>
            <w:r>
              <w:rPr>
                <w:rFonts w:hint="eastAsia" w:ascii="仿宋_GB2312" w:eastAsia="仿宋_GB2312"/>
                <w:kern w:val="0"/>
                <w:szCs w:val="21"/>
              </w:rPr>
              <w:t>426</w:t>
            </w:r>
          </w:p>
        </w:tc>
        <w:tc>
          <w:tcPr>
            <w:tcW w:w="2157" w:type="dxa"/>
            <w:vAlign w:val="center"/>
          </w:tcPr>
          <w:p>
            <w:pPr>
              <w:jc w:val="center"/>
              <w:rPr>
                <w:rFonts w:ascii="仿宋_GB2312" w:eastAsia="仿宋_GB2312" w:cs="宋体"/>
                <w:sz w:val="22"/>
                <w:szCs w:val="22"/>
              </w:rPr>
            </w:pPr>
            <w:r>
              <w:rPr>
                <w:rFonts w:hint="eastAsia" w:ascii="仿宋_GB2312" w:eastAsia="仿宋_GB2312" w:cs="宋体"/>
                <w:sz w:val="22"/>
                <w:szCs w:val="22"/>
              </w:rPr>
              <w:t>1.79%</w:t>
            </w:r>
          </w:p>
        </w:tc>
      </w:tr>
    </w:tbl>
    <w:p>
      <w:pPr>
        <w:tabs>
          <w:tab w:val="left" w:pos="7350"/>
        </w:tabs>
        <w:spacing w:before="63" w:beforeLines="20" w:after="63" w:afterLines="20" w:line="600" w:lineRule="exact"/>
        <w:rPr>
          <w:rFonts w:ascii="仿宋_GB2312" w:eastAsia="仿宋_GB2312" w:cs="宋体"/>
          <w:b/>
          <w:bCs/>
          <w:kern w:val="0"/>
          <w:szCs w:val="21"/>
          <w:lang w:val="zh-CN"/>
        </w:rPr>
      </w:pPr>
      <w:r>
        <w:rPr>
          <w:rFonts w:hint="eastAsia" w:ascii="仿宋_GB2312" w:hAnsi="宋体" w:eastAsia="仿宋_GB2312" w:cs="宋体"/>
          <w:b/>
          <w:bCs/>
          <w:kern w:val="0"/>
          <w:szCs w:val="21"/>
          <w:lang w:val="zh-CN"/>
        </w:rPr>
        <w:t>备注：1、有下属子公司的单位填报合并口径数据。2、金额保留整数，变动比率保留两位小数。</w:t>
      </w:r>
    </w:p>
    <w:p>
      <w:pPr>
        <w:tabs>
          <w:tab w:val="left" w:pos="7350"/>
        </w:tabs>
        <w:spacing w:before="63" w:beforeLines="20" w:after="63" w:afterLines="20" w:line="600" w:lineRule="exact"/>
        <w:ind w:firstLine="482"/>
        <w:rPr>
          <w:rFonts w:ascii="仿宋_GB2312" w:hAnsi="宋体" w:eastAsia="仿宋_GB2312" w:cs="宋体"/>
          <w:b/>
          <w:bCs/>
          <w:kern w:val="0"/>
          <w:sz w:val="30"/>
          <w:szCs w:val="30"/>
          <w:lang w:val="zh-CN"/>
        </w:rPr>
      </w:pPr>
      <w:r>
        <w:rPr>
          <w:rFonts w:hint="eastAsia" w:ascii="仿宋_GB2312" w:hAnsi="宋体" w:eastAsia="仿宋_GB2312" w:cs="宋体"/>
          <w:b/>
          <w:bCs/>
          <w:kern w:val="0"/>
          <w:sz w:val="30"/>
          <w:szCs w:val="30"/>
          <w:lang w:val="zh-CN"/>
        </w:rPr>
        <w:t>（三）国有资本保值增值情况</w:t>
      </w:r>
    </w:p>
    <w:p>
      <w:pPr>
        <w:tabs>
          <w:tab w:val="left" w:pos="426"/>
        </w:tabs>
        <w:spacing w:line="600" w:lineRule="exact"/>
        <w:ind w:left="6" w:leftChars="3" w:firstLine="600" w:firstLineChars="200"/>
        <w:rPr>
          <w:rFonts w:ascii="仿宋_GB2312" w:hAnsi="宋体" w:eastAsia="仿宋_GB2312" w:cs="Arial"/>
          <w:sz w:val="30"/>
          <w:szCs w:val="30"/>
        </w:rPr>
      </w:pPr>
      <w:r>
        <w:rPr>
          <w:rFonts w:hint="eastAsia" w:ascii="仿宋_GB2312" w:hAnsi="宋体" w:eastAsia="仿宋_GB2312" w:cs="Arial"/>
          <w:sz w:val="30"/>
          <w:szCs w:val="30"/>
        </w:rPr>
        <w:t>期末资产余额较年初资产余额减少的原因是向母公司划转上年度利润。报告期内利润总额1</w:t>
      </w:r>
      <w:r>
        <w:rPr>
          <w:rFonts w:ascii="仿宋_GB2312" w:hAnsi="宋体" w:eastAsia="仿宋_GB2312" w:cs="Arial"/>
          <w:sz w:val="30"/>
          <w:szCs w:val="30"/>
        </w:rPr>
        <w:t>76</w:t>
      </w:r>
      <w:r>
        <w:rPr>
          <w:rFonts w:hint="eastAsia" w:ascii="仿宋_GB2312" w:hAnsi="宋体" w:eastAsia="仿宋_GB2312" w:cs="Arial"/>
          <w:sz w:val="30"/>
          <w:szCs w:val="30"/>
        </w:rPr>
        <w:t>万元，实现了国有资本保值增值。</w:t>
      </w:r>
    </w:p>
    <w:p>
      <w:pPr>
        <w:ind w:firstLine="600" w:firstLineChars="200"/>
        <w:rPr>
          <w:rFonts w:ascii="黑体" w:hAnsi="黑体" w:eastAsia="黑体"/>
          <w:bCs/>
          <w:sz w:val="30"/>
          <w:szCs w:val="30"/>
        </w:rPr>
      </w:pPr>
      <w:r>
        <w:rPr>
          <w:rFonts w:hint="eastAsia" w:ascii="黑体" w:hAnsi="黑体" w:eastAsia="黑体"/>
          <w:bCs/>
          <w:sz w:val="30"/>
          <w:szCs w:val="30"/>
        </w:rPr>
        <w:t>四、企业重大改制重组结果</w:t>
      </w:r>
    </w:p>
    <w:p>
      <w:pPr>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（一）公开公司重大改制改组基本情况</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1、重大改制改组的背景与原因；</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2、改制改组的基本框架。</w:t>
      </w:r>
    </w:p>
    <w:p>
      <w:pPr>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（二）公开公司重大改制改组完成情况</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1、推进改制改组所做的工作；</w:t>
      </w:r>
    </w:p>
    <w:p>
      <w:pPr>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2、取得的核准同意函；</w:t>
      </w:r>
    </w:p>
    <w:p>
      <w:pPr>
        <w:ind w:firstLine="600" w:firstLineChars="200"/>
        <w:rPr>
          <w:rFonts w:ascii="仿宋_GB2312" w:hAnsi="黑体" w:eastAsia="仿宋_GB2312"/>
          <w:bCs/>
          <w:sz w:val="30"/>
          <w:szCs w:val="30"/>
        </w:rPr>
      </w:pPr>
      <w:r>
        <w:rPr>
          <w:rFonts w:hint="eastAsia" w:ascii="仿宋_GB2312" w:hAnsi="仿宋" w:eastAsia="仿宋_GB2312" w:cs="仿宋"/>
          <w:sz w:val="30"/>
          <w:szCs w:val="30"/>
        </w:rPr>
        <w:t>3、签订的协议书等。</w:t>
      </w:r>
    </w:p>
    <w:p>
      <w:pPr>
        <w:ind w:firstLine="600" w:firstLineChars="200"/>
        <w:rPr>
          <w:rFonts w:ascii="黑体" w:hAnsi="黑体" w:eastAsia="黑体"/>
          <w:bCs/>
          <w:sz w:val="30"/>
          <w:szCs w:val="30"/>
        </w:rPr>
      </w:pPr>
      <w:r>
        <w:rPr>
          <w:rFonts w:hint="eastAsia" w:ascii="黑体" w:hAnsi="黑体" w:eastAsia="黑体"/>
          <w:bCs/>
          <w:sz w:val="30"/>
          <w:szCs w:val="30"/>
        </w:rPr>
        <w:t>五、通过产权市场转让企业产权和企业增资等信息</w:t>
      </w:r>
    </w:p>
    <w:p>
      <w:pPr>
        <w:tabs>
          <w:tab w:val="left" w:pos="426"/>
        </w:tabs>
        <w:spacing w:line="600" w:lineRule="exact"/>
        <w:ind w:left="6" w:leftChars="3" w:firstLine="600" w:firstLineChars="200"/>
        <w:rPr>
          <w:rFonts w:ascii="仿宋_GB2312" w:hAnsi="仿宋" w:eastAsia="仿宋_GB2312" w:cs="仿宋"/>
          <w:sz w:val="30"/>
          <w:szCs w:val="30"/>
        </w:rPr>
      </w:pPr>
      <w:r>
        <w:rPr>
          <w:rFonts w:hint="eastAsia" w:ascii="仿宋_GB2312" w:hAnsi="仿宋" w:eastAsia="仿宋_GB2312" w:cs="仿宋"/>
          <w:sz w:val="30"/>
          <w:szCs w:val="30"/>
        </w:rPr>
        <w:t>无</w:t>
      </w:r>
    </w:p>
    <w:p>
      <w:pPr>
        <w:ind w:firstLine="600" w:firstLineChars="200"/>
        <w:rPr>
          <w:rFonts w:ascii="黑体" w:hAnsi="黑体" w:eastAsia="黑体"/>
          <w:bCs/>
          <w:sz w:val="30"/>
          <w:szCs w:val="30"/>
        </w:rPr>
      </w:pPr>
      <w:r>
        <w:rPr>
          <w:rFonts w:hint="eastAsia" w:ascii="黑体" w:hAnsi="黑体" w:eastAsia="黑体"/>
          <w:bCs/>
          <w:sz w:val="30"/>
          <w:szCs w:val="30"/>
        </w:rPr>
        <w:t>六、有关部门依法要求公开的监督检查问题等整改情况、重大突发事件时态发展和应急处置情况</w:t>
      </w:r>
    </w:p>
    <w:p>
      <w:pPr>
        <w:tabs>
          <w:tab w:val="left" w:pos="426"/>
        </w:tabs>
        <w:spacing w:line="600" w:lineRule="exact"/>
        <w:ind w:left="6" w:leftChars="3" w:firstLine="600" w:firstLineChars="200"/>
        <w:rPr>
          <w:rFonts w:ascii="仿宋_GB2312" w:hAnsi="仿宋" w:eastAsia="仿宋_GB2312" w:cs="仿宋"/>
          <w:sz w:val="30"/>
          <w:szCs w:val="30"/>
        </w:rPr>
      </w:pPr>
      <w:r>
        <w:rPr>
          <w:rFonts w:hint="eastAsia" w:ascii="仿宋_GB2312" w:hAnsi="仿宋" w:eastAsia="仿宋_GB2312" w:cs="仿宋"/>
          <w:sz w:val="30"/>
          <w:szCs w:val="30"/>
        </w:rPr>
        <w:t>无</w:t>
      </w:r>
    </w:p>
    <w:p>
      <w:pPr>
        <w:ind w:firstLine="600" w:firstLineChars="200"/>
        <w:rPr>
          <w:rFonts w:ascii="黑体" w:hAnsi="黑体" w:eastAsia="黑体"/>
          <w:bCs/>
          <w:sz w:val="30"/>
          <w:szCs w:val="30"/>
        </w:rPr>
      </w:pPr>
      <w:r>
        <w:rPr>
          <w:rFonts w:hint="eastAsia" w:ascii="黑体" w:hAnsi="黑体" w:eastAsia="黑体"/>
          <w:bCs/>
          <w:sz w:val="30"/>
          <w:szCs w:val="30"/>
        </w:rPr>
        <w:t>七、企业履行社会责任情况（可选填、可单独成段写）</w:t>
      </w:r>
    </w:p>
    <w:tbl>
      <w:tblPr>
        <w:tblStyle w:val="5"/>
        <w:tblW w:w="8931" w:type="dxa"/>
        <w:jc w:val="center"/>
        <w:tblInd w:w="0" w:type="dxa"/>
        <w:tblLayout w:type="fixed"/>
        <w:tblCellMar>
          <w:top w:w="0" w:type="dxa"/>
          <w:left w:w="108" w:type="dxa"/>
          <w:bottom w:w="0" w:type="dxa"/>
          <w:right w:w="108" w:type="dxa"/>
        </w:tblCellMar>
      </w:tblPr>
      <w:tblGrid>
        <w:gridCol w:w="1277"/>
        <w:gridCol w:w="1559"/>
        <w:gridCol w:w="6095"/>
      </w:tblGrid>
      <w:tr>
        <w:tblPrEx>
          <w:tblLayout w:type="fixed"/>
          <w:tblCellMar>
            <w:top w:w="0" w:type="dxa"/>
            <w:left w:w="108" w:type="dxa"/>
            <w:bottom w:w="0" w:type="dxa"/>
            <w:right w:w="108" w:type="dxa"/>
          </w:tblCellMar>
        </w:tblPrEx>
        <w:trPr>
          <w:trHeight w:val="624"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项目</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公开事项</w:t>
            </w:r>
          </w:p>
        </w:tc>
        <w:tc>
          <w:tcPr>
            <w:tcW w:w="6095"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具体内容</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（一）</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经济责任</w:t>
            </w: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与政府合作</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1、贯彻落实国家产业政策以及国家签订的国际合约等情况；2、接受政府援助的数额。</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信用管理</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1、信用评估取得等级；2、信用评估相关评价。</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诚信纳税</w:t>
            </w:r>
          </w:p>
        </w:tc>
        <w:tc>
          <w:tcPr>
            <w:tcW w:w="6095"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1、纳税原则；2、企业依法纳税情况；3、上缴税费及增减幅。</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（二）</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安全责任</w:t>
            </w: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安全教育培训</w:t>
            </w:r>
          </w:p>
        </w:tc>
        <w:tc>
          <w:tcPr>
            <w:tcW w:w="6095" w:type="dxa"/>
            <w:tcBorders>
              <w:top w:val="nil"/>
              <w:left w:val="nil"/>
              <w:bottom w:val="single" w:color="auto" w:sz="4" w:space="0"/>
              <w:right w:val="single" w:color="auto" w:sz="4" w:space="0"/>
            </w:tcBorders>
            <w:vAlign w:val="center"/>
          </w:tcPr>
          <w:p>
            <w:pPr>
              <w:pStyle w:val="8"/>
              <w:widowControl/>
              <w:numPr>
                <w:ilvl w:val="0"/>
                <w:numId w:val="1"/>
              </w:numPr>
              <w:ind w:firstLineChars="0"/>
              <w:jc w:val="left"/>
              <w:rPr>
                <w:rFonts w:hint="eastAsia" w:ascii="仿宋_GB2312" w:hAnsi="宋体" w:eastAsia="仿宋_GB2312" w:cs="宋体"/>
                <w:kern w:val="0"/>
                <w:szCs w:val="21"/>
              </w:rPr>
            </w:pPr>
            <w:r>
              <w:rPr>
                <w:rFonts w:hint="eastAsia" w:ascii="仿宋_GB2312" w:hAnsi="宋体" w:eastAsia="仿宋_GB2312" w:cs="宋体"/>
                <w:kern w:val="0"/>
                <w:szCs w:val="21"/>
              </w:rPr>
              <w:t>基础和专业培训（含应急演练）开展次数及参与人数；组织1次消防演练，参与人数6人。2、安全教育培训率。安全教育培训率1</w:t>
            </w:r>
            <w:r>
              <w:rPr>
                <w:rFonts w:ascii="仿宋_GB2312" w:hAnsi="宋体" w:eastAsia="仿宋_GB2312" w:cs="宋体"/>
                <w:kern w:val="0"/>
                <w:szCs w:val="21"/>
              </w:rPr>
              <w:t>00%</w:t>
            </w:r>
            <w:r>
              <w:rPr>
                <w:rFonts w:hint="eastAsia" w:ascii="仿宋_GB2312" w:hAnsi="宋体" w:eastAsia="仿宋_GB2312" w:cs="宋体"/>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隐患治理</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1、隐患治理投入额度；2、排查隐患数；3、重大隐患治理率；4、危险源危险度。</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职业健康</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1、职业健康培训率；2、职业健康体检率；1</w:t>
            </w:r>
            <w:r>
              <w:rPr>
                <w:rFonts w:ascii="仿宋_GB2312" w:hAnsi="宋体" w:eastAsia="仿宋_GB2312" w:cs="宋体"/>
                <w:kern w:val="0"/>
                <w:szCs w:val="21"/>
              </w:rPr>
              <w:t>00%</w:t>
            </w:r>
            <w:r>
              <w:rPr>
                <w:rFonts w:hint="eastAsia" w:ascii="仿宋_GB2312" w:hAnsi="宋体" w:eastAsia="仿宋_GB2312" w:cs="宋体"/>
                <w:kern w:val="0"/>
                <w:szCs w:val="21"/>
              </w:rPr>
              <w:t>。3、岗位粉尘合格率；4、噪声合格率；5、高温合格率；6、毒物合格率。</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（三）</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创新责任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管理创新</w:t>
            </w:r>
          </w:p>
        </w:tc>
        <w:tc>
          <w:tcPr>
            <w:tcW w:w="6095"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1、管理创新成果；2、组织和流程优化；3、制度体系创新。</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信息化建设</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1、信息化建设管理体系建设；2、信息和自动化工程技术输出。</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技术创新</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1、技术创新体系；2、参与国家重大科研课题攻关内容。</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创新平台</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1、科技投入额；2、省部级以上科研成果数；3、申请专利数；4、获得授权专利数。</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（四）</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环境责任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管理体系</w:t>
            </w:r>
          </w:p>
        </w:tc>
        <w:tc>
          <w:tcPr>
            <w:tcW w:w="6095"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1、环境管理体系运行、审核、认证情况；</w:t>
            </w:r>
          </w:p>
          <w:p>
            <w:pPr>
              <w:widowControl/>
              <w:jc w:val="left"/>
              <w:rPr>
                <w:rFonts w:ascii="仿宋_GB2312" w:eastAsia="仿宋_GB2312" w:cs="宋体"/>
                <w:kern w:val="0"/>
                <w:szCs w:val="21"/>
              </w:rPr>
            </w:pPr>
            <w:r>
              <w:rPr>
                <w:rFonts w:hint="eastAsia" w:ascii="仿宋_GB2312" w:hAnsi="宋体" w:eastAsia="仿宋_GB2312" w:cs="宋体"/>
                <w:kern w:val="0"/>
                <w:szCs w:val="21"/>
              </w:rPr>
              <w:t>2、环境影响评价制度执行率。</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保护环境</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1、节能（节水）环保新工艺新技术新装备展示推广、宣传教育活动的次数、内容和参与人数；2、环境公益活动开展情况。</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诚信环保</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1、发布相关环境信息情况。</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副产品资源化</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1、固体废物综合利用率；2、返回生产利用率；                                                       3、危险废物安全处置率。</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环境指标</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1、吨钢综合能耗；2、吨钢新水消耗。</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园林工厂建设</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1、绿化覆盖率。</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（五）</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社会责任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职工权益保障</w:t>
            </w:r>
          </w:p>
        </w:tc>
        <w:tc>
          <w:tcPr>
            <w:tcW w:w="6095"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1、职工合法权益保障情况；2、公司与员工劳动合同签约率；3、女职工合法权益维护保障。</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全员健身活动</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1、开展活动次数；1次。2、参与活动人数。5</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客户服务管理</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1、客户走访率；2、提供技术培训与服务人（次）；3、客户培训和专题交流人（次）；4、用户满意度。</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供应商关系</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1、网上招标采购率；2、设备采购合同履约率；3、责任采购比重。</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社区共建</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1、服务社区活动情况；2、组织社区文艺演出情况。</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公益捐赠</w:t>
            </w:r>
          </w:p>
        </w:tc>
        <w:tc>
          <w:tcPr>
            <w:tcW w:w="6095"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1、企业公益额及占税前利润的比例；2、员工捐赠额及占税前利润的比例。</w:t>
            </w:r>
          </w:p>
        </w:tc>
      </w:tr>
      <w:tr>
        <w:tblPrEx>
          <w:tblLayout w:type="fixed"/>
          <w:tblCellMar>
            <w:top w:w="0" w:type="dxa"/>
            <w:left w:w="108" w:type="dxa"/>
            <w:bottom w:w="0" w:type="dxa"/>
            <w:right w:w="108" w:type="dxa"/>
          </w:tblCellMar>
        </w:tblPrEx>
        <w:trPr>
          <w:trHeight w:val="624" w:hRule="atLeast"/>
          <w:jc w:val="center"/>
        </w:trPr>
        <w:tc>
          <w:tcPr>
            <w:tcW w:w="1277" w:type="dxa"/>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（六）</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未来展望</w:t>
            </w: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战略实施</w:t>
            </w:r>
          </w:p>
        </w:tc>
        <w:tc>
          <w:tcPr>
            <w:tcW w:w="6095" w:type="dxa"/>
            <w:tcBorders>
              <w:top w:val="nil"/>
              <w:left w:val="nil"/>
              <w:bottom w:val="single" w:color="auto" w:sz="4" w:space="0"/>
              <w:right w:val="single" w:color="auto" w:sz="4" w:space="0"/>
            </w:tcBorders>
            <w:vAlign w:val="center"/>
          </w:tcPr>
          <w:p>
            <w:pPr>
              <w:widowControl/>
              <w:jc w:val="left"/>
              <w:rPr>
                <w:rFonts w:ascii="仿宋_GB2312" w:eastAsia="仿宋_GB2312" w:cs="宋体"/>
                <w:kern w:val="0"/>
                <w:szCs w:val="21"/>
              </w:rPr>
            </w:pPr>
            <w:r>
              <w:rPr>
                <w:rFonts w:hint="eastAsia" w:ascii="仿宋_GB2312" w:hAnsi="宋体" w:eastAsia="仿宋_GB2312" w:cs="宋体"/>
                <w:kern w:val="0"/>
                <w:szCs w:val="21"/>
              </w:rPr>
              <w:t>1、文化建设；2、改革发展；3、产品升级；4、发展目标。</w:t>
            </w:r>
          </w:p>
        </w:tc>
      </w:tr>
    </w:tbl>
    <w:p>
      <w:pPr>
        <w:ind w:firstLine="600" w:firstLineChars="200"/>
        <w:rPr>
          <w:rFonts w:ascii="宋体"/>
          <w:sz w:val="30"/>
          <w:szCs w:val="30"/>
        </w:rPr>
      </w:pPr>
      <w:r>
        <w:rPr>
          <w:rFonts w:hint="eastAsia" w:ascii="黑体" w:hAnsi="黑体" w:eastAsia="黑体"/>
          <w:bCs/>
          <w:sz w:val="30"/>
          <w:szCs w:val="30"/>
        </w:rPr>
        <w:t>八、其他依照法律法规应当主动公开的信息</w:t>
      </w:r>
    </w:p>
    <w:p>
      <w:pPr>
        <w:tabs>
          <w:tab w:val="left" w:pos="426"/>
        </w:tabs>
        <w:spacing w:line="600" w:lineRule="exact"/>
        <w:ind w:left="6" w:leftChars="3" w:firstLine="600" w:firstLineChars="200"/>
        <w:rPr>
          <w:rFonts w:ascii="仿宋_GB2312" w:hAnsi="仿宋" w:eastAsia="仿宋_GB2312" w:cs="仿宋"/>
          <w:sz w:val="30"/>
          <w:szCs w:val="30"/>
        </w:rPr>
      </w:pPr>
      <w:r>
        <w:rPr>
          <w:rFonts w:hint="eastAsia" w:ascii="仿宋_GB2312" w:hAnsi="仿宋" w:eastAsia="仿宋_GB2312" w:cs="仿宋"/>
          <w:sz w:val="30"/>
          <w:szCs w:val="30"/>
        </w:rPr>
        <w:t>无</w:t>
      </w:r>
    </w:p>
    <w:p/>
    <w:sectPr>
      <w:headerReference r:id="rId3" w:type="default"/>
      <w:footerReference r:id="rId4" w:type="default"/>
      <w:pgSz w:w="11906" w:h="16838"/>
      <w:pgMar w:top="1871" w:right="1474" w:bottom="1871" w:left="1587" w:header="850" w:footer="1814"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PowerPlusWaterMarkObject11996982" o:spid="_x0000_s2070" o:spt="136" type="#_x0000_t136" style="position:absolute;left:0pt;margin-left:410.75pt;margin-top:578.3pt;height:14pt;width:130pt;mso-position-horizontal-relative:margin;mso-position-vertical-relative:margin;rotation:-2949120f;z-index:-251636736;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1043671" o:spid="_x0000_s2069" o:spt="136" type="#_x0000_t136" style="position:absolute;left:0pt;margin-left:283.45pt;margin-top:705.55pt;height:14pt;width:130pt;mso-position-horizontal-relative:margin;mso-position-vertical-relative:margin;rotation:-2949120f;z-index:-251637760;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0383622" o:spid="_x0000_s2068" o:spt="136" type="#_x0000_t136" style="position:absolute;left:0pt;margin-left:410.75pt;margin-top:372.95pt;height:14pt;width:130pt;mso-position-horizontal-relative:margin;mso-position-vertical-relative:margin;rotation:-2949120f;z-index:-251638784;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0359700" o:spid="_x0000_s2067" o:spt="136" type="#_x0000_t136" style="position:absolute;left:0pt;margin-left:283.45pt;margin-top:500.25pt;height:14pt;width:130pt;mso-position-horizontal-relative:margin;mso-position-vertical-relative:margin;rotation:-2949120f;z-index:-251639808;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0085633" o:spid="_x0000_s2066" o:spt="136" type="#_x0000_t136" style="position:absolute;left:0pt;margin-left:156.15pt;margin-top:627.5pt;height:14pt;width:130pt;mso-position-horizontal-relative:margin;mso-position-vertical-relative:margin;rotation:-2949120f;z-index:-251640832;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9256429" o:spid="_x0000_s2065" o:spt="136" type="#_x0000_t136" style="position:absolute;left:0pt;margin-left:28.9pt;margin-top:754.8pt;height:14pt;width:130pt;mso-position-horizontal-relative:margin;mso-position-vertical-relative:margin;rotation:-2949120f;z-index:-251641856;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8272928" o:spid="_x0000_s2064" o:spt="136" type="#_x0000_t136" style="position:absolute;left:0pt;margin-left:410.75pt;margin-top:167.65pt;height:14pt;width:130pt;mso-position-horizontal-relative:margin;mso-position-vertical-relative:margin;rotation:-2949120f;z-index:-251642880;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7513938" o:spid="_x0000_s2063" o:spt="136" type="#_x0000_t136" style="position:absolute;left:0pt;margin-left:283.45pt;margin-top:294.95pt;height:14pt;width:130pt;mso-position-horizontal-relative:margin;mso-position-vertical-relative:margin;rotation:-2949120f;z-index:-251643904;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6526197" o:spid="_x0000_s2062" o:spt="136" type="#_x0000_t136" style="position:absolute;left:0pt;margin-left:156.15pt;margin-top:422.2pt;height:14pt;width:130pt;mso-position-horizontal-relative:margin;mso-position-vertical-relative:margin;rotation:-2949120f;z-index:-251644928;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5758489" o:spid="_x0000_s2061" o:spt="136" type="#_x0000_t136" style="position:absolute;left:0pt;margin-left:28.9pt;margin-top:549.5pt;height:14pt;width:130pt;mso-position-horizontal-relative:margin;mso-position-vertical-relative:margin;rotation:-2949120f;z-index:-251645952;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5157090" o:spid="_x0000_s2060" o:spt="136" type="#_x0000_t136" style="position:absolute;left:0pt;margin-left:-98.4pt;margin-top:676.75pt;height:14pt;width:130pt;mso-position-horizontal-relative:margin;mso-position-vertical-relative:margin;rotation:-2949120f;z-index:-251646976;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4773946" o:spid="_x0000_s2059" o:spt="136" type="#_x0000_t136" style="position:absolute;left:0pt;margin-left:410.75pt;margin-top:-37.65pt;height:14pt;width:130pt;mso-position-horizontal-relative:margin;mso-position-vertical-relative:margin;rotation:-2949120f;z-index:-251648000;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4110553" o:spid="_x0000_s2058" o:spt="136" type="#_x0000_t136" style="position:absolute;left:0pt;margin-left:283.45pt;margin-top:89.6pt;height:14pt;width:130pt;mso-position-horizontal-relative:margin;mso-position-vertical-relative:margin;rotation:-2949120f;z-index:-251649024;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3671555" o:spid="_x0000_s2057" o:spt="136" type="#_x0000_t136" style="position:absolute;left:0pt;margin-left:156.15pt;margin-top:216.9pt;height:14pt;width:130pt;mso-position-horizontal-relative:margin;mso-position-vertical-relative:margin;rotation:-2949120f;z-index:-251650048;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2720318" o:spid="_x0000_s2056" o:spt="136" type="#_x0000_t136" style="position:absolute;left:0pt;margin-left:28.9pt;margin-top:344.15pt;height:14pt;width:130pt;mso-position-horizontal-relative:margin;mso-position-vertical-relative:margin;rotation:-2949120f;z-index:-251651072;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2439228" o:spid="_x0000_s2055" o:spt="136" type="#_x0000_t136" style="position:absolute;left:0pt;margin-left:-98.4pt;margin-top:471.45pt;height:14pt;width:130pt;mso-position-horizontal-relative:margin;mso-position-vertical-relative:margin;rotation:-2949120f;z-index:-251652096;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907288" o:spid="_x0000_s2054" o:spt="136" type="#_x0000_t136" style="position:absolute;left:0pt;margin-left:283.45pt;margin-top:-115.7pt;height:14pt;width:130pt;mso-position-horizontal-relative:margin;mso-position-vertical-relative:margin;rotation:-2949120f;z-index:-251653120;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824099" o:spid="_x0000_s2053" o:spt="136" type="#_x0000_t136" style="position:absolute;left:0pt;margin-left:156.15pt;margin-top:11.6pt;height:14pt;width:130pt;mso-position-horizontal-relative:margin;mso-position-vertical-relative:margin;rotation:-2949120f;z-index:-251654144;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755759" o:spid="_x0000_s2052" o:spt="136" type="#_x0000_t136" style="position:absolute;left:0pt;margin-left:28.9pt;margin-top:138.85pt;height:14pt;width:130pt;mso-position-horizontal-relative:margin;mso-position-vertical-relative:margin;rotation:-2949120f;z-index:-251655168;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1350551" o:spid="_x0000_s2051" o:spt="136" type="#_x0000_t136" style="position:absolute;left:0pt;margin-left:-98.4pt;margin-top:266.15pt;height:14pt;width:130pt;mso-position-horizontal-relative:margin;mso-position-vertical-relative:margin;rotation:-2949120f;z-index:-251656192;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936920" o:spid="_x0000_s2050" o:spt="136" type="#_x0000_t136" style="position:absolute;left:0pt;margin-left:28.9pt;margin-top:-66.45pt;height:14pt;width:130pt;mso-position-horizontal-relative:margin;mso-position-vertical-relative:margin;rotation:-2949120f;z-index:-251657216;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r>
      <w:pict>
        <v:shape id="PowerPlusWaterMarkObject377142" o:spid="_x0000_s2049" o:spt="136" type="#_x0000_t136" style="position:absolute;left:0pt;margin-left:-98.4pt;margin-top:60.8pt;height:14pt;width:130pt;mso-position-horizontal-relative:margin;mso-position-vertical-relative:margin;rotation:-2949120f;z-index:-251658240;mso-width-relative:page;mso-height-relative:page;" fillcolor="#C0C0C0" filled="t" stroked="f" coordsize="21600,21600">
          <v:path/>
          <v:fill on="t" opacity="19660f" focussize="0,0"/>
          <v:stroke on="f"/>
          <v:imagedata o:title=""/>
          <o:lock v:ext="edit" aspectratio="t"/>
          <v:textpath on="t" fitshape="t" fitpath="t" trim="t" xscale="f" string="HM4634   2024-01-05" style="font-family:Sans Serif;font-size:14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55E97"/>
    <w:multiLevelType w:val="multilevel"/>
    <w:tmpl w:val="04055E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7F1"/>
    <w:rsid w:val="00034962"/>
    <w:rsid w:val="0046402C"/>
    <w:rsid w:val="00545C5C"/>
    <w:rsid w:val="005E60A2"/>
    <w:rsid w:val="007507F1"/>
    <w:rsid w:val="00921016"/>
    <w:rsid w:val="00990B09"/>
    <w:rsid w:val="00AA44B4"/>
    <w:rsid w:val="00BB4545"/>
    <w:rsid w:val="00D11D53"/>
    <w:rsid w:val="00F61F88"/>
    <w:rsid w:val="00FC71E0"/>
    <w:rsid w:val="0161045E"/>
    <w:rsid w:val="03166613"/>
    <w:rsid w:val="079C1F4E"/>
    <w:rsid w:val="08FE07C0"/>
    <w:rsid w:val="09516955"/>
    <w:rsid w:val="0A746E28"/>
    <w:rsid w:val="0FF90D5A"/>
    <w:rsid w:val="18634754"/>
    <w:rsid w:val="1BA018C4"/>
    <w:rsid w:val="208F7CE0"/>
    <w:rsid w:val="28F3608F"/>
    <w:rsid w:val="2A435EAD"/>
    <w:rsid w:val="2EE16741"/>
    <w:rsid w:val="2F8B3C3E"/>
    <w:rsid w:val="35C36997"/>
    <w:rsid w:val="37490582"/>
    <w:rsid w:val="3BBF7388"/>
    <w:rsid w:val="43EB66A8"/>
    <w:rsid w:val="44444E86"/>
    <w:rsid w:val="45D83E21"/>
    <w:rsid w:val="49812541"/>
    <w:rsid w:val="50DA2A6A"/>
    <w:rsid w:val="54BA763D"/>
    <w:rsid w:val="55050896"/>
    <w:rsid w:val="59436B9C"/>
    <w:rsid w:val="68FC0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4"/>
      <w:lang w:val="en-US" w:eastAsia="zh-CN" w:bidi="ar-SA"/>
    </w:rPr>
  </w:style>
  <w:style w:type="character" w:default="1" w:styleId="4">
    <w:name w:val="Default Paragraph Font"/>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uiPriority w:val="99"/>
    <w:rPr>
      <w:sz w:val="18"/>
      <w:szCs w:val="18"/>
    </w:rPr>
  </w:style>
  <w:style w:type="paragraph" w:styleId="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2"/>
    <customShpInfo spid="_x0000_s2051"/>
    <customShpInfo spid="_x0000_s2050"/>
    <customShpInfo spid="_x0000_s204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8FB420-8B9F-4CEF-93A7-6E3398C03123}">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368</Words>
  <Characters>2100</Characters>
  <Lines>17</Lines>
  <Paragraphs>4</Paragraphs>
  <TotalTime>11</TotalTime>
  <ScaleCrop>false</ScaleCrop>
  <LinksUpToDate>false</LinksUpToDate>
  <CharactersWithSpaces>2464</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2024-01-09T07:24:00Z</dcterms:created>
  <dc:creator>柴萃</dc:creator>
  <cp:lastModifiedBy>二郎</cp:lastModifiedBy>
  <cp:lastPrinted>2022-11-16T06:26:00Z</cp:lastPrinted>
  <dcterms:modified xsi:type="dcterms:W3CDTF">2024-01-24T05:50:32Z</dcterms:modified>
  <dc:title>太钢集团企业文化部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