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lang w:val="en-US" w:eastAsia="zh-CN"/>
        </w:rPr>
        <w:t>宁波宝新</w:t>
      </w:r>
      <w:r>
        <w:rPr>
          <w:rFonts w:hint="eastAsia" w:asciiTheme="majorEastAsia" w:hAnsiTheme="majorEastAsia" w:eastAsiaTheme="majorEastAsia" w:cstheme="majorEastAsia"/>
          <w:b/>
          <w:bCs/>
          <w:sz w:val="36"/>
          <w:szCs w:val="36"/>
        </w:rPr>
        <w:t>公司信息公开</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outlineLvl w:val="9"/>
        <w:rPr>
          <w:rFonts w:ascii="楷体_GB2312" w:eastAsia="楷体_GB2312"/>
          <w:sz w:val="32"/>
          <w:szCs w:val="32"/>
        </w:rPr>
      </w:pPr>
      <w:bookmarkStart w:id="0" w:name="_Hlk87362038"/>
      <w:r>
        <w:rPr>
          <w:rFonts w:hint="eastAsia" w:ascii="楷体_GB2312" w:eastAsia="楷体_GB2312"/>
          <w:sz w:val="32"/>
          <w:szCs w:val="32"/>
        </w:rPr>
        <w:t>2</w:t>
      </w:r>
      <w:r>
        <w:rPr>
          <w:rFonts w:ascii="楷体_GB2312" w:eastAsia="楷体_GB2312"/>
          <w:sz w:val="32"/>
          <w:szCs w:val="32"/>
        </w:rPr>
        <w:t>02</w:t>
      </w:r>
      <w:r>
        <w:rPr>
          <w:rFonts w:hint="eastAsia" w:ascii="楷体_GB2312" w:eastAsia="楷体_GB2312"/>
          <w:sz w:val="32"/>
          <w:szCs w:val="32"/>
          <w:lang w:val="en-US" w:eastAsia="zh-CN"/>
        </w:rPr>
        <w:t>3</w:t>
      </w:r>
      <w:r>
        <w:rPr>
          <w:rFonts w:hint="eastAsia" w:ascii="楷体_GB2312" w:eastAsia="楷体_GB2312"/>
          <w:sz w:val="32"/>
          <w:szCs w:val="32"/>
        </w:rPr>
        <w:t>年</w:t>
      </w:r>
      <w:r>
        <w:rPr>
          <w:rFonts w:hint="eastAsia" w:ascii="楷体_GB2312" w:eastAsia="楷体_GB2312"/>
          <w:sz w:val="32"/>
          <w:szCs w:val="32"/>
          <w:lang w:val="en-US" w:eastAsia="zh-CN"/>
        </w:rPr>
        <w:t>全年报</w:t>
      </w:r>
      <w:bookmarkEnd w:id="0"/>
    </w:p>
    <w:tbl>
      <w:tblPr>
        <w:tblStyle w:val="7"/>
        <w:tblW w:w="89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5" w:hRule="atLeast"/>
          <w:jc w:val="center"/>
        </w:trPr>
        <w:tc>
          <w:tcPr>
            <w:tcW w:w="8931" w:type="dxa"/>
            <w:vAlign w:val="top"/>
          </w:tcPr>
          <w:p>
            <w:pPr>
              <w:spacing w:line="540" w:lineRule="exact"/>
              <w:ind w:firstLine="560" w:firstLineChars="200"/>
              <w:jc w:val="left"/>
              <w:rPr>
                <w:rFonts w:ascii="楷体" w:hAnsi="楷体" w:eastAsia="楷体" w:cs="仿宋"/>
                <w:sz w:val="28"/>
                <w:szCs w:val="28"/>
              </w:rPr>
            </w:pPr>
            <w:r>
              <w:rPr>
                <w:rFonts w:hint="eastAsia" w:ascii="楷体" w:hAnsi="楷体" w:eastAsia="楷体" w:cs="仿宋"/>
                <w:sz w:val="28"/>
                <w:szCs w:val="28"/>
              </w:rPr>
              <w:t>本公司及董事会全体成员保证信息披露内容的真实、准确、完整，没有虚假记载、误导性陈述或重大遗漏。</w:t>
            </w:r>
          </w:p>
        </w:tc>
      </w:tr>
    </w:tbl>
    <w:p>
      <w:pPr>
        <w:rPr>
          <w:rFonts w:ascii="黑体" w:hAnsi="黑体" w:eastAsia="黑体" w:cs="黑体"/>
          <w:bCs/>
          <w:sz w:val="18"/>
          <w:szCs w:val="18"/>
        </w:rPr>
      </w:pPr>
    </w:p>
    <w:p>
      <w:pPr>
        <w:ind w:firstLine="600" w:firstLineChars="200"/>
        <w:rPr>
          <w:rFonts w:hint="eastAsia" w:ascii="黑体" w:hAnsi="黑体" w:eastAsia="黑体" w:cs="黑体"/>
          <w:bCs/>
          <w:color w:val="0000FF"/>
          <w:sz w:val="30"/>
          <w:szCs w:val="30"/>
          <w:lang w:eastAsia="zh-CN"/>
        </w:rPr>
      </w:pPr>
      <w:r>
        <w:rPr>
          <w:rFonts w:hint="eastAsia" w:ascii="黑体" w:hAnsi="黑体" w:eastAsia="黑体" w:cs="黑体"/>
          <w:bCs/>
          <w:sz w:val="30"/>
          <w:szCs w:val="30"/>
        </w:rPr>
        <w:t>一、企业基本情况</w:t>
      </w:r>
    </w:p>
    <w:p>
      <w:pPr>
        <w:widowControl/>
        <w:spacing w:line="54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中文名称：</w:t>
      </w:r>
      <w:r>
        <w:rPr>
          <w:rFonts w:hint="eastAsia" w:ascii="仿宋_GB2312" w:hAnsi="仿宋_GB2312" w:eastAsia="仿宋_GB2312" w:cs="仿宋_GB2312"/>
          <w:sz w:val="30"/>
          <w:szCs w:val="30"/>
          <w:lang w:val="en-US" w:eastAsia="zh-CN"/>
        </w:rPr>
        <w:t>宁波宝新不锈钢有限公司</w:t>
      </w:r>
      <w:r>
        <w:rPr>
          <w:rFonts w:hint="eastAsia" w:ascii="仿宋_GB2312" w:hAnsi="仿宋_GB2312" w:eastAsia="仿宋_GB2312" w:cs="仿宋_GB2312"/>
          <w:sz w:val="30"/>
          <w:szCs w:val="30"/>
        </w:rPr>
        <w:t>，简称：</w:t>
      </w:r>
      <w:r>
        <w:rPr>
          <w:rFonts w:hint="eastAsia" w:ascii="仿宋_GB2312" w:hAnsi="仿宋_GB2312" w:eastAsia="仿宋_GB2312" w:cs="仿宋_GB2312"/>
          <w:sz w:val="30"/>
          <w:szCs w:val="30"/>
          <w:lang w:val="en-US" w:eastAsia="zh-CN"/>
        </w:rPr>
        <w:t>宝新不锈</w:t>
      </w:r>
    </w:p>
    <w:p>
      <w:pPr>
        <w:widowControl/>
        <w:spacing w:line="54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法定代表人：</w:t>
      </w:r>
      <w:r>
        <w:rPr>
          <w:rFonts w:hint="eastAsia" w:ascii="仿宋_GB2312" w:hAnsi="仿宋_GB2312" w:eastAsia="仿宋_GB2312" w:cs="仿宋_GB2312"/>
          <w:sz w:val="30"/>
          <w:szCs w:val="30"/>
          <w:lang w:val="en-US" w:eastAsia="zh-CN"/>
        </w:rPr>
        <w:t>徐书峰</w:t>
      </w:r>
    </w:p>
    <w:p>
      <w:pPr>
        <w:widowControl/>
        <w:spacing w:line="54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股东名称：</w:t>
      </w:r>
      <w:r>
        <w:rPr>
          <w:rFonts w:hint="eastAsia" w:ascii="仿宋_GB2312" w:hAnsi="仿宋_GB2312" w:eastAsia="仿宋_GB2312" w:cs="仿宋_GB2312"/>
          <w:b w:val="0"/>
          <w:bCs w:val="0"/>
          <w:color w:val="auto"/>
          <w:sz w:val="30"/>
          <w:szCs w:val="30"/>
          <w:lang w:val="en-US" w:eastAsia="zh-CN"/>
        </w:rPr>
        <w:t>太原钢铁（集团）有限公司、浙甬钢铁投资（宁波）有限公司、日本日铁不锈钢株式会社、三井物产株式会社、阪和兴业株式会社</w:t>
      </w:r>
    </w:p>
    <w:p>
      <w:pPr>
        <w:widowControl/>
        <w:spacing w:line="54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注册地址：</w:t>
      </w:r>
      <w:r>
        <w:rPr>
          <w:rFonts w:hint="eastAsia" w:ascii="仿宋_GB2312" w:hAnsi="仿宋_GB2312" w:eastAsia="仿宋_GB2312" w:cs="仿宋_GB2312"/>
          <w:sz w:val="30"/>
          <w:szCs w:val="30"/>
          <w:lang w:val="en-US" w:eastAsia="zh-CN"/>
        </w:rPr>
        <w:t>宁波市北仑区第二通道88号</w:t>
      </w:r>
    </w:p>
    <w:p>
      <w:pPr>
        <w:widowControl/>
        <w:spacing w:line="54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办公地址：</w:t>
      </w:r>
      <w:r>
        <w:rPr>
          <w:rFonts w:hint="eastAsia" w:ascii="仿宋_GB2312" w:hAnsi="仿宋_GB2312" w:eastAsia="仿宋_GB2312" w:cs="仿宋_GB2312"/>
          <w:sz w:val="30"/>
          <w:szCs w:val="30"/>
          <w:lang w:val="en-US" w:eastAsia="zh-CN"/>
        </w:rPr>
        <w:t>宁波市北仑区第二通道88号</w:t>
      </w:r>
    </w:p>
    <w:p>
      <w:pPr>
        <w:widowControl/>
        <w:spacing w:line="54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邮政编码：</w:t>
      </w:r>
      <w:r>
        <w:rPr>
          <w:rFonts w:hint="eastAsia" w:ascii="仿宋_GB2312" w:hAnsi="仿宋_GB2312" w:eastAsia="仿宋_GB2312" w:cs="仿宋_GB2312"/>
          <w:sz w:val="30"/>
          <w:szCs w:val="30"/>
          <w:lang w:val="en-US" w:eastAsia="zh-CN"/>
        </w:rPr>
        <w:t>315807</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公司简介：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rightChars="0" w:firstLine="600" w:firstLineChars="200"/>
        <w:textAlignment w:val="auto"/>
        <w:outlineLvl w:val="9"/>
        <w:rPr>
          <w:rFonts w:hint="eastAsia" w:ascii="仿宋_GB2312" w:hAnsi="仿宋_GB2312" w:eastAsia="仿宋_GB2312" w:cs="仿宋_GB2312"/>
          <w:b w:val="0"/>
          <w:bCs w:val="0"/>
          <w:color w:val="auto"/>
          <w:sz w:val="30"/>
          <w:szCs w:val="30"/>
          <w:lang w:val="en-US" w:eastAsia="zh-CN"/>
        </w:rPr>
      </w:pPr>
      <w:r>
        <w:rPr>
          <w:rFonts w:hint="eastAsia" w:ascii="仿宋_GB2312" w:hAnsi="仿宋_GB2312" w:eastAsia="仿宋_GB2312" w:cs="仿宋_GB2312"/>
          <w:bCs/>
          <w:sz w:val="30"/>
          <w:szCs w:val="30"/>
        </w:rPr>
        <w:t>宝新不锈</w:t>
      </w:r>
      <w:r>
        <w:rPr>
          <w:rFonts w:hint="eastAsia" w:ascii="仿宋_GB2312" w:hAnsi="仿宋_GB2312" w:eastAsia="仿宋_GB2312" w:cs="仿宋_GB2312"/>
          <w:b w:val="0"/>
          <w:bCs w:val="0"/>
          <w:color w:val="auto"/>
          <w:sz w:val="30"/>
          <w:szCs w:val="30"/>
          <w:lang w:val="en-US" w:eastAsia="zh-CN"/>
        </w:rPr>
        <w:t>始建于1996年3月，由太原钢铁（集团）有限公司、浙甬钢铁投资（宁波）有限公司、日本日铁不锈钢株式会社、三井物产株式会社、阪和兴业株式会社分别出资54%、12%、20%、7%和7%共同投资，投资总额71.40亿元，注册资本31.88亿元，年设计产能72万吨，占地面积约74万平方米，毗邻我国四大深水良港之北仑港。公司以“成为全球不锈钢冷轧行业引领者”为愿景，以“宝新不锈，让生活更美好”为使命。</w:t>
      </w:r>
    </w:p>
    <w:p>
      <w:pPr>
        <w:widowControl/>
        <w:spacing w:line="54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bCs/>
          <w:sz w:val="30"/>
          <w:szCs w:val="30"/>
        </w:rPr>
        <w:t>宝新不锈</w:t>
      </w:r>
      <w:r>
        <w:rPr>
          <w:rFonts w:hint="eastAsia" w:ascii="仿宋_GB2312" w:hAnsi="仿宋_GB2312" w:eastAsia="仿宋_GB2312" w:cs="仿宋_GB2312"/>
          <w:b w:val="0"/>
          <w:bCs w:val="0"/>
          <w:color w:val="auto"/>
          <w:sz w:val="30"/>
          <w:szCs w:val="30"/>
          <w:lang w:val="en-US" w:eastAsia="zh-CN"/>
        </w:rPr>
        <w:t>是专业生产冷轧不锈钢板、卷的企业，</w:t>
      </w:r>
      <w:r>
        <w:rPr>
          <w:rFonts w:hint="eastAsia" w:ascii="仿宋_GB2312" w:hAnsi="仿宋_GB2312" w:eastAsia="仿宋_GB2312" w:cs="仿宋_GB2312"/>
          <w:bCs/>
          <w:sz w:val="30"/>
          <w:szCs w:val="30"/>
        </w:rPr>
        <w:t>在投产初期就确立“薄特精优”产品差异化路线，在发展历程中</w:t>
      </w:r>
      <w:r>
        <w:rPr>
          <w:rFonts w:hint="eastAsia" w:ascii="仿宋_GB2312" w:hAnsi="仿宋_GB2312" w:eastAsia="仿宋_GB2312" w:cs="仿宋_GB2312"/>
          <w:bCs/>
          <w:sz w:val="30"/>
          <w:szCs w:val="30"/>
          <w:lang w:eastAsia="zh-CN"/>
        </w:rPr>
        <w:t>，</w:t>
      </w:r>
      <w:r>
        <w:rPr>
          <w:rFonts w:hint="eastAsia" w:ascii="仿宋_GB2312" w:hAnsi="仿宋_GB2312" w:eastAsia="仿宋_GB2312" w:cs="仿宋_GB2312"/>
          <w:bCs/>
          <w:sz w:val="30"/>
          <w:szCs w:val="30"/>
        </w:rPr>
        <w:t>始终坚持“高起点、高标准、高要求”，</w:t>
      </w:r>
      <w:r>
        <w:rPr>
          <w:rFonts w:hint="eastAsia" w:ascii="仿宋_GB2312" w:hAnsi="仿宋_GB2312" w:eastAsia="仿宋_GB2312" w:cs="仿宋_GB2312"/>
          <w:sz w:val="30"/>
          <w:szCs w:val="30"/>
        </w:rPr>
        <w:t>具备冷轧不锈钢板卷厚度为 0.15mm～5.0mm、宽度650mm～1320mm，精密不锈钢带</w:t>
      </w:r>
      <w:r>
        <w:rPr>
          <w:rFonts w:hint="eastAsia" w:ascii="仿宋_GB2312" w:hAnsi="仿宋_GB2312" w:eastAsia="仿宋_GB2312" w:cs="仿宋_GB2312"/>
          <w:b w:val="0"/>
          <w:bCs w:val="0"/>
          <w:color w:val="auto"/>
          <w:sz w:val="30"/>
          <w:szCs w:val="30"/>
          <w:lang w:val="en-US" w:eastAsia="zh-CN"/>
        </w:rPr>
        <w:t>钢厚度为0.03mm～0.6mm、宽度15mm～1000mm的生产能力，冷轧不锈钢板卷年设计产能72万吨，精密不锈钢年设计产能3万吨，产品品种全面扩充至300系列和400系列，表面加工等级2B、2D、No.3、No.4、HL、BA、毛面、压花、精密硬态等，拥有90</w:t>
      </w:r>
      <w:r>
        <w:rPr>
          <w:rFonts w:hint="eastAsia" w:ascii="仿宋_GB2312" w:hAnsi="仿宋_GB2312" w:eastAsia="仿宋_GB2312" w:cs="仿宋_GB2312"/>
          <w:bCs/>
          <w:sz w:val="30"/>
          <w:szCs w:val="30"/>
        </w:rPr>
        <w:t>多个牌号、40多种表面，覆盖奥氏体、铁素体、马氏体、双相、沉淀硬化五大不锈钢门类，产品广泛用于电梯、城轨、集装箱、精密电子、太阳能、汽车配件、家电制品、化工设备、建筑装潢等行业。新开发的精密不锈钢产品，目标市场为新能源（柔性光伏、氢能源等）、新兴电子行业（柔性屏、智能手机等）、人工智能、航空航天以及高端汽车装饰产品等。宝新不锈冷轧产品质量一流，品牌享誉国内外，在业界和市场拥有良好口碑，曾荣获全国用户满意产品、中钢协冶金产品实物质量特优质量奖、浙江省科技型重点发展品牌等，在许多高端制造和工程领域实现了进口产品替代。</w:t>
      </w:r>
    </w:p>
    <w:p>
      <w:pPr>
        <w:ind w:firstLine="600" w:firstLineChars="200"/>
        <w:rPr>
          <w:rFonts w:hint="eastAsia" w:ascii="黑体" w:hAnsi="黑体" w:eastAsia="黑体" w:cs="黑体"/>
          <w:bCs/>
          <w:color w:val="0000FF"/>
          <w:sz w:val="30"/>
          <w:szCs w:val="30"/>
          <w:lang w:eastAsia="zh-CN"/>
        </w:rPr>
      </w:pPr>
      <w:r>
        <w:rPr>
          <w:rFonts w:hint="eastAsia" w:ascii="黑体" w:hAnsi="黑体" w:eastAsia="黑体" w:cs="黑体"/>
          <w:bCs/>
          <w:sz w:val="30"/>
          <w:szCs w:val="30"/>
        </w:rPr>
        <w:t>二、公司治理及管理架构、重要人事变动、企业负责人薪酬水平情况</w:t>
      </w:r>
      <w:bookmarkStart w:id="2" w:name="_GoBack"/>
      <w:bookmarkEnd w:id="2"/>
    </w:p>
    <w:p>
      <w:pPr>
        <w:widowControl/>
        <w:spacing w:line="540" w:lineRule="exact"/>
        <w:ind w:firstLine="602" w:firstLineChars="200"/>
        <w:jc w:val="left"/>
        <w:rPr>
          <w:rFonts w:ascii="仿宋_GB2312" w:hAnsi="仿宋" w:eastAsia="仿宋_GB2312" w:cs="仿宋"/>
          <w:b/>
          <w:bCs/>
          <w:sz w:val="30"/>
          <w:szCs w:val="30"/>
        </w:rPr>
      </w:pPr>
      <w:r>
        <w:rPr>
          <w:rFonts w:hint="eastAsia" w:ascii="Calibri" w:hAnsi="Calibri" w:eastAsia="仿宋" w:cs="Calibri"/>
          <w:b/>
          <w:bCs/>
          <w:sz w:val="30"/>
          <w:szCs w:val="30"/>
        </w:rPr>
        <w:t>（</w:t>
      </w:r>
      <w:r>
        <w:rPr>
          <w:rFonts w:hint="eastAsia" w:ascii="仿宋_GB2312" w:hAnsi="仿宋" w:eastAsia="仿宋_GB2312" w:cs="仿宋"/>
          <w:b/>
          <w:bCs/>
          <w:sz w:val="30"/>
          <w:szCs w:val="30"/>
        </w:rPr>
        <w:t>一）公司治理及管理架构</w:t>
      </w:r>
    </w:p>
    <w:p>
      <w:pPr>
        <w:widowControl/>
        <w:spacing w:line="540" w:lineRule="exact"/>
        <w:ind w:firstLine="600" w:firstLineChars="200"/>
        <w:jc w:val="left"/>
        <w:rPr>
          <w:rFonts w:ascii="仿宋_GB2312" w:hAnsi="仿宋" w:eastAsia="仿宋_GB2312" w:cs="仿宋"/>
          <w:sz w:val="30"/>
          <w:szCs w:val="30"/>
        </w:rPr>
      </w:pPr>
      <w:r>
        <w:rPr>
          <w:rFonts w:hint="eastAsia" w:ascii="仿宋_GB2312" w:hAnsi="仿宋" w:eastAsia="仿宋_GB2312" w:cs="仿宋"/>
          <w:sz w:val="30"/>
          <w:szCs w:val="30"/>
        </w:rPr>
        <w:t>XXX公司设立董事会、监事会，董事X人，监事X人，总经理X人，副经理X人，下设XXX部、XXX部X个部门。</w:t>
      </w:r>
    </w:p>
    <w:p>
      <w:pPr>
        <w:widowControl/>
        <w:spacing w:line="540" w:lineRule="exact"/>
        <w:ind w:firstLine="600" w:firstLineChars="200"/>
        <w:jc w:val="left"/>
        <w:rPr>
          <w:rFonts w:hint="eastAsia" w:ascii="仿宋_GB2312" w:hAnsi="仿宋" w:eastAsia="仿宋_GB2312" w:cs="仿宋"/>
          <w:b/>
          <w:bCs/>
          <w:color w:val="0000FF"/>
          <w:sz w:val="30"/>
          <w:szCs w:val="30"/>
          <w:lang w:eastAsia="zh-CN"/>
        </w:rPr>
      </w:pPr>
      <w:r>
        <w:rPr>
          <w:rFonts w:hint="eastAsia" w:ascii="仿宋_GB2312" w:hAnsi="仿宋" w:eastAsia="仿宋_GB2312" w:cs="仿宋"/>
          <w:b w:val="0"/>
          <w:bCs w:val="0"/>
          <w:sz w:val="30"/>
          <w:szCs w:val="30"/>
        </w:rPr>
        <w:t>组织机构图</w:t>
      </w:r>
      <w:r>
        <w:rPr>
          <w:rFonts w:hint="eastAsia" w:ascii="仿宋_GB2312" w:hAnsi="仿宋" w:eastAsia="仿宋_GB2312" w:cs="仿宋"/>
          <w:sz w:val="30"/>
          <w:szCs w:val="30"/>
        </w:rPr>
        <w:t>（图表）</w:t>
      </w:r>
      <w:r>
        <w:rPr>
          <w:rFonts w:hint="eastAsia" w:ascii="仿宋_GB2312" w:hAnsi="仿宋" w:eastAsia="仿宋_GB2312" w:cs="仿宋"/>
          <w:sz w:val="30"/>
          <w:szCs w:val="30"/>
          <w:lang w:eastAsia="zh-CN"/>
        </w:rPr>
        <w:t>：</w:t>
      </w:r>
    </w:p>
    <w:p>
      <w:pPr>
        <w:pStyle w:val="3"/>
      </w:pPr>
      <w:r>
        <w:drawing>
          <wp:anchor distT="0" distB="0" distL="114300" distR="114300" simplePos="0" relativeHeight="251659264" behindDoc="0" locked="0" layoutInCell="1" allowOverlap="1">
            <wp:simplePos x="0" y="0"/>
            <wp:positionH relativeFrom="column">
              <wp:posOffset>266700</wp:posOffset>
            </wp:positionH>
            <wp:positionV relativeFrom="paragraph">
              <wp:posOffset>-9525</wp:posOffset>
            </wp:positionV>
            <wp:extent cx="5616575" cy="5427345"/>
            <wp:effectExtent l="0" t="0" r="3175" b="1905"/>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6"/>
                    <a:stretch>
                      <a:fillRect/>
                    </a:stretch>
                  </pic:blipFill>
                  <pic:spPr>
                    <a:xfrm>
                      <a:off x="0" y="0"/>
                      <a:ext cx="5616575" cy="5427345"/>
                    </a:xfrm>
                    <a:prstGeom prst="rect">
                      <a:avLst/>
                    </a:prstGeom>
                    <a:noFill/>
                    <a:ln>
                      <a:noFill/>
                    </a:ln>
                  </pic:spPr>
                </pic:pic>
              </a:graphicData>
            </a:graphic>
          </wp:anchor>
        </w:drawing>
      </w: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sz w:val="30"/>
          <w:szCs w:val="30"/>
        </w:rPr>
      </w:pPr>
    </w:p>
    <w:p>
      <w:pPr>
        <w:widowControl/>
        <w:spacing w:line="540" w:lineRule="exact"/>
        <w:ind w:firstLine="602" w:firstLineChars="200"/>
        <w:jc w:val="left"/>
        <w:rPr>
          <w:rFonts w:hint="eastAsia" w:ascii="仿宋_GB2312" w:hAnsi="仿宋" w:eastAsia="仿宋_GB2312" w:cs="仿宋"/>
          <w:b/>
          <w:bCs/>
          <w:color w:val="0000FF"/>
          <w:sz w:val="30"/>
          <w:szCs w:val="30"/>
          <w:lang w:eastAsia="zh-CN"/>
        </w:rPr>
      </w:pPr>
      <w:r>
        <w:rPr>
          <w:rFonts w:hint="eastAsia" w:ascii="仿宋_GB2312" w:hAnsi="仿宋" w:eastAsia="仿宋_GB2312" w:cs="仿宋"/>
          <w:b/>
          <w:bCs/>
          <w:sz w:val="30"/>
          <w:szCs w:val="30"/>
        </w:rPr>
        <w:t>（二）重要人事变动（董事、监事、高级管理人员）</w:t>
      </w:r>
    </w:p>
    <w:tbl>
      <w:tblPr>
        <w:tblStyle w:val="7"/>
        <w:tblW w:w="9055" w:type="dxa"/>
        <w:jc w:val="center"/>
        <w:tblInd w:w="0" w:type="dxa"/>
        <w:tblLayout w:type="fixed"/>
        <w:tblCellMar>
          <w:top w:w="0" w:type="dxa"/>
          <w:left w:w="108" w:type="dxa"/>
          <w:bottom w:w="0" w:type="dxa"/>
          <w:right w:w="108" w:type="dxa"/>
        </w:tblCellMar>
      </w:tblPr>
      <w:tblGrid>
        <w:gridCol w:w="930"/>
        <w:gridCol w:w="1224"/>
        <w:gridCol w:w="571"/>
        <w:gridCol w:w="898"/>
        <w:gridCol w:w="898"/>
        <w:gridCol w:w="898"/>
        <w:gridCol w:w="898"/>
        <w:gridCol w:w="1276"/>
        <w:gridCol w:w="1462"/>
      </w:tblGrid>
      <w:tr>
        <w:tblPrEx>
          <w:tblLayout w:type="fixed"/>
          <w:tblCellMar>
            <w:top w:w="0" w:type="dxa"/>
            <w:left w:w="108" w:type="dxa"/>
            <w:bottom w:w="0" w:type="dxa"/>
            <w:right w:w="108" w:type="dxa"/>
          </w:tblCellMar>
        </w:tblPrEx>
        <w:trPr>
          <w:trHeight w:val="874"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序号</w:t>
            </w:r>
          </w:p>
        </w:tc>
        <w:tc>
          <w:tcPr>
            <w:tcW w:w="1224"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姓名</w:t>
            </w:r>
          </w:p>
        </w:tc>
        <w:tc>
          <w:tcPr>
            <w:tcW w:w="571"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性别</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年龄</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现职务</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级别</w:t>
            </w:r>
          </w:p>
        </w:tc>
        <w:tc>
          <w:tcPr>
            <w:tcW w:w="89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学历</w:t>
            </w:r>
          </w:p>
        </w:tc>
        <w:tc>
          <w:tcPr>
            <w:tcW w:w="1276"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毕业院校时间专业</w:t>
            </w:r>
          </w:p>
        </w:tc>
        <w:tc>
          <w:tcPr>
            <w:tcW w:w="146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任</w:t>
            </w:r>
            <w:r>
              <w:rPr>
                <w:rFonts w:ascii="仿宋_GB2312" w:hAnsi="宋体" w:eastAsia="仿宋_GB2312" w:cs="宋体"/>
                <w:b/>
                <w:kern w:val="0"/>
                <w:sz w:val="22"/>
                <w:szCs w:val="22"/>
              </w:rPr>
              <w:t>(</w:t>
            </w:r>
            <w:r>
              <w:rPr>
                <w:rFonts w:hint="eastAsia" w:ascii="仿宋_GB2312" w:hAnsi="宋体" w:eastAsia="仿宋_GB2312" w:cs="宋体"/>
                <w:b/>
                <w:kern w:val="0"/>
                <w:sz w:val="22"/>
                <w:szCs w:val="22"/>
              </w:rPr>
              <w:t>免</w:t>
            </w:r>
            <w:r>
              <w:rPr>
                <w:rFonts w:ascii="仿宋_GB2312" w:hAnsi="宋体" w:eastAsia="仿宋_GB2312" w:cs="宋体"/>
                <w:b/>
                <w:kern w:val="0"/>
                <w:sz w:val="22"/>
                <w:szCs w:val="22"/>
              </w:rPr>
              <w:t>)</w:t>
            </w:r>
            <w:r>
              <w:rPr>
                <w:rFonts w:hint="eastAsia" w:ascii="仿宋_GB2312" w:hAnsi="宋体" w:eastAsia="仿宋_GB2312" w:cs="宋体"/>
                <w:b/>
                <w:kern w:val="0"/>
                <w:sz w:val="22"/>
                <w:szCs w:val="22"/>
              </w:rPr>
              <w:t>职</w:t>
            </w:r>
          </w:p>
          <w:p>
            <w:pPr>
              <w:jc w:val="center"/>
              <w:rPr>
                <w:rFonts w:ascii="仿宋_GB2312" w:hAnsi="宋体" w:eastAsia="仿宋_GB2312" w:cs="宋体"/>
                <w:b/>
                <w:kern w:val="0"/>
                <w:sz w:val="22"/>
                <w:szCs w:val="22"/>
              </w:rPr>
            </w:pPr>
            <w:r>
              <w:rPr>
                <w:rFonts w:hint="eastAsia" w:ascii="仿宋_GB2312" w:hAnsi="宋体" w:eastAsia="仿宋_GB2312" w:cs="宋体"/>
                <w:b/>
                <w:kern w:val="0"/>
                <w:sz w:val="22"/>
                <w:szCs w:val="22"/>
              </w:rPr>
              <w:t>时间</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int="eastAsia" w:ascii="等线" w:hAnsi="等线" w:eastAsia="楷体_GB2312" w:cs="黑体"/>
                <w:kern w:val="2"/>
                <w:sz w:val="24"/>
                <w:szCs w:val="24"/>
                <w:highlight w:val="none"/>
                <w:lang w:val="en-US" w:eastAsia="zh-CN" w:bidi="ar-SA"/>
              </w:rPr>
            </w:pPr>
            <w:r>
              <w:rPr>
                <w:rFonts w:hint="eastAsia" w:ascii="楷体" w:hAnsi="楷体" w:eastAsia="楷体"/>
                <w:sz w:val="24"/>
                <w:highlight w:val="none"/>
              </w:rPr>
              <w:t>1</w:t>
            </w:r>
          </w:p>
        </w:tc>
        <w:tc>
          <w:tcPr>
            <w:tcW w:w="1224" w:type="dxa"/>
            <w:tcBorders>
              <w:top w:val="nil"/>
              <w:left w:val="nil"/>
              <w:bottom w:val="single" w:color="auto" w:sz="4" w:space="0"/>
              <w:right w:val="single" w:color="auto" w:sz="4" w:space="0"/>
            </w:tcBorders>
            <w:vAlign w:val="center"/>
          </w:tcPr>
          <w:p>
            <w:pPr>
              <w:autoSpaceDE w:val="0"/>
              <w:autoSpaceDN w:val="0"/>
              <w:adjustRightInd w:val="0"/>
              <w:spacing w:line="360" w:lineRule="auto"/>
              <w:jc w:val="center"/>
              <w:rPr>
                <w:rFonts w:hint="default" w:ascii="等线" w:hAnsi="等线" w:eastAsia="楷体_GB2312" w:cs="黑体"/>
                <w:kern w:val="2"/>
                <w:sz w:val="24"/>
                <w:szCs w:val="24"/>
                <w:highlight w:val="none"/>
                <w:lang w:val="en-US" w:eastAsia="zh-CN" w:bidi="ar-SA"/>
              </w:rPr>
            </w:pPr>
            <w:r>
              <w:rPr>
                <w:rFonts w:hint="eastAsia" w:eastAsia="楷体_GB2312"/>
                <w:sz w:val="24"/>
                <w:szCs w:val="24"/>
                <w:highlight w:val="none"/>
                <w:lang w:val="en-US" w:eastAsia="zh-CN"/>
              </w:rPr>
              <w:t>徐书峰</w:t>
            </w:r>
          </w:p>
        </w:tc>
        <w:tc>
          <w:tcPr>
            <w:tcW w:w="571" w:type="dxa"/>
            <w:tcBorders>
              <w:top w:val="nil"/>
              <w:left w:val="nil"/>
              <w:bottom w:val="single" w:color="auto" w:sz="4" w:space="0"/>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ascii="楷体" w:hAnsi="楷体" w:eastAsia="楷体"/>
                <w:sz w:val="24"/>
                <w:highlight w:val="none"/>
              </w:rPr>
              <w:t>男</w:t>
            </w:r>
          </w:p>
        </w:tc>
        <w:tc>
          <w:tcPr>
            <w:tcW w:w="898"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57</w:t>
            </w:r>
          </w:p>
        </w:tc>
        <w:tc>
          <w:tcPr>
            <w:tcW w:w="898" w:type="dxa"/>
            <w:tcBorders>
              <w:top w:val="nil"/>
              <w:left w:val="nil"/>
              <w:bottom w:val="single" w:color="auto" w:sz="4" w:space="0"/>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rPr>
              <w:t>宁波宝新党委书记、董事长</w:t>
            </w:r>
          </w:p>
        </w:tc>
        <w:tc>
          <w:tcPr>
            <w:tcW w:w="89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single" w:color="auto" w:sz="4" w:space="0"/>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大学本科</w:t>
            </w:r>
          </w:p>
        </w:tc>
        <w:tc>
          <w:tcPr>
            <w:tcW w:w="1276" w:type="dxa"/>
            <w:tcBorders>
              <w:top w:val="nil"/>
              <w:left w:val="nil"/>
              <w:bottom w:val="single" w:color="auto" w:sz="4" w:space="0"/>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rPr>
              <w:t>天津大学</w:t>
            </w:r>
            <w:r>
              <w:rPr>
                <w:rFonts w:hint="eastAsia" w:ascii="楷体" w:hAnsi="楷体" w:eastAsia="楷体"/>
                <w:sz w:val="24"/>
                <w:highlight w:val="none"/>
                <w:lang w:val="en-US" w:eastAsia="zh-CN"/>
              </w:rPr>
              <w:t>1988.6</w:t>
            </w:r>
            <w:r>
              <w:rPr>
                <w:rFonts w:hint="eastAsia" w:ascii="楷体" w:hAnsi="楷体" w:eastAsia="楷体"/>
                <w:sz w:val="24"/>
                <w:highlight w:val="none"/>
              </w:rPr>
              <w:t>焊接专业</w:t>
            </w:r>
          </w:p>
        </w:tc>
        <w:tc>
          <w:tcPr>
            <w:tcW w:w="1462"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eastAsia="楷体_GB2312"/>
                <w:sz w:val="24"/>
                <w:highlight w:val="none"/>
              </w:rPr>
              <w:t>20</w:t>
            </w:r>
            <w:r>
              <w:rPr>
                <w:rFonts w:hint="eastAsia" w:eastAsia="楷体_GB2312"/>
                <w:sz w:val="24"/>
                <w:highlight w:val="none"/>
                <w:lang w:val="en-US" w:eastAsia="zh-CN"/>
              </w:rPr>
              <w:t>21</w:t>
            </w:r>
            <w:r>
              <w:rPr>
                <w:rFonts w:hint="eastAsia" w:eastAsia="楷体_GB2312"/>
                <w:sz w:val="24"/>
                <w:highlight w:val="none"/>
              </w:rPr>
              <w:t>年1月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2</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楷体" w:hAnsi="楷体" w:eastAsia="楷体" w:cs="Times New Roman"/>
                <w:kern w:val="2"/>
                <w:sz w:val="24"/>
                <w:szCs w:val="22"/>
                <w:highlight w:val="none"/>
                <w:lang w:val="en-US" w:eastAsia="zh-CN" w:bidi="ar-SA"/>
              </w:rPr>
            </w:pPr>
            <w:r>
              <w:rPr>
                <w:rFonts w:hint="eastAsia" w:ascii="楷体" w:hAnsi="楷体" w:eastAsia="楷体" w:cs="宋体"/>
                <w:sz w:val="24"/>
                <w:highlight w:val="none"/>
              </w:rPr>
              <w:t>饶志雄</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ascii="楷体" w:hAnsi="楷体" w:eastAsia="楷体"/>
                <w:sz w:val="24"/>
                <w:highlight w:val="none"/>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50</w:t>
            </w: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cs="Times New Roman"/>
                <w:kern w:val="2"/>
                <w:sz w:val="24"/>
                <w:szCs w:val="22"/>
                <w:highlight w:val="none"/>
                <w:lang w:val="en-US" w:eastAsia="zh-CN" w:bidi="ar-SA"/>
              </w:rPr>
            </w:pPr>
            <w:r>
              <w:rPr>
                <w:rFonts w:hint="eastAsia" w:ascii="楷体" w:hAnsi="楷体" w:eastAsia="楷体"/>
                <w:sz w:val="24"/>
                <w:highlight w:val="none"/>
              </w:rPr>
              <w:t>宁波宝新总经理、党委</w:t>
            </w:r>
            <w:r>
              <w:rPr>
                <w:rFonts w:hint="eastAsia" w:ascii="楷体" w:hAnsi="楷体" w:eastAsia="楷体"/>
                <w:sz w:val="24"/>
                <w:highlight w:val="none"/>
                <w:lang w:val="en-US" w:eastAsia="zh-CN"/>
              </w:rPr>
              <w:t>副书记</w:t>
            </w:r>
            <w:r>
              <w:rPr>
                <w:rFonts w:hint="eastAsia" w:ascii="楷体" w:hAnsi="楷体" w:eastAsia="楷体"/>
                <w:sz w:val="24"/>
                <w:highlight w:val="none"/>
                <w:lang w:eastAsia="zh-CN"/>
              </w:rPr>
              <w:t>；</w:t>
            </w:r>
            <w:r>
              <w:rPr>
                <w:rFonts w:hint="eastAsia" w:ascii="楷体" w:hAnsi="楷体" w:eastAsia="楷体"/>
                <w:sz w:val="24"/>
                <w:highlight w:val="none"/>
              </w:rPr>
              <w:t>董事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硕士研究生</w:t>
            </w: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东北大学2010.1项目管理</w:t>
            </w:r>
          </w:p>
        </w:tc>
        <w:tc>
          <w:tcPr>
            <w:tcW w:w="1462" w:type="dxa"/>
            <w:tcBorders>
              <w:top w:val="nil"/>
              <w:left w:val="nil"/>
              <w:bottom w:val="nil"/>
              <w:right w:val="single" w:color="auto" w:sz="4" w:space="0"/>
            </w:tcBorders>
            <w:vAlign w:val="center"/>
          </w:tcPr>
          <w:p>
            <w:pPr>
              <w:widowControl/>
              <w:jc w:val="center"/>
              <w:rPr>
                <w:rFonts w:ascii="宋体" w:cs="宋体"/>
                <w:kern w:val="0"/>
                <w:sz w:val="22"/>
                <w:szCs w:val="22"/>
              </w:rPr>
            </w:pPr>
            <w:r>
              <w:rPr>
                <w:rFonts w:hint="eastAsia" w:eastAsia="楷体_GB2312"/>
                <w:sz w:val="24"/>
                <w:highlight w:val="none"/>
              </w:rPr>
              <w:t>2017年12月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hint="eastAsia"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3</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楷体" w:hAnsi="楷体" w:eastAsia="楷体" w:cs="宋体"/>
                <w:kern w:val="2"/>
                <w:sz w:val="24"/>
                <w:szCs w:val="22"/>
                <w:highlight w:val="none"/>
                <w:lang w:val="en-US" w:eastAsia="zh-CN" w:bidi="ar-SA"/>
              </w:rPr>
            </w:pPr>
            <w:r>
              <w:rPr>
                <w:rFonts w:hint="eastAsia" w:ascii="楷体" w:hAnsi="楷体" w:eastAsia="楷体" w:cs="宋体"/>
                <w:sz w:val="24"/>
                <w:szCs w:val="22"/>
                <w:highlight w:val="none"/>
                <w:lang w:val="en-US" w:eastAsia="zh-CN"/>
              </w:rPr>
              <w:t>张国庆</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sz w:val="24"/>
                <w:szCs w:val="24"/>
                <w:highlight w:val="none"/>
                <w:lang w:val="en-US" w:eastAsia="zh-CN"/>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56</w:t>
            </w:r>
          </w:p>
        </w:tc>
        <w:tc>
          <w:tcPr>
            <w:tcW w:w="898" w:type="dxa"/>
            <w:tcBorders>
              <w:top w:val="nil"/>
              <w:left w:val="nil"/>
              <w:bottom w:val="nil"/>
              <w:right w:val="single" w:color="auto" w:sz="4" w:space="0"/>
            </w:tcBorders>
            <w:vAlign w:val="center"/>
          </w:tcPr>
          <w:p>
            <w:pPr>
              <w:autoSpaceDE w:val="0"/>
              <w:autoSpaceDN w:val="0"/>
              <w:adjustRightInd w:val="0"/>
              <w:jc w:val="center"/>
              <w:rPr>
                <w:rFonts w:hint="default" w:ascii="等线" w:hAnsi="等线" w:eastAsia="楷体_GB2312" w:cs="黑体"/>
                <w:kern w:val="2"/>
                <w:sz w:val="24"/>
                <w:szCs w:val="24"/>
                <w:highlight w:val="none"/>
                <w:lang w:val="en-US" w:eastAsia="zh-CN" w:bidi="ar-SA"/>
              </w:rPr>
            </w:pPr>
            <w:r>
              <w:rPr>
                <w:rFonts w:hint="eastAsia" w:ascii="楷体" w:hAnsi="楷体" w:eastAsia="楷体" w:cs="Times New Roman"/>
                <w:sz w:val="24"/>
                <w:szCs w:val="22"/>
                <w:highlight w:val="none"/>
                <w:lang w:val="en-US" w:eastAsia="zh-CN"/>
              </w:rPr>
              <w:t>董事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大学本科</w:t>
            </w: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北京科技大学1989.7表面科学与腐蚀工程系腐蚀与防护专业</w:t>
            </w:r>
          </w:p>
        </w:tc>
        <w:tc>
          <w:tcPr>
            <w:tcW w:w="1462" w:type="dxa"/>
            <w:tcBorders>
              <w:top w:val="nil"/>
              <w:left w:val="nil"/>
              <w:bottom w:val="nil"/>
              <w:right w:val="single" w:color="auto" w:sz="4" w:space="0"/>
            </w:tcBorders>
            <w:vAlign w:val="center"/>
          </w:tcPr>
          <w:p>
            <w:pPr>
              <w:widowControl/>
              <w:jc w:val="center"/>
              <w:rPr>
                <w:rFonts w:hint="eastAsia" w:eastAsia="楷体_GB2312"/>
                <w:sz w:val="24"/>
                <w:highlight w:val="none"/>
              </w:rPr>
            </w:pPr>
            <w:r>
              <w:rPr>
                <w:rFonts w:hint="eastAsia" w:eastAsia="楷体_GB2312"/>
                <w:sz w:val="24"/>
                <w:highlight w:val="none"/>
                <w:lang w:val="en-US" w:eastAsia="zh-CN"/>
              </w:rPr>
              <w:t>2023年2月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4</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楷体" w:hAnsi="楷体" w:eastAsia="楷体" w:cs="宋体"/>
                <w:kern w:val="2"/>
                <w:sz w:val="24"/>
                <w:szCs w:val="22"/>
                <w:highlight w:val="none"/>
                <w:lang w:val="en-US" w:eastAsia="zh-CN" w:bidi="ar-SA"/>
              </w:rPr>
            </w:pPr>
            <w:r>
              <w:rPr>
                <w:rFonts w:hint="eastAsia" w:ascii="楷体" w:hAnsi="楷体" w:eastAsia="楷体" w:cs="宋体"/>
                <w:sz w:val="24"/>
                <w:szCs w:val="22"/>
                <w:highlight w:val="none"/>
                <w:lang w:val="en-US" w:eastAsia="zh-CN"/>
              </w:rPr>
              <w:t>黄  涛</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sz w:val="24"/>
                <w:highlight w:val="none"/>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38</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ascii="楷体" w:hAnsi="楷体" w:eastAsia="楷体" w:cs="Times New Roman"/>
                <w:sz w:val="24"/>
                <w:szCs w:val="22"/>
                <w:highlight w:val="none"/>
                <w:lang w:val="en-US" w:eastAsia="zh-CN"/>
              </w:rPr>
              <w:t>董事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硕士研究生</w:t>
            </w:r>
          </w:p>
        </w:tc>
        <w:tc>
          <w:tcPr>
            <w:tcW w:w="1276" w:type="dxa"/>
            <w:tcBorders>
              <w:top w:val="nil"/>
              <w:left w:val="nil"/>
              <w:bottom w:val="nil"/>
              <w:right w:val="single" w:color="auto" w:sz="4" w:space="0"/>
            </w:tcBorders>
            <w:vAlign w:val="center"/>
          </w:tcPr>
          <w:p>
            <w:pPr>
              <w:autoSpaceDE w:val="0"/>
              <w:autoSpaceDN w:val="0"/>
              <w:adjustRightInd w:val="0"/>
              <w:jc w:val="center"/>
              <w:rPr>
                <w:rFonts w:hint="default" w:ascii="楷体" w:hAnsi="楷体" w:eastAsia="楷体"/>
                <w:sz w:val="24"/>
                <w:highlight w:val="none"/>
                <w:lang w:val="en-US" w:eastAsia="zh-CN"/>
              </w:rPr>
            </w:pPr>
            <w:r>
              <w:rPr>
                <w:rFonts w:hint="eastAsia" w:ascii="楷体" w:hAnsi="楷体" w:eastAsia="楷体"/>
                <w:sz w:val="24"/>
                <w:highlight w:val="none"/>
                <w:lang w:val="en-US" w:eastAsia="zh-CN"/>
              </w:rPr>
              <w:t>中南大学资源加工与生物工程学院2012.5钢铁冶金专业</w:t>
            </w:r>
          </w:p>
        </w:tc>
        <w:tc>
          <w:tcPr>
            <w:tcW w:w="1462" w:type="dxa"/>
            <w:tcBorders>
              <w:top w:val="nil"/>
              <w:left w:val="nil"/>
              <w:bottom w:val="nil"/>
              <w:right w:val="single" w:color="auto" w:sz="4" w:space="0"/>
            </w:tcBorders>
            <w:vAlign w:val="center"/>
          </w:tcPr>
          <w:p>
            <w:pPr>
              <w:widowControl/>
              <w:jc w:val="center"/>
              <w:rPr>
                <w:rFonts w:hint="eastAsia" w:eastAsia="楷体_GB2312"/>
                <w:sz w:val="24"/>
                <w:highlight w:val="none"/>
              </w:rPr>
            </w:pPr>
            <w:r>
              <w:rPr>
                <w:rFonts w:hint="eastAsia" w:eastAsia="楷体_GB2312"/>
                <w:sz w:val="24"/>
                <w:highlight w:val="none"/>
                <w:lang w:val="en-US" w:eastAsia="zh-CN"/>
              </w:rPr>
              <w:t>2023年2月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5</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楷体" w:hAnsi="楷体" w:eastAsia="楷体" w:cs="宋体"/>
                <w:kern w:val="2"/>
                <w:sz w:val="24"/>
                <w:szCs w:val="22"/>
                <w:highlight w:val="none"/>
                <w:lang w:val="en-US" w:eastAsia="zh-CN" w:bidi="ar-SA"/>
              </w:rPr>
            </w:pPr>
            <w:r>
              <w:rPr>
                <w:rFonts w:hint="eastAsia" w:ascii="楷体" w:hAnsi="楷体" w:eastAsia="楷体" w:cs="宋体"/>
                <w:sz w:val="24"/>
                <w:szCs w:val="22"/>
                <w:highlight w:val="none"/>
                <w:lang w:val="en-US" w:eastAsia="zh-CN"/>
              </w:rPr>
              <w:t>李旭初</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sz w:val="24"/>
                <w:highlight w:val="none"/>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57</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ascii="楷体" w:hAnsi="楷体" w:eastAsia="楷体" w:cs="Times New Roman"/>
                <w:sz w:val="24"/>
                <w:szCs w:val="22"/>
                <w:highlight w:val="none"/>
                <w:lang w:val="en-US" w:eastAsia="zh-CN"/>
              </w:rPr>
              <w:t>董事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default" w:ascii="楷体" w:hAnsi="楷体" w:eastAsia="楷体"/>
                <w:sz w:val="24"/>
                <w:highlight w:val="none"/>
                <w:lang w:val="en-US" w:eastAsia="zh-CN"/>
              </w:rPr>
            </w:pPr>
            <w:r>
              <w:rPr>
                <w:rFonts w:hint="eastAsia" w:ascii="楷体" w:hAnsi="楷体" w:eastAsia="楷体"/>
                <w:sz w:val="24"/>
                <w:highlight w:val="none"/>
                <w:lang w:val="en-US" w:eastAsia="zh-CN"/>
              </w:rPr>
              <w:t>大专</w:t>
            </w:r>
          </w:p>
        </w:tc>
        <w:tc>
          <w:tcPr>
            <w:tcW w:w="1276" w:type="dxa"/>
            <w:tcBorders>
              <w:top w:val="nil"/>
              <w:left w:val="nil"/>
              <w:bottom w:val="nil"/>
              <w:right w:val="single" w:color="auto" w:sz="4" w:space="0"/>
            </w:tcBorders>
            <w:vAlign w:val="center"/>
          </w:tcPr>
          <w:p>
            <w:pPr>
              <w:autoSpaceDE w:val="0"/>
              <w:autoSpaceDN w:val="0"/>
              <w:adjustRightInd w:val="0"/>
              <w:jc w:val="center"/>
              <w:rPr>
                <w:rFonts w:hint="default" w:ascii="楷体" w:hAnsi="楷体" w:eastAsia="楷体"/>
                <w:sz w:val="24"/>
                <w:highlight w:val="none"/>
                <w:lang w:val="en-US" w:eastAsia="zh-CN"/>
              </w:rPr>
            </w:pPr>
            <w:r>
              <w:rPr>
                <w:rFonts w:hint="eastAsia" w:ascii="楷体" w:hAnsi="楷体" w:eastAsia="楷体"/>
                <w:sz w:val="24"/>
                <w:highlight w:val="none"/>
                <w:lang w:val="en-US" w:eastAsia="zh-CN"/>
              </w:rPr>
              <w:t>沈阳冶金工业专科学校1987.7热处理专业</w:t>
            </w:r>
          </w:p>
        </w:tc>
        <w:tc>
          <w:tcPr>
            <w:tcW w:w="1462" w:type="dxa"/>
            <w:tcBorders>
              <w:top w:val="nil"/>
              <w:left w:val="nil"/>
              <w:bottom w:val="nil"/>
              <w:right w:val="single" w:color="auto" w:sz="4" w:space="0"/>
            </w:tcBorders>
            <w:vAlign w:val="center"/>
          </w:tcPr>
          <w:p>
            <w:pPr>
              <w:widowControl/>
              <w:jc w:val="center"/>
              <w:rPr>
                <w:rFonts w:hint="eastAsia" w:eastAsia="楷体_GB2312"/>
                <w:sz w:val="24"/>
                <w:highlight w:val="none"/>
              </w:rPr>
            </w:pPr>
            <w:r>
              <w:rPr>
                <w:rFonts w:hint="eastAsia" w:eastAsia="楷体_GB2312"/>
                <w:sz w:val="24"/>
                <w:highlight w:val="none"/>
                <w:lang w:val="en-US" w:eastAsia="zh-CN"/>
              </w:rPr>
              <w:t>2023年2月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6</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楷体" w:hAnsi="楷体" w:eastAsia="楷体" w:cs="宋体"/>
                <w:kern w:val="2"/>
                <w:sz w:val="24"/>
                <w:szCs w:val="22"/>
                <w:highlight w:val="none"/>
                <w:lang w:val="en-US" w:eastAsia="zh-CN" w:bidi="ar-SA"/>
              </w:rPr>
            </w:pPr>
            <w:r>
              <w:rPr>
                <w:rFonts w:hint="eastAsia" w:ascii="楷体" w:hAnsi="楷体" w:eastAsia="楷体" w:cs="宋体"/>
                <w:sz w:val="24"/>
                <w:szCs w:val="22"/>
                <w:highlight w:val="none"/>
                <w:lang w:val="en-US" w:eastAsia="zh-CN"/>
              </w:rPr>
              <w:t>赵文杰</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sz w:val="24"/>
                <w:highlight w:val="none"/>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41</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ascii="楷体" w:hAnsi="楷体" w:eastAsia="楷体" w:cs="Times New Roman"/>
                <w:sz w:val="24"/>
                <w:szCs w:val="22"/>
                <w:highlight w:val="none"/>
                <w:lang w:val="en-US" w:eastAsia="zh-CN"/>
              </w:rPr>
              <w:t>董事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 xml:space="preserve"> 硕士研究生</w:t>
            </w: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北京大学2013.6</w:t>
            </w:r>
          </w:p>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金融信息工程</w:t>
            </w:r>
          </w:p>
        </w:tc>
        <w:tc>
          <w:tcPr>
            <w:tcW w:w="1462" w:type="dxa"/>
            <w:tcBorders>
              <w:top w:val="nil"/>
              <w:left w:val="nil"/>
              <w:bottom w:val="nil"/>
              <w:right w:val="single" w:color="auto" w:sz="4" w:space="0"/>
            </w:tcBorders>
            <w:vAlign w:val="center"/>
          </w:tcPr>
          <w:p>
            <w:pPr>
              <w:widowControl/>
              <w:jc w:val="center"/>
              <w:rPr>
                <w:rFonts w:hint="eastAsia" w:eastAsia="楷体_GB2312"/>
                <w:sz w:val="24"/>
                <w:highlight w:val="none"/>
              </w:rPr>
            </w:pPr>
            <w:r>
              <w:rPr>
                <w:rFonts w:hint="eastAsia" w:eastAsia="楷体_GB2312"/>
                <w:sz w:val="24"/>
                <w:highlight w:val="none"/>
                <w:lang w:val="en-US" w:eastAsia="zh-CN"/>
              </w:rPr>
              <w:t>2023年2月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7</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eastAsia="楷体_GB2312"/>
                <w:sz w:val="24"/>
                <w:highlight w:val="none"/>
                <w:lang w:val="en-US" w:eastAsia="zh-CN"/>
              </w:rPr>
              <w:t>应军</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sz w:val="24"/>
                <w:highlight w:val="none"/>
                <w:lang w:eastAsia="zh-CN"/>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52</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eastAsia="楷体_GB2312"/>
                <w:sz w:val="24"/>
                <w:highlight w:val="none"/>
                <w:lang w:eastAsia="zh-CN"/>
              </w:rPr>
              <w:t>副</w:t>
            </w:r>
            <w:r>
              <w:rPr>
                <w:rFonts w:hint="eastAsia" w:eastAsia="楷体_GB2312"/>
                <w:sz w:val="24"/>
                <w:highlight w:val="none"/>
              </w:rPr>
              <w:t>董事</w:t>
            </w:r>
            <w:r>
              <w:rPr>
                <w:rFonts w:hint="eastAsia" w:eastAsia="楷体_GB2312"/>
                <w:sz w:val="24"/>
                <w:highlight w:val="none"/>
                <w:lang w:eastAsia="zh-CN"/>
              </w:rPr>
              <w:t>长</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研究生</w:t>
            </w: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兰州理工大学 工商管理专业</w:t>
            </w:r>
          </w:p>
        </w:tc>
        <w:tc>
          <w:tcPr>
            <w:tcW w:w="1462" w:type="dxa"/>
            <w:tcBorders>
              <w:top w:val="nil"/>
              <w:left w:val="nil"/>
              <w:bottom w:val="nil"/>
              <w:right w:val="single" w:color="auto" w:sz="4" w:space="0"/>
            </w:tcBorders>
            <w:vAlign w:val="center"/>
          </w:tcPr>
          <w:p>
            <w:pPr>
              <w:widowControl/>
              <w:jc w:val="center"/>
              <w:rPr>
                <w:rFonts w:ascii="宋体" w:cs="宋体"/>
                <w:kern w:val="0"/>
                <w:sz w:val="22"/>
                <w:szCs w:val="22"/>
              </w:rPr>
            </w:pPr>
            <w:r>
              <w:rPr>
                <w:rFonts w:hint="eastAsia" w:eastAsia="楷体_GB2312"/>
                <w:sz w:val="24"/>
                <w:highlight w:val="none"/>
              </w:rPr>
              <w:t>20</w:t>
            </w:r>
            <w:r>
              <w:rPr>
                <w:rFonts w:hint="eastAsia" w:eastAsia="楷体_GB2312"/>
                <w:sz w:val="24"/>
                <w:highlight w:val="none"/>
                <w:lang w:val="en-US" w:eastAsia="zh-CN"/>
              </w:rPr>
              <w:t>20</w:t>
            </w:r>
            <w:r>
              <w:rPr>
                <w:rFonts w:hint="eastAsia" w:eastAsia="楷体_GB2312"/>
                <w:sz w:val="24"/>
                <w:highlight w:val="none"/>
              </w:rPr>
              <w:t>年</w:t>
            </w:r>
            <w:r>
              <w:rPr>
                <w:rFonts w:hint="eastAsia" w:eastAsia="楷体_GB2312"/>
                <w:sz w:val="24"/>
                <w:highlight w:val="none"/>
                <w:lang w:val="en-US" w:eastAsia="zh-CN"/>
              </w:rPr>
              <w:t>10</w:t>
            </w:r>
            <w:r>
              <w:rPr>
                <w:rFonts w:hint="eastAsia" w:eastAsia="楷体_GB2312"/>
                <w:sz w:val="24"/>
                <w:highlight w:val="none"/>
              </w:rPr>
              <w:t>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8</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eastAsia="楷体_GB2312"/>
                <w:sz w:val="24"/>
                <w:highlight w:val="none"/>
                <w:lang w:val="en-US" w:eastAsia="zh-CN"/>
              </w:rPr>
              <w:t>屠笠</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sz w:val="24"/>
                <w:highlight w:val="none"/>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31</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eastAsia="楷体_GB2312"/>
                <w:sz w:val="24"/>
                <w:highlight w:val="none"/>
              </w:rPr>
              <w:t>董事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研究生</w:t>
            </w: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英国雷丁大学亨利商学院ICMA中心金融风险管理专业</w:t>
            </w:r>
          </w:p>
        </w:tc>
        <w:tc>
          <w:tcPr>
            <w:tcW w:w="1462" w:type="dxa"/>
            <w:tcBorders>
              <w:top w:val="nil"/>
              <w:left w:val="nil"/>
              <w:bottom w:val="nil"/>
              <w:right w:val="single" w:color="auto" w:sz="4" w:space="0"/>
            </w:tcBorders>
            <w:vAlign w:val="center"/>
          </w:tcPr>
          <w:p>
            <w:pPr>
              <w:widowControl/>
              <w:jc w:val="center"/>
              <w:rPr>
                <w:rFonts w:ascii="宋体" w:cs="宋体"/>
                <w:kern w:val="0"/>
                <w:sz w:val="22"/>
                <w:szCs w:val="22"/>
              </w:rPr>
            </w:pPr>
            <w:r>
              <w:rPr>
                <w:rFonts w:hint="eastAsia" w:eastAsia="楷体_GB2312"/>
                <w:sz w:val="24"/>
                <w:highlight w:val="none"/>
              </w:rPr>
              <w:t>20</w:t>
            </w:r>
            <w:r>
              <w:rPr>
                <w:rFonts w:hint="eastAsia" w:eastAsia="楷体_GB2312"/>
                <w:sz w:val="24"/>
                <w:highlight w:val="none"/>
                <w:lang w:val="en-US" w:eastAsia="zh-CN"/>
              </w:rPr>
              <w:t>20</w:t>
            </w:r>
            <w:r>
              <w:rPr>
                <w:rFonts w:hint="eastAsia" w:eastAsia="楷体_GB2312"/>
                <w:sz w:val="24"/>
                <w:highlight w:val="none"/>
              </w:rPr>
              <w:t>年</w:t>
            </w:r>
            <w:r>
              <w:rPr>
                <w:rFonts w:hint="eastAsia" w:eastAsia="楷体_GB2312"/>
                <w:sz w:val="24"/>
                <w:highlight w:val="none"/>
                <w:lang w:val="en-US" w:eastAsia="zh-CN"/>
              </w:rPr>
              <w:t>10</w:t>
            </w:r>
            <w:r>
              <w:rPr>
                <w:rFonts w:hint="eastAsia" w:eastAsia="楷体_GB2312"/>
                <w:sz w:val="24"/>
                <w:highlight w:val="none"/>
              </w:rPr>
              <w:t>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9</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Times New Roman" w:hAnsi="Times New Roman" w:eastAsia="楷体_GB2312" w:cs="Times New Roman"/>
                <w:kern w:val="2"/>
                <w:sz w:val="24"/>
                <w:szCs w:val="22"/>
                <w:highlight w:val="none"/>
                <w:lang w:val="en-US" w:eastAsia="zh-CN" w:bidi="ar-SA"/>
              </w:rPr>
            </w:pPr>
            <w:r>
              <w:rPr>
                <w:rFonts w:hint="eastAsia" w:ascii="Times New Roman" w:hAnsi="Times New Roman" w:eastAsia="楷体_GB2312" w:cs="Times New Roman"/>
                <w:sz w:val="24"/>
                <w:szCs w:val="22"/>
                <w:highlight w:val="none"/>
                <w:lang w:val="en-US" w:eastAsia="zh-CN"/>
              </w:rPr>
              <w:t>三岛清隆</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ascii="Times New Roman" w:hAnsi="Times New Roman" w:eastAsia="楷体_GB2312" w:cs="Times New Roman"/>
                <w:sz w:val="24"/>
                <w:szCs w:val="22"/>
                <w:highlight w:val="none"/>
                <w:lang w:eastAsia="zh-CN"/>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61</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eastAsia="楷体_GB2312"/>
                <w:sz w:val="24"/>
                <w:highlight w:val="none"/>
              </w:rPr>
              <w:t>副董事长</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日本东京大学1985.3经济学</w:t>
            </w:r>
          </w:p>
        </w:tc>
        <w:tc>
          <w:tcPr>
            <w:tcW w:w="1462" w:type="dxa"/>
            <w:tcBorders>
              <w:top w:val="nil"/>
              <w:left w:val="nil"/>
              <w:bottom w:val="nil"/>
              <w:right w:val="single" w:color="auto" w:sz="4" w:space="0"/>
            </w:tcBorders>
            <w:vAlign w:val="center"/>
          </w:tcPr>
          <w:p>
            <w:pPr>
              <w:widowControl/>
              <w:jc w:val="center"/>
              <w:rPr>
                <w:rFonts w:ascii="宋体" w:cs="宋体"/>
                <w:kern w:val="0"/>
                <w:sz w:val="22"/>
                <w:szCs w:val="22"/>
              </w:rPr>
            </w:pPr>
            <w:r>
              <w:rPr>
                <w:rFonts w:hint="eastAsia" w:eastAsia="楷体_GB2312"/>
                <w:sz w:val="24"/>
                <w:highlight w:val="none"/>
              </w:rPr>
              <w:t>20</w:t>
            </w:r>
            <w:r>
              <w:rPr>
                <w:rFonts w:hint="eastAsia" w:eastAsia="楷体_GB2312"/>
                <w:sz w:val="24"/>
                <w:highlight w:val="none"/>
                <w:lang w:val="en-US" w:eastAsia="zh-CN"/>
              </w:rPr>
              <w:t>21</w:t>
            </w:r>
            <w:r>
              <w:rPr>
                <w:rFonts w:hint="eastAsia" w:eastAsia="楷体_GB2312"/>
                <w:sz w:val="24"/>
                <w:highlight w:val="none"/>
              </w:rPr>
              <w:t>年</w:t>
            </w:r>
            <w:r>
              <w:rPr>
                <w:rFonts w:hint="eastAsia" w:eastAsia="楷体_GB2312"/>
                <w:sz w:val="24"/>
                <w:highlight w:val="none"/>
                <w:lang w:val="en-US" w:eastAsia="zh-CN"/>
              </w:rPr>
              <w:t>3</w:t>
            </w:r>
            <w:r>
              <w:rPr>
                <w:rFonts w:hint="eastAsia" w:eastAsia="楷体_GB2312"/>
                <w:sz w:val="24"/>
                <w:highlight w:val="none"/>
              </w:rPr>
              <w:t>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none"/>
                <w:lang w:val="en-US" w:eastAsia="zh-CN" w:bidi="ar-SA"/>
              </w:rPr>
            </w:pPr>
            <w:r>
              <w:rPr>
                <w:rFonts w:hint="eastAsia" w:ascii="楷体" w:hAnsi="楷体" w:eastAsia="楷体"/>
                <w:sz w:val="24"/>
                <w:highlight w:val="none"/>
                <w:lang w:val="en-US" w:eastAsia="zh-CN"/>
              </w:rPr>
              <w:t>10</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none"/>
                <w:lang w:val="en-US" w:eastAsia="zh-CN" w:bidi="ar-SA"/>
              </w:rPr>
            </w:pPr>
            <w:r>
              <w:rPr>
                <w:rFonts w:hint="eastAsia" w:ascii="楷体" w:hAnsi="楷体" w:eastAsia="楷体"/>
                <w:sz w:val="24"/>
                <w:highlight w:val="none"/>
              </w:rPr>
              <w:t>高野铁也</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ascii="楷体" w:hAnsi="楷体" w:eastAsia="楷体"/>
                <w:sz w:val="24"/>
                <w:highlight w:val="none"/>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53</w:t>
            </w:r>
          </w:p>
        </w:tc>
        <w:tc>
          <w:tcPr>
            <w:tcW w:w="898" w:type="dxa"/>
            <w:tcBorders>
              <w:top w:val="nil"/>
              <w:left w:val="nil"/>
              <w:bottom w:val="nil"/>
              <w:right w:val="single" w:color="auto" w:sz="4" w:space="0"/>
            </w:tcBorders>
            <w:vAlign w:val="center"/>
          </w:tcPr>
          <w:p>
            <w:pPr>
              <w:autoSpaceDE w:val="0"/>
              <w:autoSpaceDN w:val="0"/>
              <w:adjustRightInd w:val="0"/>
              <w:jc w:val="center"/>
              <w:rPr>
                <w:rFonts w:ascii="等线" w:hAnsi="等线" w:eastAsia="等线" w:cs="黑体"/>
                <w:kern w:val="2"/>
                <w:sz w:val="21"/>
                <w:szCs w:val="24"/>
                <w:highlight w:val="none"/>
                <w:lang w:val="en-US" w:eastAsia="zh-CN" w:bidi="ar-SA"/>
              </w:rPr>
            </w:pPr>
            <w:r>
              <w:rPr>
                <w:rFonts w:hint="eastAsia" w:ascii="楷体" w:hAnsi="楷体" w:eastAsia="楷体"/>
                <w:sz w:val="24"/>
                <w:highlight w:val="none"/>
                <w:lang w:eastAsia="zh-CN"/>
              </w:rPr>
              <w:t>董事，</w:t>
            </w:r>
            <w:r>
              <w:rPr>
                <w:rFonts w:hint="eastAsia" w:ascii="楷体" w:hAnsi="楷体" w:eastAsia="楷体"/>
                <w:sz w:val="24"/>
                <w:highlight w:val="none"/>
              </w:rPr>
              <w:t>宁波宝新副总经理</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zh-CN" w:eastAsia="zh-CN"/>
              </w:rPr>
              <w:t>日本杏林大学</w:t>
            </w:r>
            <w:r>
              <w:rPr>
                <w:rFonts w:hint="eastAsia" w:ascii="楷体" w:hAnsi="楷体" w:eastAsia="楷体"/>
                <w:sz w:val="24"/>
                <w:highlight w:val="none"/>
                <w:lang w:val="en-US" w:eastAsia="zh-CN"/>
              </w:rPr>
              <w:t>1993.3</w:t>
            </w:r>
            <w:r>
              <w:rPr>
                <w:rFonts w:hint="eastAsia" w:ascii="楷体" w:hAnsi="楷体" w:eastAsia="楷体"/>
                <w:sz w:val="24"/>
                <w:highlight w:val="none"/>
                <w:lang w:val="zh-CN" w:eastAsia="zh-CN"/>
              </w:rPr>
              <w:t>外国语</w:t>
            </w:r>
          </w:p>
        </w:tc>
        <w:tc>
          <w:tcPr>
            <w:tcW w:w="1462" w:type="dxa"/>
            <w:tcBorders>
              <w:top w:val="nil"/>
              <w:left w:val="nil"/>
              <w:bottom w:val="nil"/>
              <w:right w:val="single" w:color="auto" w:sz="4" w:space="0"/>
            </w:tcBorders>
            <w:vAlign w:val="center"/>
          </w:tcPr>
          <w:p>
            <w:pPr>
              <w:widowControl/>
              <w:jc w:val="center"/>
              <w:rPr>
                <w:rFonts w:ascii="宋体" w:cs="宋体"/>
                <w:kern w:val="0"/>
                <w:sz w:val="22"/>
                <w:szCs w:val="22"/>
              </w:rPr>
            </w:pPr>
            <w:r>
              <w:rPr>
                <w:rFonts w:hint="eastAsia" w:eastAsia="楷体_GB2312"/>
                <w:sz w:val="24"/>
                <w:highlight w:val="none"/>
              </w:rPr>
              <w:t>2017年7月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spacing w:line="360" w:lineRule="auto"/>
              <w:jc w:val="center"/>
              <w:rPr>
                <w:rFonts w:hint="eastAsia" w:ascii="楷体" w:hAnsi="楷体" w:eastAsia="楷体" w:cs="黑体"/>
                <w:kern w:val="2"/>
                <w:sz w:val="24"/>
                <w:szCs w:val="22"/>
                <w:highlight w:val="none"/>
                <w:lang w:val="en-US" w:eastAsia="zh-CN" w:bidi="ar-SA"/>
              </w:rPr>
            </w:pPr>
            <w:r>
              <w:rPr>
                <w:rFonts w:hint="eastAsia" w:ascii="楷体" w:hAnsi="楷体" w:eastAsia="楷体"/>
                <w:sz w:val="24"/>
                <w:szCs w:val="22"/>
                <w:highlight w:val="none"/>
                <w:lang w:val="en-US" w:eastAsia="zh-CN"/>
              </w:rPr>
              <w:t>11</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楷体" w:hAnsi="楷体" w:eastAsia="楷体" w:cs="黑体"/>
                <w:kern w:val="2"/>
                <w:sz w:val="24"/>
                <w:szCs w:val="22"/>
                <w:highlight w:val="none"/>
                <w:lang w:val="en-US" w:eastAsia="zh-CN" w:bidi="ar-SA"/>
              </w:rPr>
            </w:pPr>
            <w:r>
              <w:rPr>
                <w:rFonts w:hint="eastAsia" w:ascii="楷体" w:hAnsi="楷体" w:eastAsia="楷体" w:cs="Times New Roman"/>
                <w:sz w:val="24"/>
                <w:szCs w:val="22"/>
                <w:highlight w:val="none"/>
                <w:lang w:val="en-US" w:eastAsia="zh-CN"/>
              </w:rPr>
              <w:t>宫花秀树</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ascii="楷体" w:hAnsi="楷体" w:eastAsia="楷体"/>
                <w:sz w:val="24"/>
                <w:szCs w:val="22"/>
                <w:highlight w:val="none"/>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56</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ascii="等线" w:hAnsi="等线" w:eastAsia="等线" w:cs="黑体"/>
                <w:kern w:val="2"/>
                <w:sz w:val="21"/>
                <w:szCs w:val="24"/>
                <w:highlight w:val="yellow"/>
                <w:lang w:val="en-US" w:eastAsia="zh-CN" w:bidi="ar-SA"/>
              </w:rPr>
            </w:pPr>
            <w:r>
              <w:rPr>
                <w:rFonts w:hint="eastAsia" w:ascii="楷体" w:hAnsi="楷体" w:eastAsia="楷体"/>
                <w:sz w:val="24"/>
                <w:szCs w:val="22"/>
                <w:highlight w:val="none"/>
                <w:lang w:val="en-US" w:eastAsia="zh-CN"/>
              </w:rPr>
              <w:t>董事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p>
        </w:tc>
        <w:tc>
          <w:tcPr>
            <w:tcW w:w="1276" w:type="dxa"/>
            <w:tcBorders>
              <w:top w:val="nil"/>
              <w:left w:val="nil"/>
              <w:bottom w:val="nil"/>
              <w:right w:val="single" w:color="auto" w:sz="4" w:space="0"/>
            </w:tcBorders>
            <w:vAlign w:val="center"/>
          </w:tcPr>
          <w:p>
            <w:pPr>
              <w:autoSpaceDE w:val="0"/>
              <w:autoSpaceDN w:val="0"/>
              <w:adjustRightInd w:val="0"/>
              <w:jc w:val="center"/>
              <w:rPr>
                <w:rFonts w:hint="default" w:ascii="楷体" w:hAnsi="楷体" w:eastAsia="楷体"/>
                <w:sz w:val="24"/>
                <w:highlight w:val="none"/>
                <w:lang w:val="en-US" w:eastAsia="zh-CN"/>
              </w:rPr>
            </w:pPr>
            <w:r>
              <w:rPr>
                <w:rFonts w:hint="eastAsia" w:ascii="楷体" w:hAnsi="楷体" w:eastAsia="楷体"/>
                <w:sz w:val="24"/>
                <w:highlight w:val="none"/>
                <w:lang w:val="en-US" w:eastAsia="zh-CN"/>
              </w:rPr>
              <w:t>日本立教大学1990.3经营学科</w:t>
            </w:r>
          </w:p>
        </w:tc>
        <w:tc>
          <w:tcPr>
            <w:tcW w:w="1462" w:type="dxa"/>
            <w:tcBorders>
              <w:top w:val="nil"/>
              <w:left w:val="nil"/>
              <w:bottom w:val="nil"/>
              <w:right w:val="single" w:color="auto" w:sz="4" w:space="0"/>
            </w:tcBorders>
            <w:vAlign w:val="center"/>
          </w:tcPr>
          <w:p>
            <w:pPr>
              <w:widowControl/>
              <w:jc w:val="center"/>
              <w:rPr>
                <w:rFonts w:ascii="宋体" w:cs="宋体"/>
                <w:kern w:val="0"/>
                <w:sz w:val="22"/>
                <w:szCs w:val="22"/>
              </w:rPr>
            </w:pPr>
            <w:r>
              <w:rPr>
                <w:rFonts w:hint="eastAsia" w:ascii="楷体" w:hAnsi="楷体" w:eastAsia="楷体"/>
                <w:sz w:val="24"/>
                <w:szCs w:val="22"/>
                <w:highlight w:val="none"/>
                <w:lang w:val="en-US" w:eastAsia="zh-CN"/>
              </w:rPr>
              <w:t>2022年5月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等线" w:hAnsi="等线" w:eastAsia="楷体_GB2312" w:cs="黑体"/>
                <w:kern w:val="2"/>
                <w:sz w:val="24"/>
                <w:szCs w:val="24"/>
                <w:highlight w:val="yellow"/>
                <w:lang w:val="en-US" w:eastAsia="zh-CN" w:bidi="ar-SA"/>
              </w:rPr>
            </w:pPr>
            <w:r>
              <w:rPr>
                <w:rFonts w:hint="eastAsia" w:ascii="楷体" w:hAnsi="楷体" w:eastAsia="楷体"/>
                <w:sz w:val="24"/>
                <w:highlight w:val="none"/>
                <w:lang w:val="en-US" w:eastAsia="zh-CN"/>
              </w:rPr>
              <w:t>12</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Times New Roman" w:hAnsi="Times New Roman" w:eastAsia="楷体_GB2312" w:cs="Times New Roman"/>
                <w:kern w:val="2"/>
                <w:sz w:val="24"/>
                <w:szCs w:val="22"/>
                <w:highlight w:val="none"/>
                <w:lang w:val="en-US" w:eastAsia="zh-CN" w:bidi="ar-SA"/>
              </w:rPr>
            </w:pPr>
            <w:r>
              <w:rPr>
                <w:rFonts w:hint="eastAsia" w:ascii="楷体" w:hAnsi="楷体" w:eastAsia="楷体"/>
                <w:sz w:val="24"/>
                <w:highlight w:val="none"/>
                <w:lang w:eastAsia="zh-CN"/>
              </w:rPr>
              <w:t>藤塚正彦</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ascii="Times New Roman" w:hAnsi="Times New Roman" w:eastAsia="楷体_GB2312" w:cs="Times New Roman"/>
                <w:sz w:val="24"/>
                <w:szCs w:val="22"/>
                <w:highlight w:val="none"/>
                <w:lang w:eastAsia="zh-CN"/>
              </w:rPr>
              <w:t>男</w:t>
            </w:r>
          </w:p>
        </w:tc>
        <w:tc>
          <w:tcPr>
            <w:tcW w:w="898" w:type="dxa"/>
            <w:tcBorders>
              <w:top w:val="nil"/>
              <w:left w:val="nil"/>
              <w:bottom w:val="nil"/>
              <w:right w:val="single" w:color="auto" w:sz="4" w:space="0"/>
            </w:tcBorders>
            <w:vAlign w:val="center"/>
          </w:tcPr>
          <w:p>
            <w:pPr>
              <w:keepNext w:val="0"/>
              <w:keepLines w:val="0"/>
              <w:widowControl/>
              <w:suppressLineNumbers w:val="0"/>
              <w:jc w:val="right"/>
              <w:textAlignment w:val="center"/>
              <w:rPr>
                <w:rFonts w:ascii="宋体" w:cs="宋体"/>
                <w:kern w:val="0"/>
                <w:sz w:val="22"/>
                <w:szCs w:val="22"/>
              </w:rPr>
            </w:pPr>
            <w:r>
              <w:rPr>
                <w:rFonts w:hint="eastAsia" w:ascii="宋体" w:hAnsi="宋体" w:eastAsia="宋体" w:cs="宋体"/>
                <w:i w:val="0"/>
                <w:iCs w:val="0"/>
                <w:color w:val="000000"/>
                <w:kern w:val="0"/>
                <w:sz w:val="22"/>
                <w:szCs w:val="22"/>
                <w:u w:val="none"/>
                <w:lang w:val="en-US" w:eastAsia="zh-CN" w:bidi="ar"/>
              </w:rPr>
              <w:t>58</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hint="eastAsia" w:ascii="Times New Roman" w:hAnsi="Times New Roman" w:eastAsia="楷体_GB2312" w:cs="Times New Roman"/>
                <w:kern w:val="2"/>
                <w:sz w:val="24"/>
                <w:szCs w:val="22"/>
                <w:highlight w:val="none"/>
                <w:lang w:val="en-US" w:eastAsia="zh-CN" w:bidi="ar-SA"/>
              </w:rPr>
            </w:pPr>
            <w:r>
              <w:rPr>
                <w:rFonts w:hint="eastAsia" w:ascii="Times New Roman" w:hAnsi="Times New Roman" w:eastAsia="楷体_GB2312" w:cs="Times New Roman"/>
                <w:sz w:val="24"/>
                <w:szCs w:val="22"/>
                <w:highlight w:val="none"/>
                <w:lang w:eastAsia="zh-CN"/>
              </w:rPr>
              <w:t>董事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日本中央大学1989 .3法学</w:t>
            </w:r>
          </w:p>
        </w:tc>
        <w:tc>
          <w:tcPr>
            <w:tcW w:w="1462" w:type="dxa"/>
            <w:tcBorders>
              <w:top w:val="nil"/>
              <w:left w:val="nil"/>
              <w:bottom w:val="nil"/>
              <w:right w:val="single" w:color="auto" w:sz="4" w:space="0"/>
            </w:tcBorders>
            <w:vAlign w:val="center"/>
          </w:tcPr>
          <w:p>
            <w:pPr>
              <w:widowControl/>
              <w:jc w:val="both"/>
              <w:rPr>
                <w:rFonts w:ascii="宋体" w:cs="宋体"/>
                <w:kern w:val="0"/>
                <w:sz w:val="22"/>
                <w:szCs w:val="22"/>
              </w:rPr>
            </w:pPr>
            <w:r>
              <w:rPr>
                <w:rFonts w:hint="eastAsia" w:ascii="Times New Roman" w:hAnsi="Times New Roman" w:eastAsia="楷体_GB2312" w:cs="Times New Roman"/>
                <w:sz w:val="24"/>
                <w:szCs w:val="22"/>
                <w:highlight w:val="none"/>
                <w:lang w:eastAsia="zh-CN"/>
              </w:rPr>
              <w:t>201</w:t>
            </w:r>
            <w:r>
              <w:rPr>
                <w:rFonts w:hint="eastAsia" w:ascii="Times New Roman" w:hAnsi="Times New Roman" w:eastAsia="楷体_GB2312" w:cs="Times New Roman"/>
                <w:sz w:val="24"/>
                <w:szCs w:val="22"/>
                <w:highlight w:val="none"/>
                <w:lang w:val="en-US" w:eastAsia="zh-CN"/>
              </w:rPr>
              <w:t>9</w:t>
            </w:r>
            <w:r>
              <w:rPr>
                <w:rFonts w:hint="eastAsia" w:ascii="Times New Roman" w:hAnsi="Times New Roman" w:eastAsia="楷体_GB2312" w:cs="Times New Roman"/>
                <w:sz w:val="24"/>
                <w:szCs w:val="22"/>
                <w:highlight w:val="none"/>
                <w:lang w:eastAsia="zh-CN"/>
              </w:rPr>
              <w:t>年</w:t>
            </w:r>
            <w:r>
              <w:rPr>
                <w:rFonts w:hint="eastAsia" w:ascii="Times New Roman" w:hAnsi="Times New Roman" w:eastAsia="楷体_GB2312" w:cs="Times New Roman"/>
                <w:sz w:val="24"/>
                <w:szCs w:val="22"/>
                <w:highlight w:val="none"/>
                <w:lang w:val="en-US" w:eastAsia="zh-CN"/>
              </w:rPr>
              <w:t>6</w:t>
            </w:r>
            <w:r>
              <w:rPr>
                <w:rFonts w:hint="eastAsia" w:ascii="Times New Roman" w:hAnsi="Times New Roman" w:eastAsia="楷体_GB2312" w:cs="Times New Roman"/>
                <w:sz w:val="24"/>
                <w:szCs w:val="22"/>
                <w:highlight w:val="none"/>
                <w:lang w:eastAsia="zh-CN"/>
              </w:rPr>
              <w:t>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宋体" w:cs="宋体"/>
                <w:kern w:val="0"/>
                <w:sz w:val="22"/>
                <w:szCs w:val="22"/>
              </w:rPr>
            </w:pPr>
            <w:r>
              <w:rPr>
                <w:rFonts w:hint="eastAsia" w:ascii="楷体" w:hAnsi="楷体" w:eastAsia="楷体"/>
                <w:sz w:val="24"/>
                <w:highlight w:val="none"/>
                <w:lang w:val="en-US" w:eastAsia="zh-CN"/>
              </w:rPr>
              <w:t>13</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cs="Times New Roman"/>
                <w:sz w:val="24"/>
                <w:szCs w:val="22"/>
                <w:highlight w:val="none"/>
                <w:lang w:val="en-US" w:eastAsia="zh-CN"/>
              </w:rPr>
              <w:t>程文</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cs="Times New Roman"/>
                <w:sz w:val="24"/>
                <w:szCs w:val="22"/>
                <w:highlight w:val="none"/>
                <w:lang w:val="en-US" w:eastAsia="zh-CN"/>
              </w:rPr>
              <w:t>男</w:t>
            </w:r>
          </w:p>
        </w:tc>
        <w:tc>
          <w:tcPr>
            <w:tcW w:w="898" w:type="dxa"/>
            <w:tcBorders>
              <w:top w:val="nil"/>
              <w:left w:val="nil"/>
              <w:bottom w:val="nil"/>
              <w:right w:val="single" w:color="auto" w:sz="4" w:space="0"/>
            </w:tcBorders>
            <w:vAlign w:val="center"/>
          </w:tcPr>
          <w:p>
            <w:pPr>
              <w:widowControl/>
              <w:jc w:val="center"/>
              <w:rPr>
                <w:rFonts w:hint="default" w:ascii="宋体" w:eastAsia="等线" w:cs="宋体"/>
                <w:kern w:val="0"/>
                <w:sz w:val="22"/>
                <w:szCs w:val="22"/>
                <w:lang w:val="en-US" w:eastAsia="zh-CN"/>
              </w:rPr>
            </w:pPr>
            <w:r>
              <w:rPr>
                <w:rFonts w:hint="eastAsia" w:ascii="宋体" w:cs="宋体"/>
                <w:kern w:val="0"/>
                <w:sz w:val="22"/>
                <w:szCs w:val="22"/>
                <w:lang w:val="en-US" w:eastAsia="zh-CN"/>
              </w:rPr>
              <w:t>55</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hint="default" w:ascii="Times New Roman" w:hAnsi="Times New Roman" w:eastAsia="楷体_GB2312" w:cs="Times New Roman"/>
                <w:kern w:val="2"/>
                <w:sz w:val="24"/>
                <w:szCs w:val="22"/>
                <w:highlight w:val="none"/>
                <w:lang w:val="en-US" w:eastAsia="zh-CN" w:bidi="ar-SA"/>
              </w:rPr>
            </w:pPr>
            <w:r>
              <w:rPr>
                <w:rFonts w:hint="eastAsia" w:eastAsia="楷体_GB2312" w:cs="Times New Roman"/>
                <w:sz w:val="24"/>
                <w:szCs w:val="22"/>
                <w:highlight w:val="none"/>
                <w:lang w:val="en-US" w:eastAsia="zh-CN"/>
              </w:rPr>
              <w:t>监事，并推荐为监事会主席</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大专</w:t>
            </w:r>
          </w:p>
        </w:tc>
        <w:tc>
          <w:tcPr>
            <w:tcW w:w="1276" w:type="dxa"/>
            <w:tcBorders>
              <w:top w:val="nil"/>
              <w:left w:val="nil"/>
              <w:bottom w:val="nil"/>
              <w:right w:val="single" w:color="auto" w:sz="4" w:space="0"/>
            </w:tcBorders>
            <w:vAlign w:val="center"/>
          </w:tcPr>
          <w:p>
            <w:pPr>
              <w:autoSpaceDE w:val="0"/>
              <w:autoSpaceDN w:val="0"/>
              <w:adjustRightInd w:val="0"/>
              <w:jc w:val="center"/>
              <w:rPr>
                <w:rFonts w:hint="default" w:ascii="楷体" w:hAnsi="楷体" w:eastAsia="楷体"/>
                <w:sz w:val="24"/>
                <w:highlight w:val="none"/>
                <w:lang w:val="en-US" w:eastAsia="zh-CN"/>
              </w:rPr>
            </w:pPr>
            <w:r>
              <w:rPr>
                <w:rFonts w:hint="eastAsia" w:ascii="楷体" w:hAnsi="楷体" w:eastAsia="楷体"/>
                <w:sz w:val="24"/>
                <w:highlight w:val="none"/>
                <w:lang w:val="en-US" w:eastAsia="zh-CN"/>
              </w:rPr>
              <w:t>山西财经大学1991.7会计专业</w:t>
            </w:r>
          </w:p>
        </w:tc>
        <w:tc>
          <w:tcPr>
            <w:tcW w:w="1462" w:type="dxa"/>
            <w:tcBorders>
              <w:top w:val="nil"/>
              <w:left w:val="nil"/>
              <w:bottom w:val="nil"/>
              <w:right w:val="single" w:color="auto" w:sz="4" w:space="0"/>
            </w:tcBorders>
            <w:vAlign w:val="center"/>
          </w:tcPr>
          <w:p>
            <w:pPr>
              <w:widowControl/>
              <w:jc w:val="center"/>
              <w:rPr>
                <w:rFonts w:ascii="宋体" w:cs="宋体"/>
                <w:kern w:val="0"/>
                <w:sz w:val="22"/>
                <w:szCs w:val="22"/>
              </w:rPr>
            </w:pPr>
            <w:r>
              <w:rPr>
                <w:rFonts w:hint="eastAsia" w:eastAsia="楷体_GB2312" w:cs="Times New Roman"/>
                <w:sz w:val="24"/>
                <w:szCs w:val="22"/>
                <w:highlight w:val="none"/>
                <w:lang w:val="en-US" w:eastAsia="zh-CN"/>
              </w:rPr>
              <w:t>2023年2月</w:t>
            </w:r>
          </w:p>
        </w:tc>
      </w:tr>
      <w:tr>
        <w:tblPrEx>
          <w:tblLayout w:type="fixed"/>
          <w:tblCellMar>
            <w:top w:w="0" w:type="dxa"/>
            <w:left w:w="108" w:type="dxa"/>
            <w:bottom w:w="0" w:type="dxa"/>
            <w:right w:w="108" w:type="dxa"/>
          </w:tblCellMar>
        </w:tblPrEx>
        <w:trPr>
          <w:trHeight w:val="495" w:hRule="atLeast"/>
          <w:jc w:val="center"/>
        </w:trPr>
        <w:tc>
          <w:tcPr>
            <w:tcW w:w="930" w:type="dxa"/>
            <w:tcBorders>
              <w:top w:val="nil"/>
              <w:left w:val="single" w:color="auto" w:sz="4" w:space="0"/>
              <w:bottom w:val="nil"/>
              <w:right w:val="single" w:color="auto" w:sz="4" w:space="0"/>
            </w:tcBorders>
            <w:vAlign w:val="center"/>
          </w:tcPr>
          <w:p>
            <w:pPr>
              <w:autoSpaceDE w:val="0"/>
              <w:autoSpaceDN w:val="0"/>
              <w:adjustRightInd w:val="0"/>
              <w:jc w:val="center"/>
              <w:rPr>
                <w:rFonts w:ascii="宋体" w:cs="宋体"/>
                <w:kern w:val="0"/>
                <w:sz w:val="22"/>
                <w:szCs w:val="22"/>
              </w:rPr>
            </w:pPr>
            <w:r>
              <w:rPr>
                <w:rFonts w:hint="eastAsia" w:ascii="楷体" w:hAnsi="楷体" w:eastAsia="楷体"/>
                <w:sz w:val="24"/>
                <w:highlight w:val="none"/>
                <w:lang w:val="en-US" w:eastAsia="zh-CN"/>
              </w:rPr>
              <w:t>14</w:t>
            </w:r>
          </w:p>
        </w:tc>
        <w:tc>
          <w:tcPr>
            <w:tcW w:w="1224"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cs="Times New Roman"/>
                <w:sz w:val="24"/>
                <w:szCs w:val="22"/>
                <w:highlight w:val="none"/>
                <w:lang w:val="en-US" w:eastAsia="zh-CN"/>
              </w:rPr>
              <w:t>徐伟</w:t>
            </w:r>
          </w:p>
        </w:tc>
        <w:tc>
          <w:tcPr>
            <w:tcW w:w="571" w:type="dxa"/>
            <w:tcBorders>
              <w:top w:val="nil"/>
              <w:left w:val="nil"/>
              <w:bottom w:val="nil"/>
              <w:right w:val="single" w:color="auto" w:sz="4" w:space="0"/>
            </w:tcBorders>
            <w:vAlign w:val="center"/>
          </w:tcPr>
          <w:p>
            <w:pPr>
              <w:autoSpaceDE w:val="0"/>
              <w:autoSpaceDN w:val="0"/>
              <w:adjustRightInd w:val="0"/>
              <w:spacing w:line="360" w:lineRule="auto"/>
              <w:jc w:val="center"/>
              <w:rPr>
                <w:rFonts w:ascii="宋体" w:cs="宋体"/>
                <w:kern w:val="0"/>
                <w:sz w:val="22"/>
                <w:szCs w:val="22"/>
              </w:rPr>
            </w:pPr>
            <w:r>
              <w:rPr>
                <w:rFonts w:hint="eastAsia" w:eastAsia="楷体_GB2312" w:cs="Times New Roman"/>
                <w:sz w:val="24"/>
                <w:szCs w:val="22"/>
                <w:highlight w:val="none"/>
                <w:lang w:val="en-US" w:eastAsia="zh-CN"/>
              </w:rPr>
              <w:t>男</w:t>
            </w:r>
          </w:p>
        </w:tc>
        <w:tc>
          <w:tcPr>
            <w:tcW w:w="898" w:type="dxa"/>
            <w:tcBorders>
              <w:top w:val="nil"/>
              <w:left w:val="nil"/>
              <w:bottom w:val="nil"/>
              <w:right w:val="single" w:color="auto" w:sz="4" w:space="0"/>
            </w:tcBorders>
            <w:vAlign w:val="center"/>
          </w:tcPr>
          <w:p>
            <w:pPr>
              <w:widowControl/>
              <w:jc w:val="center"/>
              <w:rPr>
                <w:rFonts w:hint="default" w:ascii="宋体" w:eastAsia="等线" w:cs="宋体"/>
                <w:kern w:val="0"/>
                <w:sz w:val="22"/>
                <w:szCs w:val="22"/>
                <w:lang w:val="en-US" w:eastAsia="zh-CN"/>
              </w:rPr>
            </w:pPr>
            <w:r>
              <w:rPr>
                <w:rFonts w:hint="eastAsia" w:ascii="宋体" w:cs="宋体"/>
                <w:kern w:val="0"/>
                <w:sz w:val="22"/>
                <w:szCs w:val="22"/>
                <w:lang w:val="en-US" w:eastAsia="zh-CN"/>
              </w:rPr>
              <w:t>53</w:t>
            </w:r>
          </w:p>
        </w:tc>
        <w:tc>
          <w:tcPr>
            <w:tcW w:w="898" w:type="dxa"/>
            <w:tcBorders>
              <w:top w:val="nil"/>
              <w:left w:val="nil"/>
              <w:bottom w:val="nil"/>
              <w:right w:val="single" w:color="auto" w:sz="4" w:space="0"/>
            </w:tcBorders>
            <w:vAlign w:val="center"/>
          </w:tcPr>
          <w:p>
            <w:pPr>
              <w:autoSpaceDE w:val="0"/>
              <w:autoSpaceDN w:val="0"/>
              <w:adjustRightInd w:val="0"/>
              <w:spacing w:line="360" w:lineRule="auto"/>
              <w:jc w:val="center"/>
              <w:rPr>
                <w:rFonts w:hint="default" w:ascii="Times New Roman" w:hAnsi="Times New Roman" w:eastAsia="楷体_GB2312" w:cs="Times New Roman"/>
                <w:kern w:val="2"/>
                <w:sz w:val="24"/>
                <w:szCs w:val="22"/>
                <w:highlight w:val="none"/>
                <w:lang w:val="en-US" w:eastAsia="zh-CN" w:bidi="ar-SA"/>
              </w:rPr>
            </w:pPr>
            <w:r>
              <w:rPr>
                <w:rFonts w:hint="eastAsia" w:eastAsia="楷体_GB2312" w:cs="Times New Roman"/>
                <w:sz w:val="24"/>
                <w:szCs w:val="22"/>
                <w:highlight w:val="none"/>
                <w:lang w:val="en-US" w:eastAsia="zh-CN"/>
              </w:rPr>
              <w:t>宁波宝新党委副书记、党委委员、纪委书记、工会主席；职工监事，</w:t>
            </w:r>
          </w:p>
        </w:tc>
        <w:tc>
          <w:tcPr>
            <w:tcW w:w="898" w:type="dxa"/>
            <w:tcBorders>
              <w:top w:val="nil"/>
              <w:left w:val="nil"/>
              <w:bottom w:val="nil"/>
              <w:right w:val="single" w:color="auto" w:sz="4" w:space="0"/>
            </w:tcBorders>
            <w:vAlign w:val="center"/>
          </w:tcPr>
          <w:p>
            <w:pPr>
              <w:widowControl/>
              <w:jc w:val="center"/>
              <w:rPr>
                <w:rFonts w:ascii="宋体" w:cs="宋体"/>
                <w:kern w:val="0"/>
                <w:sz w:val="22"/>
                <w:szCs w:val="22"/>
              </w:rPr>
            </w:pPr>
          </w:p>
        </w:tc>
        <w:tc>
          <w:tcPr>
            <w:tcW w:w="898"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硕士研究生</w:t>
            </w:r>
          </w:p>
        </w:tc>
        <w:tc>
          <w:tcPr>
            <w:tcW w:w="1276" w:type="dxa"/>
            <w:tcBorders>
              <w:top w:val="nil"/>
              <w:left w:val="nil"/>
              <w:bottom w:val="nil"/>
              <w:right w:val="single" w:color="auto" w:sz="4" w:space="0"/>
            </w:tcBorders>
            <w:vAlign w:val="center"/>
          </w:tcPr>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中共中央党校</w:t>
            </w:r>
          </w:p>
          <w:p>
            <w:pPr>
              <w:autoSpaceDE w:val="0"/>
              <w:autoSpaceDN w:val="0"/>
              <w:adjustRightInd w:val="0"/>
              <w:jc w:val="center"/>
              <w:rPr>
                <w:rFonts w:hint="eastAsia" w:ascii="楷体" w:hAnsi="楷体" w:eastAsia="楷体"/>
                <w:sz w:val="24"/>
                <w:highlight w:val="none"/>
                <w:lang w:val="en-US" w:eastAsia="zh-CN"/>
              </w:rPr>
            </w:pPr>
            <w:r>
              <w:rPr>
                <w:rFonts w:hint="eastAsia" w:ascii="楷体" w:hAnsi="楷体" w:eastAsia="楷体"/>
                <w:sz w:val="24"/>
                <w:highlight w:val="none"/>
                <w:lang w:val="en-US" w:eastAsia="zh-CN"/>
              </w:rPr>
              <w:t>2010.7马克思主义理论</w:t>
            </w:r>
          </w:p>
        </w:tc>
        <w:tc>
          <w:tcPr>
            <w:tcW w:w="1462" w:type="dxa"/>
            <w:tcBorders>
              <w:top w:val="nil"/>
              <w:left w:val="nil"/>
              <w:bottom w:val="nil"/>
              <w:right w:val="single" w:color="auto" w:sz="4" w:space="0"/>
            </w:tcBorders>
            <w:vAlign w:val="center"/>
          </w:tcPr>
          <w:p>
            <w:pPr>
              <w:widowControl/>
              <w:jc w:val="center"/>
              <w:rPr>
                <w:rFonts w:ascii="宋体" w:cs="宋体"/>
                <w:kern w:val="0"/>
                <w:sz w:val="22"/>
                <w:szCs w:val="22"/>
              </w:rPr>
            </w:pPr>
            <w:r>
              <w:rPr>
                <w:rFonts w:hint="eastAsia" w:eastAsia="楷体_GB2312" w:cs="Times New Roman"/>
                <w:sz w:val="24"/>
                <w:szCs w:val="22"/>
                <w:highlight w:val="none"/>
                <w:lang w:val="en-US" w:eastAsia="zh-CN"/>
              </w:rPr>
              <w:t>2020年7月</w:t>
            </w:r>
          </w:p>
        </w:tc>
      </w:tr>
    </w:tbl>
    <w:p>
      <w:pPr>
        <w:widowControl/>
        <w:spacing w:line="540" w:lineRule="exact"/>
        <w:ind w:firstLine="602" w:firstLineChars="200"/>
        <w:jc w:val="left"/>
        <w:rPr>
          <w:rFonts w:hint="eastAsia" w:ascii="仿宋_GB2312" w:hAnsi="仿宋" w:eastAsia="仿宋_GB2312" w:cs="仿宋"/>
          <w:b/>
          <w:bCs/>
          <w:sz w:val="30"/>
          <w:szCs w:val="30"/>
        </w:rPr>
      </w:pPr>
    </w:p>
    <w:p>
      <w:pPr>
        <w:keepNext w:val="0"/>
        <w:keepLines w:val="0"/>
        <w:pageBreakBefore w:val="0"/>
        <w:widowControl/>
        <w:kinsoku/>
        <w:wordWrap/>
        <w:overflowPunct/>
        <w:topLinePunct w:val="0"/>
        <w:autoSpaceDE/>
        <w:autoSpaceDN/>
        <w:bidi w:val="0"/>
        <w:adjustRightInd/>
        <w:snapToGrid/>
        <w:spacing w:before="161" w:beforeLines="50" w:after="161" w:afterLines="50" w:line="540" w:lineRule="exact"/>
        <w:ind w:firstLine="602" w:firstLineChars="200"/>
        <w:jc w:val="left"/>
        <w:textAlignment w:val="auto"/>
        <w:outlineLvl w:val="9"/>
        <w:rPr>
          <w:rFonts w:ascii="仿宋_GB2312" w:hAnsi="宋体" w:eastAsia="仿宋_GB2312" w:cs="Arial"/>
          <w:szCs w:val="21"/>
        </w:rPr>
      </w:pPr>
      <w:r>
        <w:rPr>
          <w:rFonts w:hint="eastAsia" w:ascii="仿宋_GB2312" w:hAnsi="仿宋" w:eastAsia="仿宋_GB2312" w:cs="仿宋"/>
          <w:b/>
          <w:bCs/>
          <w:sz w:val="30"/>
          <w:szCs w:val="30"/>
        </w:rPr>
        <w:t>（三）企业负责人薪酬水平情况</w:t>
      </w:r>
      <w:r>
        <w:rPr>
          <w:rFonts w:hint="eastAsia" w:ascii="仿宋_GB2312" w:hAnsi="仿宋" w:eastAsia="仿宋_GB2312" w:cs="仿宋"/>
          <w:b/>
          <w:bCs/>
          <w:sz w:val="30"/>
          <w:szCs w:val="30"/>
          <w:lang w:val="en-US" w:eastAsia="zh-CN"/>
        </w:rPr>
        <w:t xml:space="preserve">        </w:t>
      </w:r>
      <w:r>
        <w:rPr>
          <w:rFonts w:ascii="仿宋_GB2312" w:hAnsi="仿宋" w:eastAsia="仿宋_GB2312" w:cs="仿宋"/>
          <w:b/>
          <w:bCs/>
          <w:color w:val="0000FF"/>
          <w:sz w:val="32"/>
          <w:szCs w:val="32"/>
        </w:rPr>
        <w:t xml:space="preserve"> </w:t>
      </w:r>
      <w:r>
        <w:rPr>
          <w:rFonts w:ascii="仿宋_GB2312" w:hAnsi="仿宋" w:eastAsia="仿宋_GB2312" w:cs="仿宋"/>
          <w:b/>
          <w:bCs/>
          <w:sz w:val="32"/>
          <w:szCs w:val="32"/>
        </w:rPr>
        <w:t xml:space="preserve">        </w:t>
      </w:r>
      <w:r>
        <w:rPr>
          <w:rFonts w:hint="eastAsia" w:ascii="仿宋_GB2312" w:hAnsi="宋体" w:eastAsia="仿宋_GB2312" w:cs="Arial"/>
          <w:szCs w:val="21"/>
        </w:rPr>
        <w:t>单位：万元</w:t>
      </w:r>
    </w:p>
    <w:tbl>
      <w:tblPr>
        <w:tblStyle w:val="7"/>
        <w:tblW w:w="90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38"/>
        <w:gridCol w:w="900"/>
        <w:gridCol w:w="916"/>
        <w:gridCol w:w="1450"/>
        <w:gridCol w:w="1884"/>
        <w:gridCol w:w="1533"/>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94" w:hRule="atLeast"/>
          <w:jc w:val="center"/>
        </w:trPr>
        <w:tc>
          <w:tcPr>
            <w:tcW w:w="838" w:type="dxa"/>
            <w:vMerge w:val="restart"/>
            <w:vAlign w:val="center"/>
          </w:tcPr>
          <w:p>
            <w:pPr>
              <w:jc w:val="center"/>
              <w:rPr>
                <w:rFonts w:ascii="仿宋_GB2312" w:eastAsia="仿宋_GB2312"/>
                <w:b/>
                <w:sz w:val="22"/>
                <w:szCs w:val="22"/>
              </w:rPr>
            </w:pPr>
            <w:r>
              <w:rPr>
                <w:rFonts w:hint="eastAsia" w:ascii="仿宋_GB2312" w:eastAsia="仿宋_GB2312" w:cs="宋体"/>
                <w:b/>
                <w:sz w:val="22"/>
                <w:szCs w:val="22"/>
              </w:rPr>
              <w:t>姓 名</w:t>
            </w:r>
          </w:p>
        </w:tc>
        <w:tc>
          <w:tcPr>
            <w:tcW w:w="900" w:type="dxa"/>
            <w:vMerge w:val="restart"/>
            <w:vAlign w:val="center"/>
          </w:tcPr>
          <w:p>
            <w:pPr>
              <w:jc w:val="center"/>
              <w:rPr>
                <w:rFonts w:ascii="仿宋_GB2312" w:eastAsia="仿宋_GB2312"/>
                <w:b/>
                <w:sz w:val="22"/>
                <w:szCs w:val="22"/>
              </w:rPr>
            </w:pPr>
            <w:r>
              <w:rPr>
                <w:rFonts w:hint="eastAsia" w:ascii="仿宋_GB2312" w:eastAsia="仿宋_GB2312" w:cs="宋体"/>
                <w:b/>
                <w:sz w:val="22"/>
                <w:szCs w:val="22"/>
              </w:rPr>
              <w:t>职务</w:t>
            </w:r>
          </w:p>
        </w:tc>
        <w:tc>
          <w:tcPr>
            <w:tcW w:w="916" w:type="dxa"/>
            <w:vMerge w:val="restart"/>
            <w:vAlign w:val="center"/>
          </w:tcPr>
          <w:p>
            <w:pPr>
              <w:jc w:val="center"/>
              <w:rPr>
                <w:rFonts w:ascii="仿宋_GB2312" w:eastAsia="仿宋_GB2312" w:cs="宋体"/>
                <w:b/>
                <w:sz w:val="22"/>
                <w:szCs w:val="22"/>
              </w:rPr>
            </w:pPr>
            <w:r>
              <w:rPr>
                <w:rFonts w:hint="eastAsia" w:ascii="仿宋_GB2312" w:eastAsia="仿宋_GB2312" w:cs="宋体"/>
                <w:b/>
                <w:sz w:val="22"/>
                <w:szCs w:val="22"/>
              </w:rPr>
              <w:t>任职</w:t>
            </w:r>
          </w:p>
          <w:p>
            <w:pPr>
              <w:jc w:val="center"/>
              <w:rPr>
                <w:rFonts w:ascii="仿宋_GB2312" w:eastAsia="仿宋_GB2312" w:cs="宋体"/>
                <w:b/>
                <w:sz w:val="22"/>
                <w:szCs w:val="22"/>
              </w:rPr>
            </w:pPr>
            <w:r>
              <w:rPr>
                <w:rFonts w:hint="eastAsia" w:ascii="仿宋_GB2312" w:eastAsia="仿宋_GB2312" w:cs="宋体"/>
                <w:b/>
                <w:sz w:val="22"/>
                <w:szCs w:val="22"/>
              </w:rPr>
              <w:t>起止</w:t>
            </w:r>
          </w:p>
          <w:p>
            <w:pPr>
              <w:jc w:val="center"/>
              <w:rPr>
                <w:rFonts w:ascii="仿宋_GB2312" w:eastAsia="仿宋_GB2312"/>
                <w:b/>
                <w:sz w:val="22"/>
                <w:szCs w:val="22"/>
              </w:rPr>
            </w:pPr>
            <w:r>
              <w:rPr>
                <w:rFonts w:hint="eastAsia" w:ascii="仿宋_GB2312" w:eastAsia="仿宋_GB2312" w:cs="宋体"/>
                <w:b/>
                <w:sz w:val="22"/>
                <w:szCs w:val="22"/>
              </w:rPr>
              <w:t>时间</w:t>
            </w:r>
          </w:p>
        </w:tc>
        <w:tc>
          <w:tcPr>
            <w:tcW w:w="4867" w:type="dxa"/>
            <w:gridSpan w:val="3"/>
            <w:vAlign w:val="center"/>
          </w:tcPr>
          <w:p>
            <w:pPr>
              <w:jc w:val="center"/>
              <w:rPr>
                <w:rFonts w:ascii="仿宋_GB2312" w:eastAsia="仿宋_GB2312"/>
                <w:b/>
                <w:sz w:val="22"/>
                <w:szCs w:val="22"/>
              </w:rPr>
            </w:pPr>
            <w:r>
              <w:rPr>
                <w:rFonts w:hint="eastAsia" w:ascii="仿宋_GB2312" w:eastAsia="仿宋_GB2312"/>
                <w:b/>
                <w:sz w:val="22"/>
                <w:szCs w:val="22"/>
              </w:rPr>
              <w:t>202X年度从本公司获得的税前报酬</w:t>
            </w:r>
          </w:p>
        </w:tc>
        <w:tc>
          <w:tcPr>
            <w:tcW w:w="1521" w:type="dxa"/>
            <w:vAlign w:val="center"/>
          </w:tcPr>
          <w:p>
            <w:pPr>
              <w:jc w:val="center"/>
              <w:rPr>
                <w:rFonts w:ascii="仿宋_GB2312" w:eastAsia="仿宋_GB2312"/>
                <w:b/>
                <w:sz w:val="22"/>
                <w:szCs w:val="22"/>
              </w:rPr>
            </w:pPr>
            <w:r>
              <w:rPr>
                <w:rFonts w:hint="eastAsia" w:ascii="仿宋_GB2312" w:eastAsia="仿宋_GB2312" w:cs="宋体"/>
                <w:b/>
                <w:sz w:val="22"/>
                <w:szCs w:val="22"/>
              </w:rPr>
              <w:t>是否在股东单位或其他关联方领取薪酬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3" w:hRule="atLeast"/>
          <w:jc w:val="center"/>
        </w:trPr>
        <w:tc>
          <w:tcPr>
            <w:tcW w:w="838" w:type="dxa"/>
            <w:vMerge w:val="continue"/>
            <w:vAlign w:val="center"/>
          </w:tcPr>
          <w:p>
            <w:pPr>
              <w:jc w:val="center"/>
              <w:rPr>
                <w:rFonts w:ascii="仿宋_GB2312" w:eastAsia="仿宋_GB2312" w:cs="宋体"/>
                <w:b/>
              </w:rPr>
            </w:pPr>
          </w:p>
        </w:tc>
        <w:tc>
          <w:tcPr>
            <w:tcW w:w="900" w:type="dxa"/>
            <w:vMerge w:val="continue"/>
            <w:vAlign w:val="center"/>
          </w:tcPr>
          <w:p>
            <w:pPr>
              <w:jc w:val="center"/>
              <w:rPr>
                <w:rFonts w:ascii="仿宋_GB2312" w:eastAsia="仿宋_GB2312" w:cs="宋体"/>
                <w:b/>
              </w:rPr>
            </w:pPr>
          </w:p>
        </w:tc>
        <w:tc>
          <w:tcPr>
            <w:tcW w:w="916" w:type="dxa"/>
            <w:vMerge w:val="continue"/>
            <w:vAlign w:val="center"/>
          </w:tcPr>
          <w:p>
            <w:pPr>
              <w:jc w:val="center"/>
              <w:rPr>
                <w:rFonts w:ascii="仿宋_GB2312" w:eastAsia="仿宋_GB2312" w:cs="宋体"/>
                <w:b/>
              </w:rPr>
            </w:pPr>
          </w:p>
        </w:tc>
        <w:tc>
          <w:tcPr>
            <w:tcW w:w="1450" w:type="dxa"/>
            <w:vAlign w:val="center"/>
          </w:tcPr>
          <w:p>
            <w:pPr>
              <w:rPr>
                <w:rFonts w:ascii="仿宋_GB2312" w:hAnsi="宋体" w:eastAsia="仿宋_GB2312" w:cs="宋体"/>
                <w:b/>
                <w:szCs w:val="21"/>
              </w:rPr>
            </w:pPr>
            <w:r>
              <w:rPr>
                <w:rFonts w:hint="eastAsia" w:ascii="仿宋_GB2312" w:eastAsia="仿宋_GB2312" w:cs="宋体"/>
                <w:b/>
                <w:sz w:val="22"/>
                <w:szCs w:val="22"/>
              </w:rPr>
              <w:t>应付年薪（1）</w:t>
            </w:r>
          </w:p>
        </w:tc>
        <w:tc>
          <w:tcPr>
            <w:tcW w:w="1884" w:type="dxa"/>
            <w:vAlign w:val="center"/>
          </w:tcPr>
          <w:p>
            <w:pPr>
              <w:rPr>
                <w:rFonts w:ascii="仿宋_GB2312" w:hAnsi="宋体" w:eastAsia="仿宋_GB2312" w:cs="宋体"/>
                <w:b/>
                <w:szCs w:val="21"/>
              </w:rPr>
            </w:pPr>
            <w:r>
              <w:rPr>
                <w:rFonts w:hint="eastAsia" w:ascii="仿宋_GB2312" w:eastAsia="仿宋_GB2312" w:cs="宋体"/>
                <w:b/>
                <w:sz w:val="22"/>
                <w:szCs w:val="22"/>
              </w:rPr>
              <w:t>社会保险、企业年金及住房公积金的单位缴存部分（2）</w:t>
            </w:r>
          </w:p>
        </w:tc>
        <w:tc>
          <w:tcPr>
            <w:tcW w:w="1533" w:type="dxa"/>
            <w:vAlign w:val="center"/>
          </w:tcPr>
          <w:p>
            <w:pPr>
              <w:rPr>
                <w:rFonts w:ascii="仿宋_GB2312" w:hAnsi="宋体" w:eastAsia="仿宋_GB2312" w:cs="宋体"/>
                <w:b/>
                <w:szCs w:val="21"/>
              </w:rPr>
            </w:pPr>
            <w:r>
              <w:rPr>
                <w:rFonts w:hint="eastAsia" w:ascii="仿宋_GB2312" w:hAnsi="宋体" w:eastAsia="仿宋_GB2312" w:cs="宋体"/>
                <w:b/>
                <w:szCs w:val="21"/>
              </w:rPr>
              <w:t>其他货币性收入（3）</w:t>
            </w:r>
          </w:p>
        </w:tc>
        <w:tc>
          <w:tcPr>
            <w:tcW w:w="1521" w:type="dxa"/>
            <w:vAlign w:val="center"/>
          </w:tcPr>
          <w:p>
            <w:pPr>
              <w:jc w:val="center"/>
              <w:rPr>
                <w:rFonts w:ascii="仿宋_GB2312" w:hAnsi="宋体" w:eastAsia="仿宋_GB2312"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57" w:hRule="atLeast"/>
          <w:jc w:val="center"/>
        </w:trPr>
        <w:tc>
          <w:tcPr>
            <w:tcW w:w="838" w:type="dxa"/>
            <w:vAlign w:val="center"/>
          </w:tcPr>
          <w:p>
            <w:pPr>
              <w:spacing w:after="62" w:afterLines="20" w:line="520" w:lineRule="exact"/>
              <w:jc w:val="center"/>
              <w:rPr>
                <w:rFonts w:cs="宋体"/>
              </w:rPr>
            </w:pPr>
          </w:p>
        </w:tc>
        <w:tc>
          <w:tcPr>
            <w:tcW w:w="900" w:type="dxa"/>
            <w:vAlign w:val="center"/>
          </w:tcPr>
          <w:p>
            <w:pPr>
              <w:spacing w:after="62" w:afterLines="20" w:line="520" w:lineRule="exact"/>
              <w:jc w:val="center"/>
              <w:rPr>
                <w:rFonts w:cs="宋体"/>
              </w:rPr>
            </w:pPr>
          </w:p>
        </w:tc>
        <w:tc>
          <w:tcPr>
            <w:tcW w:w="916" w:type="dxa"/>
            <w:vAlign w:val="center"/>
          </w:tcPr>
          <w:p>
            <w:pPr>
              <w:spacing w:after="62" w:afterLines="20" w:line="520" w:lineRule="exact"/>
              <w:jc w:val="center"/>
              <w:rPr>
                <w:rFonts w:cs="宋体"/>
              </w:rPr>
            </w:pPr>
          </w:p>
        </w:tc>
        <w:tc>
          <w:tcPr>
            <w:tcW w:w="1450" w:type="dxa"/>
            <w:vAlign w:val="center"/>
          </w:tcPr>
          <w:p>
            <w:pPr>
              <w:spacing w:after="62" w:afterLines="20" w:line="520" w:lineRule="exact"/>
              <w:jc w:val="center"/>
              <w:rPr>
                <w:rFonts w:cs="宋体"/>
              </w:rPr>
            </w:pPr>
          </w:p>
        </w:tc>
        <w:tc>
          <w:tcPr>
            <w:tcW w:w="1884" w:type="dxa"/>
            <w:vAlign w:val="center"/>
          </w:tcPr>
          <w:p>
            <w:pPr>
              <w:spacing w:after="62" w:afterLines="20" w:line="520" w:lineRule="exact"/>
              <w:jc w:val="center"/>
              <w:rPr>
                <w:rFonts w:cs="宋体"/>
              </w:rPr>
            </w:pPr>
          </w:p>
        </w:tc>
        <w:tc>
          <w:tcPr>
            <w:tcW w:w="1533" w:type="dxa"/>
            <w:vAlign w:val="center"/>
          </w:tcPr>
          <w:p>
            <w:pPr>
              <w:spacing w:after="62" w:afterLines="20" w:line="520" w:lineRule="exact"/>
              <w:jc w:val="center"/>
              <w:rPr>
                <w:rFonts w:cs="宋体"/>
              </w:rPr>
            </w:pPr>
          </w:p>
        </w:tc>
        <w:tc>
          <w:tcPr>
            <w:tcW w:w="1521" w:type="dxa"/>
            <w:vAlign w:val="center"/>
          </w:tcPr>
          <w:p>
            <w:pPr>
              <w:spacing w:after="62" w:afterLines="20" w:line="520" w:lineRule="exact"/>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01" w:hRule="atLeast"/>
          <w:jc w:val="center"/>
        </w:trPr>
        <w:tc>
          <w:tcPr>
            <w:tcW w:w="838" w:type="dxa"/>
            <w:vAlign w:val="center"/>
          </w:tcPr>
          <w:p>
            <w:pPr>
              <w:spacing w:after="62" w:afterLines="20" w:line="520" w:lineRule="exact"/>
              <w:jc w:val="center"/>
              <w:rPr>
                <w:rFonts w:cs="宋体"/>
              </w:rPr>
            </w:pPr>
          </w:p>
        </w:tc>
        <w:tc>
          <w:tcPr>
            <w:tcW w:w="900" w:type="dxa"/>
            <w:vAlign w:val="center"/>
          </w:tcPr>
          <w:p>
            <w:pPr>
              <w:spacing w:after="62" w:afterLines="20" w:line="520" w:lineRule="exact"/>
              <w:jc w:val="center"/>
              <w:rPr>
                <w:rFonts w:cs="宋体"/>
              </w:rPr>
            </w:pPr>
          </w:p>
        </w:tc>
        <w:tc>
          <w:tcPr>
            <w:tcW w:w="916" w:type="dxa"/>
            <w:vAlign w:val="center"/>
          </w:tcPr>
          <w:p>
            <w:pPr>
              <w:spacing w:after="62" w:afterLines="20" w:line="520" w:lineRule="exact"/>
              <w:jc w:val="center"/>
              <w:rPr>
                <w:rFonts w:cs="宋体"/>
              </w:rPr>
            </w:pPr>
          </w:p>
        </w:tc>
        <w:tc>
          <w:tcPr>
            <w:tcW w:w="1450" w:type="dxa"/>
            <w:vAlign w:val="center"/>
          </w:tcPr>
          <w:p>
            <w:pPr>
              <w:spacing w:after="62" w:afterLines="20" w:line="520" w:lineRule="exact"/>
              <w:jc w:val="center"/>
              <w:rPr>
                <w:rFonts w:cs="宋体"/>
              </w:rPr>
            </w:pPr>
          </w:p>
        </w:tc>
        <w:tc>
          <w:tcPr>
            <w:tcW w:w="1884" w:type="dxa"/>
            <w:vAlign w:val="center"/>
          </w:tcPr>
          <w:p>
            <w:pPr>
              <w:spacing w:after="62" w:afterLines="20" w:line="520" w:lineRule="exact"/>
              <w:jc w:val="center"/>
              <w:rPr>
                <w:rFonts w:cs="宋体"/>
              </w:rPr>
            </w:pPr>
          </w:p>
        </w:tc>
        <w:tc>
          <w:tcPr>
            <w:tcW w:w="1533" w:type="dxa"/>
            <w:vAlign w:val="center"/>
          </w:tcPr>
          <w:p>
            <w:pPr>
              <w:spacing w:after="62" w:afterLines="20" w:line="520" w:lineRule="exact"/>
              <w:jc w:val="center"/>
              <w:rPr>
                <w:rFonts w:cs="宋体"/>
              </w:rPr>
            </w:pPr>
          </w:p>
        </w:tc>
        <w:tc>
          <w:tcPr>
            <w:tcW w:w="1521" w:type="dxa"/>
            <w:vAlign w:val="center"/>
          </w:tcPr>
          <w:p>
            <w:pPr>
              <w:spacing w:after="62" w:afterLines="20" w:line="520" w:lineRule="exact"/>
              <w:jc w:val="center"/>
              <w:rPr>
                <w:rFonts w:cs="宋体"/>
              </w:rPr>
            </w:pPr>
          </w:p>
        </w:tc>
      </w:tr>
    </w:tbl>
    <w:p>
      <w:pPr>
        <w:ind w:firstLine="600" w:firstLineChars="200"/>
        <w:rPr>
          <w:rFonts w:hint="eastAsia" w:ascii="黑体" w:hAnsi="黑体" w:eastAsia="黑体" w:cs="黑体"/>
          <w:bCs/>
          <w:color w:val="0000FF"/>
          <w:sz w:val="30"/>
          <w:szCs w:val="30"/>
          <w:lang w:eastAsia="zh-CN"/>
        </w:rPr>
      </w:pPr>
      <w:r>
        <w:rPr>
          <w:rFonts w:hint="eastAsia" w:ascii="黑体" w:hAnsi="黑体" w:eastAsia="黑体" w:cs="黑体"/>
          <w:bCs/>
          <w:sz w:val="30"/>
          <w:szCs w:val="30"/>
        </w:rPr>
        <w:t>三、企业主要财务状况和经营成果、国有资本保值增值情况</w:t>
      </w:r>
    </w:p>
    <w:p>
      <w:pPr>
        <w:keepNext w:val="0"/>
        <w:keepLines w:val="0"/>
        <w:pageBreakBefore w:val="0"/>
        <w:widowControl w:val="0"/>
        <w:tabs>
          <w:tab w:val="left" w:pos="7350"/>
        </w:tabs>
        <w:kinsoku/>
        <w:wordWrap/>
        <w:overflowPunct/>
        <w:topLinePunct w:val="0"/>
        <w:autoSpaceDE/>
        <w:autoSpaceDN/>
        <w:bidi w:val="0"/>
        <w:adjustRightInd/>
        <w:snapToGrid/>
        <w:spacing w:before="161" w:beforeLines="50" w:after="161" w:afterLines="50" w:line="600" w:lineRule="exact"/>
        <w:ind w:firstLine="482"/>
        <w:textAlignment w:val="auto"/>
        <w:outlineLvl w:val="9"/>
        <w:rPr>
          <w:rFonts w:ascii="仿宋_GB2312" w:eastAsia="仿宋_GB2312"/>
          <w:b/>
          <w:color w:val="auto"/>
          <w:sz w:val="30"/>
          <w:szCs w:val="30"/>
        </w:rPr>
      </w:pPr>
      <w:r>
        <w:rPr>
          <w:rFonts w:hint="eastAsia" w:ascii="仿宋_GB2312" w:hAnsi="宋体" w:eastAsia="仿宋_GB2312" w:cs="宋体"/>
          <w:b/>
          <w:bCs/>
          <w:color w:val="auto"/>
          <w:kern w:val="0"/>
          <w:sz w:val="30"/>
          <w:szCs w:val="30"/>
          <w:lang w:val="zh-CN"/>
        </w:rPr>
        <w:t>（一）</w:t>
      </w:r>
      <w:r>
        <w:rPr>
          <w:rFonts w:hint="eastAsia" w:ascii="仿宋_GB2312" w:hAnsi="宋体" w:eastAsia="仿宋_GB2312"/>
          <w:b/>
          <w:color w:val="auto"/>
          <w:sz w:val="30"/>
          <w:szCs w:val="30"/>
        </w:rPr>
        <w:t>报告期内收入利润情况</w:t>
      </w:r>
      <w:r>
        <w:rPr>
          <w:rFonts w:hint="eastAsia" w:ascii="仿宋_GB2312" w:hAnsi="宋体" w:eastAsia="仿宋_GB2312"/>
          <w:b/>
          <w:color w:val="auto"/>
          <w:sz w:val="30"/>
          <w:szCs w:val="30"/>
          <w:lang w:val="en-US" w:eastAsia="zh-CN"/>
        </w:rPr>
        <w:t xml:space="preserve">                    </w:t>
      </w:r>
      <w:r>
        <w:rPr>
          <w:rFonts w:hint="eastAsia" w:ascii="仿宋_GB2312" w:hAnsi="宋体" w:eastAsia="仿宋_GB2312" w:cs="Arial"/>
          <w:color w:val="auto"/>
          <w:szCs w:val="21"/>
        </w:rPr>
        <w:t>单位：万元</w:t>
      </w:r>
    </w:p>
    <w:tbl>
      <w:tblPr>
        <w:tblStyle w:val="7"/>
        <w:tblW w:w="90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2646"/>
        <w:gridCol w:w="2489"/>
        <w:gridCol w:w="2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756" w:type="dxa"/>
            <w:vAlign w:val="center"/>
          </w:tcPr>
          <w:p>
            <w:pPr>
              <w:widowControl/>
              <w:jc w:val="center"/>
              <w:rPr>
                <w:rFonts w:ascii="仿宋_GB2312" w:eastAsia="仿宋_GB2312" w:cs="宋体"/>
                <w:b/>
                <w:bCs/>
                <w:color w:val="auto"/>
                <w:kern w:val="0"/>
                <w:sz w:val="22"/>
                <w:szCs w:val="22"/>
              </w:rPr>
            </w:pPr>
            <w:r>
              <w:rPr>
                <w:rFonts w:hint="eastAsia" w:ascii="仿宋_GB2312" w:hAnsi="宋体" w:eastAsia="仿宋_GB2312" w:cs="宋体"/>
                <w:b/>
                <w:bCs/>
                <w:color w:val="auto"/>
                <w:kern w:val="0"/>
                <w:sz w:val="22"/>
                <w:szCs w:val="22"/>
              </w:rPr>
              <w:t>报表项目</w:t>
            </w:r>
          </w:p>
        </w:tc>
        <w:tc>
          <w:tcPr>
            <w:tcW w:w="2646" w:type="dxa"/>
            <w:vAlign w:val="center"/>
          </w:tcPr>
          <w:p>
            <w:pPr>
              <w:widowControl/>
              <w:jc w:val="center"/>
              <w:rPr>
                <w:rFonts w:ascii="仿宋_GB2312" w:eastAsia="仿宋_GB2312" w:cs="宋体"/>
                <w:b/>
                <w:bCs/>
                <w:color w:val="auto"/>
                <w:kern w:val="0"/>
                <w:sz w:val="22"/>
                <w:szCs w:val="22"/>
              </w:rPr>
            </w:pPr>
            <w:r>
              <w:rPr>
                <w:rFonts w:hint="eastAsia" w:ascii="仿宋_GB2312" w:hAnsi="宋体" w:eastAsia="仿宋_GB2312" w:cs="宋体"/>
                <w:b/>
                <w:bCs/>
                <w:color w:val="auto"/>
                <w:kern w:val="0"/>
                <w:sz w:val="22"/>
                <w:szCs w:val="22"/>
              </w:rPr>
              <w:t>本期累计金额（</w:t>
            </w:r>
            <w:r>
              <w:rPr>
                <w:rFonts w:hint="eastAsia" w:ascii="仿宋_GB2312" w:hAnsi="宋体" w:eastAsia="仿宋_GB2312" w:cs="宋体"/>
                <w:b/>
                <w:bCs/>
                <w:color w:val="auto"/>
                <w:kern w:val="0"/>
                <w:sz w:val="22"/>
                <w:szCs w:val="22"/>
                <w:lang w:val="en-US" w:eastAsia="zh-CN"/>
              </w:rPr>
              <w:t>1</w:t>
            </w:r>
            <w:r>
              <w:rPr>
                <w:rFonts w:hint="eastAsia" w:ascii="仿宋_GB2312" w:hAnsi="宋体" w:eastAsia="仿宋_GB2312" w:cs="宋体"/>
                <w:b/>
                <w:bCs/>
                <w:color w:val="auto"/>
                <w:kern w:val="0"/>
                <w:sz w:val="22"/>
                <w:szCs w:val="22"/>
              </w:rPr>
              <w:t>-</w:t>
            </w:r>
            <w:r>
              <w:rPr>
                <w:rFonts w:hint="eastAsia" w:ascii="仿宋_GB2312" w:hAnsi="宋体" w:eastAsia="仿宋_GB2312" w:cs="宋体"/>
                <w:b/>
                <w:bCs/>
                <w:color w:val="auto"/>
                <w:kern w:val="0"/>
                <w:sz w:val="22"/>
                <w:szCs w:val="22"/>
                <w:lang w:val="en-US" w:eastAsia="zh-CN"/>
              </w:rPr>
              <w:t>12</w:t>
            </w:r>
            <w:r>
              <w:rPr>
                <w:rFonts w:hint="eastAsia" w:ascii="仿宋_GB2312" w:hAnsi="宋体" w:eastAsia="仿宋_GB2312" w:cs="宋体"/>
                <w:b/>
                <w:bCs/>
                <w:color w:val="auto"/>
                <w:kern w:val="0"/>
                <w:sz w:val="22"/>
                <w:szCs w:val="22"/>
              </w:rPr>
              <w:t>月）</w:t>
            </w:r>
          </w:p>
        </w:tc>
        <w:tc>
          <w:tcPr>
            <w:tcW w:w="2489" w:type="dxa"/>
            <w:vAlign w:val="center"/>
          </w:tcPr>
          <w:p>
            <w:pPr>
              <w:widowControl/>
              <w:jc w:val="center"/>
              <w:rPr>
                <w:rFonts w:ascii="仿宋_GB2312" w:eastAsia="仿宋_GB2312" w:cs="宋体"/>
                <w:b/>
                <w:bCs/>
                <w:color w:val="auto"/>
                <w:kern w:val="0"/>
                <w:sz w:val="22"/>
                <w:szCs w:val="22"/>
              </w:rPr>
            </w:pPr>
            <w:r>
              <w:rPr>
                <w:rFonts w:hint="eastAsia" w:ascii="仿宋_GB2312" w:hAnsi="宋体" w:eastAsia="仿宋_GB2312" w:cs="宋体"/>
                <w:b/>
                <w:bCs/>
                <w:color w:val="auto"/>
                <w:kern w:val="0"/>
                <w:sz w:val="22"/>
                <w:szCs w:val="22"/>
              </w:rPr>
              <w:t>上年同期金额（</w:t>
            </w:r>
            <w:r>
              <w:rPr>
                <w:rFonts w:hint="eastAsia" w:ascii="仿宋_GB2312" w:hAnsi="宋体" w:eastAsia="仿宋_GB2312" w:cs="宋体"/>
                <w:b/>
                <w:bCs/>
                <w:color w:val="auto"/>
                <w:kern w:val="0"/>
                <w:sz w:val="22"/>
                <w:szCs w:val="22"/>
                <w:lang w:val="en-US" w:eastAsia="zh-CN"/>
              </w:rPr>
              <w:t>1</w:t>
            </w:r>
            <w:r>
              <w:rPr>
                <w:rFonts w:hint="eastAsia" w:ascii="仿宋_GB2312" w:hAnsi="宋体" w:eastAsia="仿宋_GB2312" w:cs="宋体"/>
                <w:b/>
                <w:bCs/>
                <w:color w:val="auto"/>
                <w:kern w:val="0"/>
                <w:sz w:val="22"/>
                <w:szCs w:val="22"/>
              </w:rPr>
              <w:t>-</w:t>
            </w:r>
            <w:r>
              <w:rPr>
                <w:rFonts w:hint="eastAsia" w:ascii="仿宋_GB2312" w:hAnsi="宋体" w:eastAsia="仿宋_GB2312" w:cs="宋体"/>
                <w:b/>
                <w:bCs/>
                <w:color w:val="auto"/>
                <w:kern w:val="0"/>
                <w:sz w:val="22"/>
                <w:szCs w:val="22"/>
                <w:lang w:val="en-US" w:eastAsia="zh-CN"/>
              </w:rPr>
              <w:t>12</w:t>
            </w:r>
            <w:r>
              <w:rPr>
                <w:rFonts w:hint="eastAsia" w:ascii="仿宋_GB2312" w:hAnsi="宋体" w:eastAsia="仿宋_GB2312" w:cs="宋体"/>
                <w:b/>
                <w:bCs/>
                <w:color w:val="auto"/>
                <w:kern w:val="0"/>
                <w:sz w:val="22"/>
                <w:szCs w:val="22"/>
              </w:rPr>
              <w:t>月）</w:t>
            </w:r>
          </w:p>
        </w:tc>
        <w:tc>
          <w:tcPr>
            <w:tcW w:w="2124" w:type="dxa"/>
            <w:vAlign w:val="center"/>
          </w:tcPr>
          <w:p>
            <w:pPr>
              <w:widowControl/>
              <w:jc w:val="center"/>
              <w:rPr>
                <w:rFonts w:ascii="仿宋_GB2312" w:eastAsia="仿宋_GB2312" w:cs="宋体"/>
                <w:b/>
                <w:bCs/>
                <w:color w:val="auto"/>
                <w:kern w:val="0"/>
                <w:sz w:val="22"/>
                <w:szCs w:val="22"/>
              </w:rPr>
            </w:pPr>
            <w:r>
              <w:rPr>
                <w:rFonts w:hint="eastAsia" w:ascii="仿宋_GB2312" w:hAnsi="宋体" w:eastAsia="仿宋_GB2312" w:cs="宋体"/>
                <w:b/>
                <w:bCs/>
                <w:color w:val="auto"/>
                <w:kern w:val="0"/>
                <w:sz w:val="22"/>
                <w:szCs w:val="22"/>
              </w:rPr>
              <w:t>变动比率(%)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756" w:type="dxa"/>
            <w:vAlign w:val="center"/>
          </w:tcPr>
          <w:p>
            <w:pPr>
              <w:widowControl/>
              <w:jc w:val="center"/>
              <w:rPr>
                <w:rFonts w:ascii="仿宋_GB2312" w:eastAsia="仿宋_GB2312" w:cs="宋体"/>
                <w:b/>
                <w:bCs w:val="0"/>
                <w:color w:val="auto"/>
                <w:kern w:val="0"/>
                <w:sz w:val="22"/>
                <w:szCs w:val="22"/>
              </w:rPr>
            </w:pPr>
            <w:r>
              <w:rPr>
                <w:rFonts w:hint="eastAsia" w:ascii="仿宋_GB2312" w:hAnsi="宋体" w:eastAsia="仿宋_GB2312" w:cs="宋体"/>
                <w:b/>
                <w:bCs w:val="0"/>
                <w:color w:val="auto"/>
                <w:kern w:val="0"/>
                <w:sz w:val="22"/>
                <w:szCs w:val="22"/>
              </w:rPr>
              <w:t>营业收入</w:t>
            </w:r>
          </w:p>
        </w:tc>
        <w:tc>
          <w:tcPr>
            <w:tcW w:w="2646"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 xml:space="preserve"> 836,367 </w:t>
            </w:r>
          </w:p>
        </w:tc>
        <w:tc>
          <w:tcPr>
            <w:tcW w:w="2489"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 xml:space="preserve"> 814,282 </w:t>
            </w:r>
          </w:p>
        </w:tc>
        <w:tc>
          <w:tcPr>
            <w:tcW w:w="2124"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756" w:type="dxa"/>
            <w:vAlign w:val="center"/>
          </w:tcPr>
          <w:p>
            <w:pPr>
              <w:widowControl/>
              <w:jc w:val="center"/>
              <w:rPr>
                <w:rFonts w:ascii="仿宋_GB2312" w:eastAsia="仿宋_GB2312" w:cs="宋体"/>
                <w:b/>
                <w:bCs w:val="0"/>
                <w:color w:val="auto"/>
                <w:kern w:val="0"/>
                <w:sz w:val="22"/>
                <w:szCs w:val="22"/>
              </w:rPr>
            </w:pPr>
            <w:r>
              <w:rPr>
                <w:rFonts w:hint="eastAsia" w:ascii="仿宋_GB2312" w:hAnsi="宋体" w:eastAsia="仿宋_GB2312" w:cs="宋体"/>
                <w:b/>
                <w:bCs w:val="0"/>
                <w:color w:val="auto"/>
                <w:kern w:val="0"/>
                <w:sz w:val="22"/>
                <w:szCs w:val="22"/>
              </w:rPr>
              <w:t>利润总额</w:t>
            </w:r>
          </w:p>
        </w:tc>
        <w:tc>
          <w:tcPr>
            <w:tcW w:w="2646"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 xml:space="preserve"> -11,954 </w:t>
            </w:r>
          </w:p>
        </w:tc>
        <w:tc>
          <w:tcPr>
            <w:tcW w:w="2489"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 xml:space="preserve"> 83 </w:t>
            </w:r>
          </w:p>
        </w:tc>
        <w:tc>
          <w:tcPr>
            <w:tcW w:w="2124"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w:t>
            </w:r>
            <w:r>
              <w:rPr>
                <w:rFonts w:hint="eastAsia" w:ascii="仿宋_GB2312" w:hAnsi="宋体" w:eastAsia="仿宋_GB2312" w:cs="仿宋_GB2312"/>
                <w:i w:val="0"/>
                <w:iCs w:val="0"/>
                <w:color w:val="auto"/>
                <w:kern w:val="0"/>
                <w:sz w:val="21"/>
                <w:szCs w:val="21"/>
                <w:u w:val="none"/>
                <w:lang w:val="en-US" w:eastAsia="zh-CN" w:bidi="ar"/>
              </w:rPr>
              <w:t>14502</w:t>
            </w:r>
            <w:r>
              <w:rPr>
                <w:rFonts w:hint="default" w:ascii="仿宋_GB2312" w:hAnsi="宋体" w:eastAsia="仿宋_GB2312" w:cs="仿宋_GB2312"/>
                <w:i w:val="0"/>
                <w:iCs w:val="0"/>
                <w:color w:val="auto"/>
                <w:kern w:val="0"/>
                <w:sz w:val="21"/>
                <w:szCs w:val="21"/>
                <w:u w:val="none"/>
                <w:lang w:val="en-US" w:eastAsia="zh-CN" w:bidi="ar"/>
              </w:rPr>
              <w:t>%</w:t>
            </w:r>
          </w:p>
        </w:tc>
      </w:tr>
    </w:tbl>
    <w:p>
      <w:pPr>
        <w:keepNext w:val="0"/>
        <w:keepLines w:val="0"/>
        <w:pageBreakBefore w:val="0"/>
        <w:widowControl w:val="0"/>
        <w:tabs>
          <w:tab w:val="left" w:pos="7350"/>
        </w:tabs>
        <w:kinsoku/>
        <w:wordWrap/>
        <w:overflowPunct/>
        <w:topLinePunct w:val="0"/>
        <w:autoSpaceDE/>
        <w:autoSpaceDN/>
        <w:bidi w:val="0"/>
        <w:adjustRightInd/>
        <w:snapToGrid/>
        <w:spacing w:before="161" w:beforeLines="50" w:after="161" w:afterLines="50" w:line="600" w:lineRule="exact"/>
        <w:ind w:firstLine="482"/>
        <w:textAlignment w:val="auto"/>
        <w:outlineLvl w:val="9"/>
        <w:rPr>
          <w:rFonts w:ascii="仿宋_GB2312" w:hAnsi="宋体" w:eastAsia="仿宋_GB2312" w:cs="宋体"/>
          <w:b/>
          <w:bCs/>
          <w:color w:val="auto"/>
          <w:kern w:val="0"/>
          <w:sz w:val="30"/>
          <w:szCs w:val="30"/>
          <w:lang w:val="zh-CN"/>
        </w:rPr>
      </w:pPr>
      <w:r>
        <w:rPr>
          <w:rFonts w:hint="eastAsia" w:ascii="仿宋_GB2312" w:hAnsi="宋体" w:eastAsia="仿宋_GB2312" w:cs="宋体"/>
          <w:b/>
          <w:bCs/>
          <w:color w:val="auto"/>
          <w:kern w:val="0"/>
          <w:sz w:val="30"/>
          <w:szCs w:val="30"/>
          <w:lang w:val="zh-CN"/>
        </w:rPr>
        <w:t>（二）报告期内资产负债情况</w:t>
      </w:r>
      <w:r>
        <w:rPr>
          <w:rFonts w:hint="eastAsia" w:ascii="仿宋_GB2312" w:hAnsi="宋体" w:eastAsia="仿宋_GB2312" w:cs="宋体"/>
          <w:b/>
          <w:bCs/>
          <w:color w:val="auto"/>
          <w:kern w:val="0"/>
          <w:sz w:val="30"/>
          <w:szCs w:val="30"/>
          <w:lang w:val="en-US" w:eastAsia="zh-CN"/>
        </w:rPr>
        <w:t xml:space="preserve">                    </w:t>
      </w:r>
      <w:r>
        <w:rPr>
          <w:rFonts w:hint="eastAsia" w:ascii="仿宋_GB2312" w:hAnsi="宋体" w:eastAsia="仿宋_GB2312" w:cs="Arial"/>
          <w:color w:val="auto"/>
          <w:szCs w:val="21"/>
        </w:rPr>
        <w:t>单位：万元</w:t>
      </w:r>
    </w:p>
    <w:tbl>
      <w:tblPr>
        <w:tblStyle w:val="7"/>
        <w:tblW w:w="90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2"/>
        <w:gridCol w:w="2094"/>
        <w:gridCol w:w="1982"/>
        <w:gridCol w:w="2157"/>
      </w:tblGrid>
      <w:tr>
        <w:tblPrEx>
          <w:tblLayout w:type="fixed"/>
          <w:tblCellMar>
            <w:top w:w="0" w:type="dxa"/>
            <w:left w:w="108" w:type="dxa"/>
            <w:bottom w:w="0" w:type="dxa"/>
            <w:right w:w="108" w:type="dxa"/>
          </w:tblCellMar>
        </w:tblPrEx>
        <w:trPr>
          <w:trHeight w:val="255" w:hRule="atLeast"/>
          <w:jc w:val="center"/>
        </w:trPr>
        <w:tc>
          <w:tcPr>
            <w:tcW w:w="2782" w:type="dxa"/>
            <w:vAlign w:val="bottom"/>
          </w:tcPr>
          <w:p>
            <w:pPr>
              <w:widowControl/>
              <w:jc w:val="center"/>
              <w:rPr>
                <w:rFonts w:ascii="仿宋_GB2312" w:eastAsia="仿宋_GB2312" w:cs="宋体"/>
                <w:b/>
                <w:bCs/>
                <w:color w:val="auto"/>
                <w:kern w:val="0"/>
                <w:sz w:val="22"/>
                <w:szCs w:val="22"/>
              </w:rPr>
            </w:pPr>
            <w:r>
              <w:rPr>
                <w:rFonts w:hint="eastAsia" w:ascii="仿宋_GB2312" w:hAnsi="宋体" w:eastAsia="仿宋_GB2312" w:cs="宋体"/>
                <w:b/>
                <w:bCs/>
                <w:color w:val="auto"/>
                <w:kern w:val="0"/>
                <w:sz w:val="22"/>
                <w:szCs w:val="22"/>
              </w:rPr>
              <w:t>主要报表项目</w:t>
            </w:r>
          </w:p>
        </w:tc>
        <w:tc>
          <w:tcPr>
            <w:tcW w:w="2094" w:type="dxa"/>
            <w:vAlign w:val="bottom"/>
          </w:tcPr>
          <w:p>
            <w:pPr>
              <w:widowControl/>
              <w:jc w:val="center"/>
              <w:rPr>
                <w:rFonts w:ascii="仿宋_GB2312" w:hAnsi="宋体" w:eastAsia="仿宋_GB2312" w:cs="宋体"/>
                <w:b/>
                <w:bCs/>
                <w:color w:val="auto"/>
                <w:kern w:val="0"/>
                <w:sz w:val="22"/>
                <w:szCs w:val="22"/>
              </w:rPr>
            </w:pPr>
            <w:r>
              <w:rPr>
                <w:rFonts w:hint="eastAsia" w:ascii="仿宋_GB2312" w:hAnsi="宋体" w:eastAsia="仿宋_GB2312" w:cs="宋体"/>
                <w:b/>
                <w:bCs/>
                <w:color w:val="auto"/>
                <w:kern w:val="0"/>
                <w:sz w:val="22"/>
                <w:szCs w:val="22"/>
              </w:rPr>
              <w:t xml:space="preserve"> 年初余额 </w:t>
            </w:r>
          </w:p>
        </w:tc>
        <w:tc>
          <w:tcPr>
            <w:tcW w:w="1982" w:type="dxa"/>
            <w:vAlign w:val="bottom"/>
          </w:tcPr>
          <w:p>
            <w:pPr>
              <w:widowControl/>
              <w:jc w:val="center"/>
              <w:rPr>
                <w:rFonts w:ascii="仿宋_GB2312" w:hAnsi="宋体" w:eastAsia="仿宋_GB2312" w:cs="宋体"/>
                <w:b/>
                <w:bCs/>
                <w:color w:val="auto"/>
                <w:kern w:val="0"/>
                <w:sz w:val="22"/>
                <w:szCs w:val="22"/>
              </w:rPr>
            </w:pPr>
            <w:r>
              <w:rPr>
                <w:rFonts w:hint="eastAsia" w:ascii="仿宋_GB2312" w:hAnsi="宋体" w:eastAsia="仿宋_GB2312" w:cs="宋体"/>
                <w:b/>
                <w:bCs/>
                <w:color w:val="auto"/>
                <w:kern w:val="0"/>
                <w:sz w:val="22"/>
                <w:szCs w:val="22"/>
              </w:rPr>
              <w:t xml:space="preserve"> 期末余额 </w:t>
            </w:r>
          </w:p>
        </w:tc>
        <w:tc>
          <w:tcPr>
            <w:tcW w:w="2157" w:type="dxa"/>
            <w:vAlign w:val="bottom"/>
          </w:tcPr>
          <w:p>
            <w:pPr>
              <w:widowControl/>
              <w:jc w:val="center"/>
              <w:rPr>
                <w:rFonts w:ascii="仿宋_GB2312" w:hAnsi="宋体" w:eastAsia="仿宋_GB2312" w:cs="宋体"/>
                <w:b/>
                <w:bCs/>
                <w:color w:val="auto"/>
                <w:kern w:val="0"/>
                <w:sz w:val="22"/>
                <w:szCs w:val="22"/>
              </w:rPr>
            </w:pPr>
            <w:r>
              <w:rPr>
                <w:rFonts w:hint="eastAsia" w:ascii="仿宋_GB2312" w:hAnsi="宋体" w:eastAsia="仿宋_GB2312" w:cs="宋体"/>
                <w:b/>
                <w:bCs/>
                <w:color w:val="auto"/>
                <w:kern w:val="0"/>
                <w:sz w:val="22"/>
                <w:szCs w:val="22"/>
              </w:rPr>
              <w:t xml:space="preserve">变动比率(%)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ascii="仿宋_GB2312" w:eastAsia="仿宋_GB2312" w:cs="宋体"/>
                <w:color w:val="auto"/>
                <w:kern w:val="0"/>
                <w:sz w:val="22"/>
                <w:szCs w:val="22"/>
              </w:rPr>
            </w:pPr>
            <w:r>
              <w:rPr>
                <w:rFonts w:hint="default" w:ascii="仿宋_GB2312" w:hAnsi="宋体" w:eastAsia="仿宋_GB2312" w:cs="仿宋_GB2312"/>
                <w:i w:val="0"/>
                <w:iCs w:val="0"/>
                <w:color w:val="auto"/>
                <w:kern w:val="0"/>
                <w:sz w:val="22"/>
                <w:szCs w:val="22"/>
                <w:u w:val="none"/>
                <w:lang w:val="en-US" w:eastAsia="zh-CN" w:bidi="ar"/>
              </w:rPr>
              <w:t xml:space="preserve">   货币资金</w:t>
            </w:r>
          </w:p>
        </w:tc>
        <w:tc>
          <w:tcPr>
            <w:tcW w:w="2094"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11,375</w:t>
            </w:r>
          </w:p>
        </w:tc>
        <w:tc>
          <w:tcPr>
            <w:tcW w:w="1982"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11,043</w:t>
            </w:r>
          </w:p>
        </w:tc>
        <w:tc>
          <w:tcPr>
            <w:tcW w:w="2157" w:type="dxa"/>
            <w:vAlign w:val="bottom"/>
          </w:tcPr>
          <w:p>
            <w:pPr>
              <w:keepNext w:val="0"/>
              <w:keepLines w:val="0"/>
              <w:widowControl/>
              <w:suppressLineNumbers w:val="0"/>
              <w:jc w:val="right"/>
              <w:textAlignment w:val="bottom"/>
              <w:rPr>
                <w:rFonts w:ascii="仿宋_GB2312" w:eastAsia="仿宋_GB2312" w:cs="宋体"/>
                <w:color w:val="auto"/>
                <w:sz w:val="22"/>
                <w:szCs w:val="22"/>
              </w:rPr>
            </w:pPr>
            <w:r>
              <w:rPr>
                <w:rFonts w:hint="default" w:ascii="仿宋_GB2312" w:hAnsi="宋体" w:eastAsia="仿宋_GB2312" w:cs="仿宋_GB2312"/>
                <w:i w:val="0"/>
                <w:iCs w:val="0"/>
                <w:color w:val="auto"/>
                <w:kern w:val="0"/>
                <w:sz w:val="21"/>
                <w:szCs w:val="21"/>
                <w:u w:val="none"/>
                <w:lang w:val="en-US" w:eastAsia="zh-CN" w:bidi="ar"/>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ascii="仿宋_GB2312" w:eastAsia="仿宋_GB2312" w:cs="宋体"/>
                <w:color w:val="auto"/>
                <w:kern w:val="0"/>
                <w:sz w:val="22"/>
                <w:szCs w:val="22"/>
              </w:rPr>
            </w:pPr>
            <w:r>
              <w:rPr>
                <w:rFonts w:hint="default" w:ascii="仿宋_GB2312" w:hAnsi="宋体" w:eastAsia="仿宋_GB2312" w:cs="仿宋_GB2312"/>
                <w:i w:val="0"/>
                <w:iCs w:val="0"/>
                <w:color w:val="auto"/>
                <w:kern w:val="0"/>
                <w:sz w:val="22"/>
                <w:szCs w:val="22"/>
                <w:u w:val="none"/>
                <w:lang w:val="en-US" w:eastAsia="zh-CN" w:bidi="ar"/>
              </w:rPr>
              <w:t xml:space="preserve">   应收票据</w:t>
            </w:r>
          </w:p>
        </w:tc>
        <w:tc>
          <w:tcPr>
            <w:tcW w:w="2094"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18,062</w:t>
            </w:r>
          </w:p>
        </w:tc>
        <w:tc>
          <w:tcPr>
            <w:tcW w:w="1982" w:type="dxa"/>
            <w:vAlign w:val="bottom"/>
          </w:tcPr>
          <w:p>
            <w:pPr>
              <w:keepNext w:val="0"/>
              <w:keepLines w:val="0"/>
              <w:widowControl/>
              <w:suppressLineNumbers w:val="0"/>
              <w:jc w:val="right"/>
              <w:textAlignment w:val="bottom"/>
              <w:rPr>
                <w:rFonts w:ascii="仿宋_GB2312" w:eastAsia="仿宋_GB2312"/>
                <w:color w:val="auto"/>
                <w:kern w:val="0"/>
                <w:szCs w:val="21"/>
                <w:lang w:val="zh-CN"/>
              </w:rPr>
            </w:pPr>
            <w:r>
              <w:rPr>
                <w:rFonts w:hint="default" w:ascii="仿宋_GB2312" w:hAnsi="宋体" w:eastAsia="仿宋_GB2312" w:cs="仿宋_GB2312"/>
                <w:i w:val="0"/>
                <w:iCs w:val="0"/>
                <w:color w:val="auto"/>
                <w:kern w:val="0"/>
                <w:sz w:val="21"/>
                <w:szCs w:val="21"/>
                <w:u w:val="none"/>
                <w:lang w:val="en-US" w:eastAsia="zh-CN" w:bidi="ar"/>
              </w:rPr>
              <w:t>27,114</w:t>
            </w:r>
          </w:p>
        </w:tc>
        <w:tc>
          <w:tcPr>
            <w:tcW w:w="2157" w:type="dxa"/>
            <w:vAlign w:val="bottom"/>
          </w:tcPr>
          <w:p>
            <w:pPr>
              <w:keepNext w:val="0"/>
              <w:keepLines w:val="0"/>
              <w:widowControl/>
              <w:suppressLineNumbers w:val="0"/>
              <w:jc w:val="right"/>
              <w:textAlignment w:val="bottom"/>
              <w:rPr>
                <w:rFonts w:ascii="仿宋_GB2312" w:eastAsia="仿宋_GB2312" w:cs="宋体"/>
                <w:color w:val="auto"/>
                <w:sz w:val="22"/>
                <w:szCs w:val="22"/>
              </w:rPr>
            </w:pPr>
            <w:r>
              <w:rPr>
                <w:rFonts w:hint="default" w:ascii="仿宋_GB2312" w:hAnsi="宋体" w:eastAsia="仿宋_GB2312" w:cs="仿宋_GB2312"/>
                <w:i w:val="0"/>
                <w:iCs w:val="0"/>
                <w:color w:val="auto"/>
                <w:kern w:val="0"/>
                <w:sz w:val="21"/>
                <w:szCs w:val="21"/>
                <w:u w:val="none"/>
                <w:lang w:val="en-US" w:eastAsia="zh-CN" w:bidi="ar"/>
              </w:rPr>
              <w:t>50.12%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应收账款</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22,126</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6,049</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-72.66%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预付账款</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21,709</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40,075</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84.60%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存货</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81,830</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78,207</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现金平台应收</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30,268</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25,230</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-16.64%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ind w:firstLine="221" w:firstLineChars="10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b/>
                <w:bCs/>
                <w:i w:val="0"/>
                <w:iCs w:val="0"/>
                <w:color w:val="auto"/>
                <w:kern w:val="0"/>
                <w:sz w:val="22"/>
                <w:szCs w:val="22"/>
                <w:u w:val="none"/>
                <w:lang w:val="en-US" w:eastAsia="zh-CN" w:bidi="ar"/>
              </w:rPr>
              <w:t>流动资产合计</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185,884</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187,741</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固定资产</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148,460</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150,138</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在建工程</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16,945</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21,912</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29.31%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无形资产</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7,826</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10,539</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34.66%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递延所得税资产</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2,978</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5,666</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90.29%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ind w:firstLine="221" w:firstLineChars="10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b/>
                <w:bCs/>
                <w:i w:val="0"/>
                <w:iCs w:val="0"/>
                <w:color w:val="auto"/>
                <w:kern w:val="0"/>
                <w:sz w:val="22"/>
                <w:szCs w:val="22"/>
                <w:u w:val="none"/>
                <w:lang w:val="en-US" w:eastAsia="zh-CN" w:bidi="ar"/>
              </w:rPr>
              <w:t>非流动资产合计</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188,945</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201,453</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ind w:firstLine="221" w:firstLineChars="10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b/>
                <w:bCs/>
                <w:i w:val="0"/>
                <w:iCs w:val="0"/>
                <w:color w:val="auto"/>
                <w:kern w:val="0"/>
                <w:sz w:val="22"/>
                <w:szCs w:val="22"/>
                <w:u w:val="none"/>
                <w:lang w:val="en-US" w:eastAsia="zh-CN" w:bidi="ar"/>
              </w:rPr>
              <w:t>资产总计</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374,828</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389,194</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3.83%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应付账款</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22,913</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25,083</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合同负债</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8,442</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26,281</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211.30%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i w:val="0"/>
                <w:iCs w:val="0"/>
                <w:color w:val="auto"/>
                <w:kern w:val="0"/>
                <w:sz w:val="22"/>
                <w:szCs w:val="22"/>
                <w:u w:val="none"/>
                <w:lang w:val="en-US" w:eastAsia="zh-CN" w:bidi="ar"/>
              </w:rPr>
              <w:t xml:space="preserve">   应交税费</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2,008</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1,972</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i w:val="0"/>
                <w:iCs w:val="0"/>
                <w:color w:val="auto"/>
                <w:kern w:val="0"/>
                <w:sz w:val="21"/>
                <w:szCs w:val="21"/>
                <w:u w:val="none"/>
                <w:lang w:val="en-US" w:eastAsia="zh-CN" w:bidi="ar"/>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ind w:firstLine="221" w:firstLineChars="10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b/>
                <w:bCs/>
                <w:i w:val="0"/>
                <w:iCs w:val="0"/>
                <w:color w:val="auto"/>
                <w:kern w:val="0"/>
                <w:sz w:val="22"/>
                <w:szCs w:val="22"/>
                <w:u w:val="none"/>
                <w:lang w:val="en-US" w:eastAsia="zh-CN" w:bidi="ar"/>
              </w:rPr>
              <w:t>流动负债合计</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36,300</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60,393</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66.37%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ind w:firstLine="221" w:firstLineChars="10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b/>
                <w:bCs/>
                <w:i w:val="0"/>
                <w:iCs w:val="0"/>
                <w:color w:val="auto"/>
                <w:kern w:val="0"/>
                <w:sz w:val="22"/>
                <w:szCs w:val="22"/>
                <w:u w:val="none"/>
                <w:lang w:val="en-US" w:eastAsia="zh-CN" w:bidi="ar"/>
              </w:rPr>
              <w:t>非流动负债合计</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2,254</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1,812</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-19.62%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ind w:firstLine="221" w:firstLineChars="10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b/>
                <w:bCs/>
                <w:i w:val="0"/>
                <w:iCs w:val="0"/>
                <w:color w:val="auto"/>
                <w:kern w:val="0"/>
                <w:sz w:val="22"/>
                <w:szCs w:val="22"/>
                <w:u w:val="none"/>
                <w:lang w:val="en-US" w:eastAsia="zh-CN" w:bidi="ar"/>
              </w:rPr>
              <w:t>负债合计</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38,554</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62,205</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61.35%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2782" w:type="dxa"/>
            <w:vAlign w:val="center"/>
          </w:tcPr>
          <w:p>
            <w:pPr>
              <w:keepNext w:val="0"/>
              <w:keepLines w:val="0"/>
              <w:widowControl/>
              <w:suppressLineNumbers w:val="0"/>
              <w:ind w:firstLine="221" w:firstLineChars="100"/>
              <w:jc w:val="left"/>
              <w:textAlignment w:val="center"/>
              <w:rPr>
                <w:rFonts w:hint="default" w:ascii="仿宋_GB2312" w:hAnsi="宋体" w:eastAsia="仿宋_GB2312" w:cs="仿宋_GB2312"/>
                <w:i w:val="0"/>
                <w:iCs w:val="0"/>
                <w:color w:val="auto"/>
                <w:kern w:val="0"/>
                <w:sz w:val="22"/>
                <w:szCs w:val="22"/>
                <w:u w:val="none"/>
                <w:lang w:val="en-US" w:eastAsia="zh-CN" w:bidi="ar"/>
              </w:rPr>
            </w:pPr>
            <w:r>
              <w:rPr>
                <w:rFonts w:hint="default" w:ascii="仿宋_GB2312" w:hAnsi="宋体" w:eastAsia="仿宋_GB2312" w:cs="仿宋_GB2312"/>
                <w:b/>
                <w:bCs/>
                <w:i w:val="0"/>
                <w:iCs w:val="0"/>
                <w:color w:val="auto"/>
                <w:kern w:val="0"/>
                <w:sz w:val="22"/>
                <w:szCs w:val="22"/>
                <w:u w:val="none"/>
                <w:lang w:val="en-US" w:eastAsia="zh-CN" w:bidi="ar"/>
              </w:rPr>
              <w:t>所有者权益合计</w:t>
            </w:r>
          </w:p>
        </w:tc>
        <w:tc>
          <w:tcPr>
            <w:tcW w:w="2094"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336,274</w:t>
            </w:r>
          </w:p>
        </w:tc>
        <w:tc>
          <w:tcPr>
            <w:tcW w:w="1982"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326,989</w:t>
            </w:r>
          </w:p>
        </w:tc>
        <w:tc>
          <w:tcPr>
            <w:tcW w:w="2157" w:type="dxa"/>
            <w:vAlign w:val="bottom"/>
          </w:tcPr>
          <w:p>
            <w:pPr>
              <w:keepNext w:val="0"/>
              <w:keepLines w:val="0"/>
              <w:widowControl/>
              <w:suppressLineNumbers w:val="0"/>
              <w:jc w:val="right"/>
              <w:textAlignment w:val="bottom"/>
              <w:rPr>
                <w:rFonts w:hint="default" w:ascii="仿宋_GB2312" w:hAnsi="宋体" w:eastAsia="仿宋_GB2312" w:cs="仿宋_GB2312"/>
                <w:i w:val="0"/>
                <w:iCs w:val="0"/>
                <w:color w:val="auto"/>
                <w:kern w:val="0"/>
                <w:sz w:val="21"/>
                <w:szCs w:val="21"/>
                <w:u w:val="none"/>
                <w:lang w:val="en-US" w:eastAsia="zh-CN" w:bidi="ar"/>
              </w:rPr>
            </w:pPr>
            <w:r>
              <w:rPr>
                <w:rFonts w:hint="default" w:ascii="仿宋_GB2312" w:hAnsi="宋体" w:eastAsia="仿宋_GB2312" w:cs="仿宋_GB2312"/>
                <w:b/>
                <w:bCs/>
                <w:i w:val="0"/>
                <w:iCs w:val="0"/>
                <w:color w:val="auto"/>
                <w:kern w:val="0"/>
                <w:sz w:val="21"/>
                <w:szCs w:val="21"/>
                <w:u w:val="none"/>
                <w:lang w:val="en-US" w:eastAsia="zh-CN" w:bidi="ar"/>
              </w:rPr>
              <w:t>-2.76%</w:t>
            </w:r>
          </w:p>
        </w:tc>
      </w:tr>
    </w:tbl>
    <w:p>
      <w:pPr>
        <w:tabs>
          <w:tab w:val="left" w:pos="7350"/>
        </w:tabs>
        <w:spacing w:before="62" w:beforeLines="20" w:after="62" w:afterLines="20" w:line="600" w:lineRule="exact"/>
        <w:rPr>
          <w:rFonts w:ascii="仿宋_GB2312" w:eastAsia="仿宋_GB2312" w:cs="宋体"/>
          <w:b/>
          <w:bCs/>
          <w:kern w:val="0"/>
          <w:szCs w:val="21"/>
          <w:lang w:val="zh-CN"/>
        </w:rPr>
      </w:pPr>
      <w:r>
        <w:rPr>
          <w:rFonts w:hint="eastAsia" w:ascii="仿宋_GB2312" w:hAnsi="宋体" w:eastAsia="仿宋_GB2312" w:cs="宋体"/>
          <w:b/>
          <w:bCs/>
          <w:kern w:val="0"/>
          <w:szCs w:val="21"/>
          <w:lang w:val="zh-CN"/>
        </w:rPr>
        <w:t>备注：1、有下属子公司的单位填报合并口径数据。2、金额保留整数，变动比率保留两位小数。</w:t>
      </w:r>
    </w:p>
    <w:p>
      <w:pPr>
        <w:tabs>
          <w:tab w:val="left" w:pos="7350"/>
        </w:tabs>
        <w:spacing w:before="62" w:beforeLines="20" w:after="62" w:afterLines="20" w:line="600" w:lineRule="exact"/>
        <w:ind w:firstLine="482"/>
        <w:rPr>
          <w:rFonts w:ascii="仿宋_GB2312" w:hAnsi="宋体" w:eastAsia="仿宋_GB2312" w:cs="宋体"/>
          <w:b/>
          <w:bCs/>
          <w:kern w:val="0"/>
          <w:sz w:val="30"/>
          <w:szCs w:val="30"/>
          <w:lang w:val="zh-CN"/>
        </w:rPr>
      </w:pPr>
      <w:r>
        <w:rPr>
          <w:rFonts w:hint="eastAsia" w:ascii="仿宋_GB2312" w:hAnsi="宋体" w:eastAsia="仿宋_GB2312" w:cs="宋体"/>
          <w:b/>
          <w:bCs/>
          <w:kern w:val="0"/>
          <w:sz w:val="30"/>
          <w:szCs w:val="30"/>
          <w:lang w:val="zh-CN"/>
        </w:rPr>
        <w:t>（三）国有资本保值增值情况</w:t>
      </w:r>
    </w:p>
    <w:p>
      <w:pPr>
        <w:ind w:firstLine="600" w:firstLineChars="200"/>
        <w:rPr>
          <w:rFonts w:hint="eastAsia" w:ascii="仿宋_GB2312" w:hAnsi="仿宋" w:eastAsia="仿宋_GB2312" w:cs="仿宋"/>
          <w:sz w:val="30"/>
          <w:szCs w:val="30"/>
          <w:lang w:eastAsia="zh-CN"/>
        </w:rPr>
      </w:pPr>
      <w:r>
        <w:rPr>
          <w:rFonts w:hint="eastAsia" w:ascii="仿宋_GB2312" w:hAnsi="仿宋" w:eastAsia="仿宋_GB2312" w:cs="仿宋"/>
          <w:sz w:val="30"/>
          <w:szCs w:val="30"/>
        </w:rPr>
        <w:t>2023年净利润-9,394.64万元，2023年国有资本保值增值率为97.2%</w:t>
      </w:r>
      <w:r>
        <w:rPr>
          <w:rFonts w:hint="eastAsia" w:ascii="仿宋_GB2312" w:hAnsi="仿宋" w:eastAsia="仿宋_GB2312" w:cs="仿宋"/>
          <w:sz w:val="30"/>
          <w:szCs w:val="30"/>
          <w:lang w:eastAsia="zh-CN"/>
        </w:rPr>
        <w:t>。</w:t>
      </w:r>
    </w:p>
    <w:p>
      <w:pPr>
        <w:ind w:firstLine="600" w:firstLineChars="200"/>
        <w:rPr>
          <w:rFonts w:hint="eastAsia" w:ascii="黑体" w:hAnsi="黑体" w:eastAsia="黑体" w:cs="黑体"/>
          <w:bCs/>
          <w:color w:val="0000FF"/>
          <w:sz w:val="30"/>
          <w:szCs w:val="30"/>
          <w:lang w:eastAsia="zh-CN"/>
        </w:rPr>
      </w:pPr>
      <w:r>
        <w:rPr>
          <w:rFonts w:hint="eastAsia" w:ascii="黑体" w:hAnsi="黑体" w:eastAsia="黑体" w:cs="黑体"/>
          <w:bCs/>
          <w:sz w:val="30"/>
          <w:szCs w:val="30"/>
        </w:rPr>
        <w:t>四、企业重大改制重组结果</w:t>
      </w:r>
    </w:p>
    <w:p>
      <w:pPr>
        <w:ind w:firstLine="602" w:firstLineChars="200"/>
        <w:rPr>
          <w:rFonts w:ascii="仿宋_GB2312" w:hAnsi="仿宋" w:eastAsia="仿宋_GB2312" w:cs="仿宋"/>
          <w:b/>
          <w:bCs/>
          <w:sz w:val="30"/>
          <w:szCs w:val="30"/>
        </w:rPr>
      </w:pPr>
      <w:r>
        <w:rPr>
          <w:rFonts w:hint="eastAsia" w:ascii="仿宋_GB2312" w:hAnsi="仿宋" w:eastAsia="仿宋_GB2312" w:cs="仿宋"/>
          <w:b/>
          <w:bCs/>
          <w:sz w:val="30"/>
          <w:szCs w:val="30"/>
        </w:rPr>
        <w:t>（一）公开公司重大改制改组基本情况</w:t>
      </w:r>
    </w:p>
    <w:p>
      <w:pPr>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1、重大改制改组的背景与原因；</w:t>
      </w:r>
    </w:p>
    <w:p>
      <w:pPr>
        <w:pStyle w:val="3"/>
        <w:rPr>
          <w:rFonts w:hint="default" w:eastAsia="仿宋_GB2312"/>
          <w:lang w:val="en-US" w:eastAsia="zh-CN"/>
        </w:rPr>
      </w:pPr>
      <w:r>
        <w:rPr>
          <w:rFonts w:hint="eastAsia" w:hAnsi="仿宋" w:cs="仿宋"/>
          <w:sz w:val="30"/>
          <w:szCs w:val="30"/>
          <w:lang w:val="en-US" w:eastAsia="zh-CN"/>
        </w:rPr>
        <w:t xml:space="preserve">    无</w:t>
      </w:r>
    </w:p>
    <w:p>
      <w:pPr>
        <w:numPr>
          <w:ilvl w:val="0"/>
          <w:numId w:val="1"/>
        </w:numPr>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改制改组的基本框架。</w:t>
      </w:r>
    </w:p>
    <w:p>
      <w:pPr>
        <w:pStyle w:val="3"/>
        <w:numPr>
          <w:ilvl w:val="0"/>
          <w:numId w:val="0"/>
        </w:numPr>
        <w:rPr>
          <w:rFonts w:hint="default" w:eastAsia="仿宋_GB2312"/>
          <w:lang w:val="en-US" w:eastAsia="zh-CN"/>
        </w:rPr>
      </w:pPr>
      <w:r>
        <w:rPr>
          <w:rFonts w:hint="eastAsia"/>
          <w:lang w:val="en-US" w:eastAsia="zh-CN"/>
        </w:rPr>
        <w:t xml:space="preserve">    无</w:t>
      </w:r>
    </w:p>
    <w:p>
      <w:pPr>
        <w:ind w:firstLine="602" w:firstLineChars="200"/>
        <w:rPr>
          <w:rFonts w:ascii="仿宋_GB2312" w:hAnsi="仿宋" w:eastAsia="仿宋_GB2312" w:cs="仿宋"/>
          <w:b/>
          <w:bCs/>
          <w:sz w:val="30"/>
          <w:szCs w:val="30"/>
        </w:rPr>
      </w:pPr>
      <w:r>
        <w:rPr>
          <w:rFonts w:hint="eastAsia" w:ascii="仿宋_GB2312" w:hAnsi="仿宋" w:eastAsia="仿宋_GB2312" w:cs="仿宋"/>
          <w:b/>
          <w:bCs/>
          <w:sz w:val="30"/>
          <w:szCs w:val="30"/>
        </w:rPr>
        <w:t>（二）公开公司重大改制改组完成情况</w:t>
      </w:r>
    </w:p>
    <w:p>
      <w:pPr>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1、推进改制改组所做的工作；</w:t>
      </w:r>
    </w:p>
    <w:p>
      <w:pPr>
        <w:pStyle w:val="3"/>
        <w:rPr>
          <w:rFonts w:hint="default" w:eastAsia="仿宋_GB2312"/>
          <w:lang w:val="en-US" w:eastAsia="zh-CN"/>
        </w:rPr>
      </w:pPr>
      <w:r>
        <w:rPr>
          <w:rFonts w:hint="eastAsia" w:hAnsi="仿宋" w:cs="仿宋"/>
          <w:sz w:val="30"/>
          <w:szCs w:val="30"/>
          <w:lang w:val="en-US" w:eastAsia="zh-CN"/>
        </w:rPr>
        <w:t xml:space="preserve">    无</w:t>
      </w:r>
    </w:p>
    <w:p>
      <w:pPr>
        <w:numPr>
          <w:ilvl w:val="0"/>
          <w:numId w:val="0"/>
        </w:numPr>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lang w:val="en-US" w:eastAsia="zh-CN"/>
        </w:rPr>
        <w:t>2、</w:t>
      </w:r>
      <w:r>
        <w:rPr>
          <w:rFonts w:hint="eastAsia" w:ascii="仿宋_GB2312" w:hAnsi="仿宋" w:eastAsia="仿宋_GB2312" w:cs="仿宋"/>
          <w:sz w:val="30"/>
          <w:szCs w:val="30"/>
        </w:rPr>
        <w:t>取得的核准同意函；</w:t>
      </w:r>
    </w:p>
    <w:p>
      <w:pPr>
        <w:pStyle w:val="3"/>
        <w:numPr>
          <w:ilvl w:val="0"/>
          <w:numId w:val="0"/>
        </w:numPr>
        <w:rPr>
          <w:rFonts w:hint="default" w:eastAsia="仿宋_GB2312"/>
          <w:lang w:val="en-US" w:eastAsia="zh-CN"/>
        </w:rPr>
      </w:pPr>
      <w:r>
        <w:rPr>
          <w:rFonts w:hint="eastAsia"/>
          <w:lang w:val="en-US" w:eastAsia="zh-CN"/>
        </w:rPr>
        <w:t xml:space="preserve">    无</w:t>
      </w:r>
    </w:p>
    <w:p>
      <w:pPr>
        <w:numPr>
          <w:ilvl w:val="0"/>
          <w:numId w:val="1"/>
        </w:numPr>
        <w:ind w:left="0" w:leftChars="0"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签订的协议书等。</w:t>
      </w:r>
    </w:p>
    <w:p>
      <w:pPr>
        <w:pStyle w:val="3"/>
        <w:numPr>
          <w:ilvl w:val="0"/>
          <w:numId w:val="0"/>
        </w:numPr>
        <w:rPr>
          <w:rFonts w:hint="default" w:eastAsia="仿宋_GB2312"/>
          <w:lang w:val="en-US" w:eastAsia="zh-CN"/>
        </w:rPr>
      </w:pPr>
      <w:r>
        <w:rPr>
          <w:rFonts w:hint="eastAsia"/>
          <w:lang w:val="en-US" w:eastAsia="zh-CN"/>
        </w:rPr>
        <w:t xml:space="preserve">    元</w:t>
      </w:r>
    </w:p>
    <w:p>
      <w:pPr>
        <w:ind w:firstLine="600" w:firstLineChars="200"/>
        <w:rPr>
          <w:rFonts w:hint="eastAsia" w:ascii="黑体" w:hAnsi="黑体" w:eastAsia="黑体" w:cs="黑体"/>
          <w:bCs/>
          <w:color w:val="0000FF"/>
          <w:sz w:val="30"/>
          <w:szCs w:val="30"/>
          <w:lang w:eastAsia="zh-CN"/>
        </w:rPr>
      </w:pPr>
      <w:r>
        <w:rPr>
          <w:rFonts w:hint="eastAsia" w:ascii="黑体" w:hAnsi="黑体" w:eastAsia="黑体" w:cs="黑体"/>
          <w:bCs/>
          <w:sz w:val="30"/>
          <w:szCs w:val="30"/>
        </w:rPr>
        <w:t>五、通过产权市场转让企业产权和企业增资等信息</w:t>
      </w:r>
    </w:p>
    <w:p>
      <w:pPr>
        <w:ind w:firstLine="600" w:firstLineChars="200"/>
        <w:rPr>
          <w:rFonts w:hint="default" w:ascii="仿宋_GB2312" w:hAnsi="仿宋" w:eastAsia="仿宋_GB2312" w:cs="仿宋"/>
          <w:sz w:val="30"/>
          <w:szCs w:val="30"/>
          <w:lang w:val="en-US" w:eastAsia="zh-CN"/>
        </w:rPr>
      </w:pPr>
      <w:r>
        <w:rPr>
          <w:rFonts w:hint="eastAsia" w:ascii="仿宋_GB2312" w:hAnsi="仿宋" w:eastAsia="仿宋_GB2312" w:cs="仿宋"/>
          <w:sz w:val="30"/>
          <w:szCs w:val="30"/>
          <w:lang w:val="en-US" w:eastAsia="zh-CN"/>
        </w:rPr>
        <w:t>2023年未发生相关业务。</w:t>
      </w:r>
    </w:p>
    <w:p>
      <w:pPr>
        <w:ind w:firstLine="600" w:firstLineChars="200"/>
        <w:rPr>
          <w:rFonts w:hint="eastAsia" w:ascii="黑体" w:hAnsi="黑体" w:eastAsia="黑体" w:cs="黑体"/>
          <w:bCs/>
          <w:color w:val="0000FF"/>
          <w:sz w:val="30"/>
          <w:szCs w:val="30"/>
          <w:lang w:eastAsia="zh-CN"/>
        </w:rPr>
      </w:pPr>
      <w:r>
        <w:rPr>
          <w:rFonts w:hint="eastAsia" w:ascii="黑体" w:hAnsi="黑体" w:eastAsia="黑体" w:cs="黑体"/>
          <w:bCs/>
          <w:sz w:val="30"/>
          <w:szCs w:val="30"/>
        </w:rPr>
        <w:t>六、有关部门依法要求公开的监督检查问题等整改情况、重大突发事件时态发展和应急处置情况</w:t>
      </w:r>
    </w:p>
    <w:p>
      <w:pPr>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在公司党风廉政建设和反腐败工作会议、党风廉政建设责任制领导小组（扩大）会议上公开监督检查问题、巡视巡察问题等的整改情况。</w:t>
      </w:r>
    </w:p>
    <w:p>
      <w:pPr>
        <w:ind w:firstLine="600" w:firstLineChars="200"/>
        <w:rPr>
          <w:rFonts w:ascii="黑体" w:hAnsi="黑体" w:eastAsia="黑体" w:cs="黑体"/>
          <w:bCs/>
          <w:sz w:val="30"/>
          <w:szCs w:val="30"/>
        </w:rPr>
      </w:pPr>
      <w:r>
        <w:rPr>
          <w:rFonts w:hint="eastAsia" w:ascii="黑体" w:hAnsi="黑体" w:eastAsia="黑体" w:cs="黑体"/>
          <w:bCs/>
          <w:sz w:val="30"/>
          <w:szCs w:val="30"/>
        </w:rPr>
        <w:t>七、企业履行社会责任情况（可选填、可单独成段写）</w:t>
      </w:r>
    </w:p>
    <w:tbl>
      <w:tblPr>
        <w:tblStyle w:val="7"/>
        <w:tblW w:w="8931" w:type="dxa"/>
        <w:jc w:val="center"/>
        <w:tblInd w:w="0" w:type="dxa"/>
        <w:tblLayout w:type="fixed"/>
        <w:tblCellMar>
          <w:top w:w="0" w:type="dxa"/>
          <w:left w:w="108" w:type="dxa"/>
          <w:bottom w:w="0" w:type="dxa"/>
          <w:right w:w="108" w:type="dxa"/>
        </w:tblCellMar>
      </w:tblPr>
      <w:tblGrid>
        <w:gridCol w:w="1277"/>
        <w:gridCol w:w="1559"/>
        <w:gridCol w:w="6095"/>
      </w:tblGrid>
      <w:tr>
        <w:tblPrEx>
          <w:tblLayout w:type="fixed"/>
          <w:tblCellMar>
            <w:top w:w="0" w:type="dxa"/>
            <w:left w:w="108" w:type="dxa"/>
            <w:bottom w:w="0" w:type="dxa"/>
            <w:right w:w="108" w:type="dxa"/>
          </w:tblCellMar>
        </w:tblPrEx>
        <w:trPr>
          <w:trHeight w:val="624"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项目</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公开事项</w:t>
            </w:r>
          </w:p>
        </w:tc>
        <w:tc>
          <w:tcPr>
            <w:tcW w:w="6095"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具体内容</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（一）</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经济责任</w:t>
            </w: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与政府合作</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1、贯彻落实国家产业政策以及国家签订的国际合约等情况</w:t>
            </w:r>
            <w:r>
              <w:rPr>
                <w:rFonts w:hint="eastAsia" w:ascii="仿宋_GB2312" w:hAnsi="仿宋_GB2312" w:eastAsia="仿宋_GB2312" w:cs="仿宋_GB2312"/>
                <w:kern w:val="0"/>
                <w:szCs w:val="21"/>
                <w:lang w:val="en-US" w:eastAsia="zh-CN"/>
              </w:rPr>
              <w:t>无</w:t>
            </w:r>
            <w:r>
              <w:rPr>
                <w:rFonts w:hint="eastAsia" w:ascii="仿宋_GB2312" w:hAnsi="仿宋_GB2312" w:eastAsia="仿宋_GB2312" w:cs="仿宋_GB2312"/>
                <w:kern w:val="0"/>
                <w:szCs w:val="21"/>
              </w:rPr>
              <w:t>；2、接受政府援助的数额</w:t>
            </w:r>
            <w:r>
              <w:rPr>
                <w:rFonts w:hint="eastAsia" w:ascii="仿宋_GB2312" w:hAnsi="仿宋_GB2312" w:eastAsia="仿宋_GB2312" w:cs="仿宋_GB2312"/>
                <w:kern w:val="0"/>
                <w:szCs w:val="21"/>
                <w:lang w:val="en-US" w:eastAsia="zh-CN"/>
              </w:rPr>
              <w:t>无</w:t>
            </w:r>
            <w:r>
              <w:rPr>
                <w:rFonts w:hint="eastAsia" w:ascii="仿宋_GB2312" w:hAnsi="仿宋_GB2312" w:eastAsia="仿宋_GB2312" w:cs="仿宋_GB2312"/>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信用管理</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color w:val="000000"/>
                <w:kern w:val="0"/>
                <w:szCs w:val="21"/>
                <w:lang w:val="en-US" w:eastAsia="zh-CN"/>
              </w:rPr>
              <w:t>2023年年未开展信用评估。</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诚信纳税</w:t>
            </w:r>
          </w:p>
        </w:tc>
        <w:tc>
          <w:tcPr>
            <w:tcW w:w="6095" w:type="dxa"/>
            <w:tcBorders>
              <w:top w:val="single" w:color="auto" w:sz="4" w:space="0"/>
              <w:left w:val="nil"/>
              <w:bottom w:val="single" w:color="auto" w:sz="4" w:space="0"/>
              <w:right w:val="single" w:color="auto" w:sz="4" w:space="0"/>
            </w:tcBorders>
            <w:vAlign w:val="center"/>
          </w:tcPr>
          <w:p>
            <w:pPr>
              <w:widowControl/>
              <w:numPr>
                <w:ilvl w:val="0"/>
                <w:numId w:val="0"/>
              </w:numPr>
              <w:jc w:val="left"/>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坚持纳税合法性原则，如实足额按时完成纳税申报及税款扣缴，2023年未发生纳税纠纷及税务罚款情况。</w:t>
            </w: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color w:val="000000"/>
                <w:kern w:val="0"/>
                <w:szCs w:val="21"/>
                <w:lang w:val="en-US" w:eastAsia="zh-CN"/>
              </w:rPr>
              <w:t>2023实现上交税金6,693万元，较上年同期下降3,371万元，主要企业出现亏损，企业所得税有所减少。</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（二）</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安全责任</w:t>
            </w: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安全教育培训</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1、</w:t>
            </w:r>
            <w:r>
              <w:rPr>
                <w:rFonts w:hint="eastAsia" w:ascii="仿宋_GB2312" w:hAnsi="仿宋_GB2312" w:eastAsia="仿宋_GB2312" w:cs="仿宋_GB2312"/>
                <w:color w:val="auto"/>
                <w:kern w:val="0"/>
                <w:szCs w:val="21"/>
              </w:rPr>
              <w:t>组织多种各层级安全教育培训，组织学习习近平安全重要论述、安全法律法规培训、职业健康卫生培训、安全知识技能培训、危险源和控制措施培训、消防安全培训、专兼职安全员教育培训、高处作业安全教育、“血的教训”全员安全教育、安全月警示VR教育，开展“人人讲安全，培训到现场”活动、违章人员座谈会、治安交通安全专项教育等，共组织509期，共培训教育52737人次。</w:t>
            </w:r>
            <w:r>
              <w:rPr>
                <w:rFonts w:hint="eastAsia" w:ascii="仿宋_GB2312" w:hAnsi="仿宋_GB2312" w:eastAsia="仿宋_GB2312" w:cs="仿宋_GB2312"/>
                <w:color w:val="auto"/>
                <w:kern w:val="0"/>
                <w:szCs w:val="21"/>
                <w:lang w:val="en-US" w:eastAsia="zh-CN"/>
              </w:rPr>
              <w:t>开展三级安全教育培训204人次，其中宝新新进员工16人，钟盈、宝欣实业等生产协力188人，转岗、上岗鉴定人员29人。组织各类特种作业初、复训人员有267名，持证率100%。</w:t>
            </w:r>
            <w:r>
              <w:rPr>
                <w:rFonts w:hint="eastAsia" w:ascii="仿宋_GB2312" w:hAnsi="仿宋_GB2312" w:eastAsia="仿宋_GB2312" w:cs="仿宋_GB2312"/>
                <w:color w:val="auto"/>
                <w:kern w:val="0"/>
                <w:szCs w:val="21"/>
              </w:rPr>
              <w:t>组织火灾、爆炸、中毒事故处置、危险化学品事故应急处置、人身伤害事故应急处置、防汛防台应急处理等应急预案演练83次，1568人次参加演练。2、安全教育培训率100%。</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隐患治理</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1、隐患治理投入额度</w:t>
            </w:r>
            <w:r>
              <w:rPr>
                <w:rFonts w:hint="eastAsia" w:ascii="仿宋_GB2312" w:hAnsi="仿宋_GB2312" w:eastAsia="仿宋_GB2312" w:cs="仿宋_GB2312"/>
                <w:color w:val="auto"/>
                <w:kern w:val="0"/>
                <w:szCs w:val="21"/>
                <w:lang w:val="en-US" w:eastAsia="zh-CN"/>
              </w:rPr>
              <w:t>245.92万元</w:t>
            </w:r>
            <w:r>
              <w:rPr>
                <w:rFonts w:hint="eastAsia" w:ascii="仿宋_GB2312" w:hAnsi="仿宋_GB2312" w:eastAsia="仿宋_GB2312" w:cs="仿宋_GB2312"/>
                <w:color w:val="auto"/>
                <w:kern w:val="0"/>
                <w:szCs w:val="21"/>
              </w:rPr>
              <w:t>；2、排查隐患数</w:t>
            </w:r>
            <w:r>
              <w:rPr>
                <w:rFonts w:hint="eastAsia" w:ascii="仿宋_GB2312" w:hAnsi="仿宋_GB2312" w:eastAsia="仿宋_GB2312" w:cs="仿宋_GB2312"/>
                <w:color w:val="auto"/>
                <w:kern w:val="0"/>
                <w:szCs w:val="21"/>
                <w:lang w:val="en-US" w:eastAsia="zh-CN"/>
              </w:rPr>
              <w:t>4427条，全部完成整改</w:t>
            </w:r>
            <w:r>
              <w:rPr>
                <w:rFonts w:hint="eastAsia" w:ascii="仿宋_GB2312" w:hAnsi="仿宋_GB2312" w:eastAsia="仿宋_GB2312" w:cs="仿宋_GB2312"/>
                <w:color w:val="auto"/>
                <w:kern w:val="0"/>
                <w:szCs w:val="21"/>
              </w:rPr>
              <w:t>；3、重大隐患</w:t>
            </w:r>
            <w:r>
              <w:rPr>
                <w:rFonts w:hint="eastAsia" w:ascii="仿宋_GB2312" w:hAnsi="仿宋_GB2312" w:eastAsia="仿宋_GB2312" w:cs="仿宋_GB2312"/>
                <w:color w:val="auto"/>
                <w:kern w:val="0"/>
                <w:szCs w:val="21"/>
                <w:lang w:val="en-US" w:eastAsia="zh-CN"/>
              </w:rPr>
              <w:t>1项</w:t>
            </w:r>
            <w:r>
              <w:rPr>
                <w:rFonts w:hint="eastAsia" w:ascii="仿宋_GB2312" w:hAnsi="仿宋_GB2312" w:eastAsia="仿宋_GB2312" w:cs="仿宋_GB2312"/>
                <w:color w:val="auto"/>
                <w:kern w:val="0"/>
                <w:szCs w:val="21"/>
              </w:rPr>
              <w:t>治理率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；4、危险源危险度</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lang w:val="en-US" w:eastAsia="zh-CN"/>
              </w:rPr>
              <w:t>全年危险源辨识3408条，无A类危险源，B类危险源29条，C类204条，D类3175条</w:t>
            </w:r>
            <w:r>
              <w:rPr>
                <w:rFonts w:hint="eastAsia" w:ascii="仿宋_GB2312" w:hAnsi="仿宋_GB2312" w:eastAsia="仿宋_GB2312" w:cs="仿宋_GB2312"/>
                <w:color w:val="auto"/>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职业健康</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1、职业健康培训率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；2、职业健康体检率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；3、岗位粉尘合格率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；4、噪声合格率</w:t>
            </w:r>
            <w:r>
              <w:rPr>
                <w:rFonts w:hint="eastAsia" w:ascii="仿宋_GB2312" w:hAnsi="仿宋_GB2312" w:eastAsia="仿宋_GB2312" w:cs="仿宋_GB2312"/>
                <w:color w:val="auto"/>
                <w:kern w:val="0"/>
                <w:szCs w:val="21"/>
                <w:lang w:val="en-US" w:eastAsia="zh-CN"/>
              </w:rPr>
              <w:t>99%</w:t>
            </w:r>
            <w:r>
              <w:rPr>
                <w:rFonts w:hint="eastAsia" w:ascii="仿宋_GB2312" w:hAnsi="仿宋_GB2312" w:eastAsia="仿宋_GB2312" w:cs="仿宋_GB2312"/>
                <w:color w:val="auto"/>
                <w:kern w:val="0"/>
                <w:szCs w:val="21"/>
              </w:rPr>
              <w:t>；5、高温合格率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；6、毒物合格率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（三）</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创新责任</w:t>
            </w:r>
          </w:p>
        </w:tc>
        <w:tc>
          <w:tcPr>
            <w:tcW w:w="155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eastAsia="仿宋_GB2312" w:cs="宋体"/>
                <w:b/>
                <w:bCs/>
                <w:color w:val="auto"/>
                <w:kern w:val="0"/>
                <w:szCs w:val="21"/>
                <w:lang w:eastAsia="zh-CN"/>
              </w:rPr>
            </w:pPr>
            <w:r>
              <w:rPr>
                <w:rFonts w:hint="eastAsia" w:ascii="仿宋_GB2312" w:hAnsi="宋体" w:eastAsia="仿宋_GB2312" w:cs="宋体"/>
                <w:b/>
                <w:bCs/>
                <w:color w:val="auto"/>
                <w:kern w:val="0"/>
                <w:szCs w:val="21"/>
              </w:rPr>
              <w:t>管理创新</w:t>
            </w:r>
          </w:p>
        </w:tc>
        <w:tc>
          <w:tcPr>
            <w:tcW w:w="6095" w:type="dxa"/>
            <w:tcBorders>
              <w:top w:val="single" w:color="auto" w:sz="4" w:space="0"/>
              <w:left w:val="nil"/>
              <w:bottom w:val="single" w:color="auto" w:sz="4" w:space="0"/>
              <w:right w:val="single" w:color="auto" w:sz="4" w:space="0"/>
            </w:tcBorders>
            <w:vAlign w:val="center"/>
          </w:tcPr>
          <w:p>
            <w:pPr>
              <w:widowControl/>
              <w:numPr>
                <w:ilvl w:val="0"/>
                <w:numId w:val="2"/>
              </w:numPr>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组织推进管理创新活动，在公司经营管理各领域，运用现代管理科学理论，在经营管理理念、运营模式、组织体制、管理机制与方法等方面提出的具有改进和创新内涵，经过实践检验，确认有明显作用和效果的管理方法和举措，按要求总结形成《创新不锈钢垫纸绿色循环精益管理模式》获得太钢集团管理创新成果三等奖</w:t>
            </w:r>
            <w:r>
              <w:rPr>
                <w:rFonts w:hint="eastAsia" w:ascii="仿宋_GB2312" w:hAnsi="仿宋_GB2312" w:eastAsia="仿宋_GB2312" w:cs="仿宋_GB2312"/>
                <w:color w:val="auto"/>
                <w:kern w:val="0"/>
                <w:szCs w:val="21"/>
                <w:lang w:eastAsia="zh-CN"/>
              </w:rPr>
              <w:t>。</w:t>
            </w:r>
          </w:p>
          <w:p>
            <w:pPr>
              <w:widowControl/>
              <w:numPr>
                <w:ilvl w:val="0"/>
                <w:numId w:val="2"/>
              </w:numPr>
              <w:ind w:left="0" w:leftChars="0" w:firstLine="0" w:firstLineChars="0"/>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组织和流程优化；</w:t>
            </w:r>
            <w:r>
              <w:rPr>
                <w:rFonts w:hint="eastAsia" w:ascii="仿宋_GB2312" w:hAnsi="仿宋_GB2312" w:eastAsia="仿宋_GB2312" w:cs="仿宋_GB2312"/>
                <w:color w:val="auto"/>
                <w:kern w:val="0"/>
                <w:szCs w:val="21"/>
                <w:lang w:val="en-US" w:eastAsia="zh-CN"/>
              </w:rPr>
              <w:t>2023年宁波宝新主要对以下管理流程进行优化：</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lang w:val="en-US" w:eastAsia="zh-CN"/>
              </w:rPr>
              <w:t>1</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rPr>
              <w:t>构架现代企业制度的制度树体系</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lang w:val="en-US" w:eastAsia="zh-CN"/>
              </w:rPr>
              <w:t>2</w:t>
            </w:r>
            <w:r>
              <w:rPr>
                <w:rFonts w:hint="eastAsia" w:ascii="仿宋_GB2312" w:hAnsi="仿宋_GB2312" w:eastAsia="仿宋_GB2312" w:cs="仿宋_GB2312"/>
                <w:color w:val="auto"/>
                <w:kern w:val="0"/>
                <w:szCs w:val="21"/>
                <w:lang w:eastAsia="zh-CN"/>
              </w:rPr>
              <w:t>）对标与组织绩效评价体系建设；（</w:t>
            </w:r>
            <w:r>
              <w:rPr>
                <w:rFonts w:hint="eastAsia" w:ascii="仿宋_GB2312" w:hAnsi="仿宋_GB2312" w:eastAsia="仿宋_GB2312" w:cs="仿宋_GB2312"/>
                <w:color w:val="auto"/>
                <w:kern w:val="0"/>
                <w:szCs w:val="21"/>
                <w:lang w:val="en-US" w:eastAsia="zh-CN"/>
              </w:rPr>
              <w:t>3</w:t>
            </w:r>
            <w:r>
              <w:rPr>
                <w:rFonts w:hint="eastAsia" w:ascii="仿宋_GB2312" w:hAnsi="仿宋_GB2312" w:eastAsia="仿宋_GB2312" w:cs="仿宋_GB2312"/>
                <w:color w:val="auto"/>
                <w:kern w:val="0"/>
                <w:szCs w:val="21"/>
                <w:lang w:eastAsia="zh-CN"/>
              </w:rPr>
              <w:t>）完善“三重一大”决策体系；（</w:t>
            </w:r>
            <w:r>
              <w:rPr>
                <w:rFonts w:hint="eastAsia" w:ascii="仿宋_GB2312" w:hAnsi="仿宋_GB2312" w:eastAsia="仿宋_GB2312" w:cs="仿宋_GB2312"/>
                <w:color w:val="auto"/>
                <w:kern w:val="0"/>
                <w:szCs w:val="21"/>
                <w:lang w:val="en-US" w:eastAsia="zh-CN"/>
              </w:rPr>
              <w:t>4</w:t>
            </w:r>
            <w:r>
              <w:rPr>
                <w:rFonts w:hint="eastAsia" w:ascii="仿宋_GB2312" w:hAnsi="仿宋_GB2312" w:eastAsia="仿宋_GB2312" w:cs="仿宋_GB2312"/>
                <w:color w:val="auto"/>
                <w:kern w:val="0"/>
                <w:szCs w:val="21"/>
                <w:lang w:eastAsia="zh-CN"/>
              </w:rPr>
              <w:t>）落实任期目标责任制；（</w:t>
            </w:r>
            <w:r>
              <w:rPr>
                <w:rFonts w:hint="eastAsia" w:ascii="仿宋_GB2312" w:hAnsi="仿宋_GB2312" w:eastAsia="仿宋_GB2312" w:cs="仿宋_GB2312"/>
                <w:color w:val="auto"/>
                <w:kern w:val="0"/>
                <w:szCs w:val="21"/>
                <w:lang w:val="en-US" w:eastAsia="zh-CN"/>
              </w:rPr>
              <w:t>5</w:t>
            </w:r>
            <w:r>
              <w:rPr>
                <w:rFonts w:hint="eastAsia" w:ascii="仿宋_GB2312" w:hAnsi="仿宋_GB2312" w:eastAsia="仿宋_GB2312" w:cs="仿宋_GB2312"/>
                <w:color w:val="auto"/>
                <w:kern w:val="0"/>
                <w:szCs w:val="21"/>
                <w:lang w:eastAsia="zh-CN"/>
              </w:rPr>
              <w:t>）效率提升、组织优化、融入生态圈。</w:t>
            </w:r>
          </w:p>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3、</w:t>
            </w:r>
            <w:r>
              <w:rPr>
                <w:rFonts w:hint="eastAsia" w:ascii="仿宋_GB2312" w:hAnsi="仿宋_GB2312" w:eastAsia="仿宋_GB2312" w:cs="仿宋_GB2312"/>
                <w:color w:val="auto"/>
                <w:kern w:val="0"/>
                <w:szCs w:val="21"/>
              </w:rPr>
              <w:t>根据中国宝武、太钢集团制度建设要求，为提升公司治理水平、强化规范管理水平，宁波宝新已建立规范的制度体系，同时结合公司多年发展，不断优化改进制度建设，使之与公司经营高度匹配并保持充分性和有效性，持续对公司管理文件梳理修订</w:t>
            </w:r>
            <w:r>
              <w:rPr>
                <w:rFonts w:hint="eastAsia" w:ascii="仿宋_GB2312" w:hAnsi="仿宋_GB2312" w:eastAsia="仿宋_GB2312" w:cs="仿宋_GB2312"/>
                <w:color w:val="auto"/>
                <w:kern w:val="0"/>
                <w:szCs w:val="21"/>
                <w:lang w:val="en-US" w:eastAsia="zh-CN"/>
              </w:rPr>
              <w:t>完善</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lang w:val="en-US" w:eastAsia="zh-CN"/>
              </w:rPr>
              <w:t>2023年组织审查、修订、发布公司管理文件280项次。结合太钢制度体系建设推进会要求，形成《宁波宝新制度树（2023版）》。</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信息化建设</w:t>
            </w:r>
          </w:p>
        </w:tc>
        <w:tc>
          <w:tcPr>
            <w:tcW w:w="6095" w:type="dxa"/>
            <w:tcBorders>
              <w:top w:val="nil"/>
              <w:left w:val="nil"/>
              <w:bottom w:val="single" w:color="auto" w:sz="4" w:space="0"/>
              <w:right w:val="single" w:color="auto" w:sz="4" w:space="0"/>
            </w:tcBorders>
            <w:vAlign w:val="center"/>
          </w:tcPr>
          <w:p>
            <w:pPr>
              <w:widowControl/>
              <w:numPr>
                <w:ilvl w:val="0"/>
                <w:numId w:val="3"/>
              </w:numPr>
              <w:jc w:val="left"/>
              <w:rPr>
                <w:rFonts w:hint="eastAsia" w:ascii="仿宋_GB2312" w:hAnsi="仿宋_GB2312" w:eastAsia="仿宋_GB2312" w:cs="仿宋_GB2312"/>
                <w:color w:val="auto"/>
                <w:kern w:val="0"/>
                <w:szCs w:val="21"/>
                <w:lang w:val="en-US"/>
              </w:rPr>
            </w:pPr>
            <w:r>
              <w:rPr>
                <w:rFonts w:hint="eastAsia" w:ascii="仿宋_GB2312" w:hAnsi="仿宋_GB2312" w:eastAsia="仿宋_GB2312" w:cs="仿宋_GB2312"/>
                <w:color w:val="auto"/>
                <w:kern w:val="0"/>
                <w:szCs w:val="21"/>
              </w:rPr>
              <w:t>信息化建设管理体系建设</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lang w:val="en-US" w:eastAsia="zh-CN"/>
              </w:rPr>
              <w:t>修订完善《计算机系统及通讯设施管理细则》等管理制度；完善公司网络信息安全联络体系；完成公司门户网站、防伪系统的等保定级测评。</w:t>
            </w:r>
          </w:p>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2、</w:t>
            </w:r>
            <w:r>
              <w:rPr>
                <w:rFonts w:hint="eastAsia" w:ascii="仿宋_GB2312" w:hAnsi="仿宋_GB2312" w:eastAsia="仿宋_GB2312" w:cs="仿宋_GB2312"/>
                <w:color w:val="auto"/>
                <w:kern w:val="0"/>
                <w:szCs w:val="21"/>
              </w:rPr>
              <w:t>信息和自动化工程技术输出</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Cs w:val="21"/>
                <w:lang w:val="en-US" w:eastAsia="zh-CN"/>
              </w:rPr>
              <w:t>无。</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技术创新</w:t>
            </w:r>
          </w:p>
        </w:tc>
        <w:tc>
          <w:tcPr>
            <w:tcW w:w="6095" w:type="dxa"/>
            <w:tcBorders>
              <w:top w:val="nil"/>
              <w:left w:val="nil"/>
              <w:bottom w:val="single" w:color="auto" w:sz="4" w:space="0"/>
              <w:right w:val="single" w:color="auto" w:sz="4" w:space="0"/>
            </w:tcBorders>
            <w:vAlign w:val="center"/>
          </w:tcPr>
          <w:p>
            <w:pPr>
              <w:widowControl/>
              <w:numPr>
                <w:ilvl w:val="0"/>
                <w:numId w:val="4"/>
              </w:numPr>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技术创新体系；</w:t>
            </w:r>
          </w:p>
          <w:p>
            <w:pPr>
              <w:numPr>
                <w:ilvl w:val="0"/>
                <w:numId w:val="0"/>
              </w:numPr>
              <w:ind w:firstLine="420" w:firstLineChars="200"/>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宝新公司以统筹规划，政策导向，产业协同，资源共享归口管理为指导方针，分层推进为管理原则，成立由决策层（公司领导）、咨询层（专家资源库）、管理层（技术质量部/工程技术中心）、实施层（各部门、中心）构成技术创新管理体系。</w:t>
            </w:r>
            <w:r>
              <w:rPr>
                <w:rFonts w:hint="eastAsia" w:ascii="仿宋_GB2312" w:hAnsi="仿宋_GB2312" w:eastAsia="仿宋_GB2312" w:cs="仿宋_GB2312"/>
                <w:kern w:val="0"/>
                <w:szCs w:val="21"/>
                <w:highlight w:val="none"/>
              </w:rPr>
              <w:t>实行“精简高效、集中一贯、纵横结合、协力协同”的管理模式，按职能设置了8部、4中心，共12个部门，另设1个宝新不锈钢工程技术中心（与技术质量部合署办公）和公司级项目组</w:t>
            </w:r>
            <w:r>
              <w:rPr>
                <w:rFonts w:hint="eastAsia" w:ascii="仿宋_GB2312" w:hAnsi="仿宋_GB2312" w:eastAsia="仿宋_GB2312" w:cs="仿宋_GB2312"/>
                <w:kern w:val="0"/>
                <w:szCs w:val="21"/>
                <w:highlight w:val="none"/>
                <w:lang w:eastAsia="zh-CN"/>
              </w:rPr>
              <w:t>。</w:t>
            </w:r>
          </w:p>
          <w:p>
            <w:pPr>
              <w:numPr>
                <w:ilvl w:val="0"/>
                <w:numId w:val="0"/>
              </w:numPr>
              <w:ind w:firstLine="420" w:firstLineChars="200"/>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公司科技创新具体项目工作均采用太钢集团BES科技系统创新平台，由技术质量部归口牵头、跟踪项目进度。</w:t>
            </w:r>
          </w:p>
          <w:p>
            <w:pPr>
              <w:numPr>
                <w:ilvl w:val="0"/>
                <w:numId w:val="0"/>
              </w:numPr>
              <w:ind w:firstLine="420" w:firstLineChars="200"/>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依照集团公司管理文件精神对应建立了13项相关方面的管理流程文件，人力资源部也针对人才建设方面建立了4项管理文件。并动态跟踪集团公司相关管理文件进行同步更新。</w:t>
            </w:r>
          </w:p>
          <w:p>
            <w:pPr>
              <w:widowControl/>
              <w:numPr>
                <w:ilvl w:val="0"/>
                <w:numId w:val="4"/>
              </w:numPr>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参与国家重大科研课题攻关内容。</w:t>
            </w:r>
          </w:p>
          <w:p>
            <w:pPr>
              <w:widowControl/>
              <w:numPr>
                <w:ilvl w:val="0"/>
                <w:numId w:val="0"/>
              </w:numPr>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宁波宝新不锈钢有限公司参与国家重点研发计划2020年度项目“长寿命低成本质子交换膜燃料电池极板专用基材批量化制造技术研发”子项目。</w:t>
            </w:r>
          </w:p>
          <w:p>
            <w:pPr>
              <w:widowControl/>
              <w:numPr>
                <w:ilvl w:val="0"/>
                <w:numId w:val="0"/>
              </w:numPr>
              <w:ind w:left="0" w:leftChars="0" w:firstLine="0" w:firstLineChars="0"/>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kern w:val="0"/>
                <w:szCs w:val="21"/>
                <w:highlight w:val="none"/>
                <w:lang w:val="en-US" w:eastAsia="zh-CN"/>
              </w:rPr>
              <w:t>项目主要进展：通过计算与试验的方法，完成新型超级铁素体不锈钢的合金设计和工艺设计，开发了免涂层不锈钢极板基材性能评价装置，研制了新型免涂层不锈钢极板专用基材。经过试验测试评价，材料的耐蚀性能比较高，表面接触电阻比较小，可以达到指标要求，力学和冲压性能可以满足简单结构双极板的成形要求。申请发明专利1件： 一种燃料电池双极板用不锈钢及其制备方法。项目已经在2023年11月份结题，后续会进行项目专项审计和结题评审工作。</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创新平台</w:t>
            </w:r>
          </w:p>
        </w:tc>
        <w:tc>
          <w:tcPr>
            <w:tcW w:w="6095" w:type="dxa"/>
            <w:tcBorders>
              <w:top w:val="nil"/>
              <w:left w:val="nil"/>
              <w:bottom w:val="single" w:color="auto" w:sz="4" w:space="0"/>
              <w:right w:val="single" w:color="auto" w:sz="4" w:space="0"/>
            </w:tcBorders>
            <w:vAlign w:val="center"/>
          </w:tcPr>
          <w:p>
            <w:pPr>
              <w:widowControl/>
              <w:numPr>
                <w:ilvl w:val="0"/>
                <w:numId w:val="5"/>
              </w:numPr>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科技投入额；</w:t>
            </w:r>
          </w:p>
          <w:p>
            <w:pPr>
              <w:widowControl/>
              <w:numPr>
                <w:ilvl w:val="0"/>
                <w:numId w:val="0"/>
              </w:numPr>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 xml:space="preserve">    2023年研发经费投入共计309258037元，研发投入强度为3.69%。</w:t>
            </w:r>
          </w:p>
          <w:p>
            <w:pPr>
              <w:widowControl/>
              <w:numPr>
                <w:ilvl w:val="0"/>
                <w:numId w:val="5"/>
              </w:numPr>
              <w:ind w:left="0" w:leftChars="0" w:firstLine="0" w:firstLineChars="0"/>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省部级以上科研成果数；</w:t>
            </w:r>
          </w:p>
          <w:p>
            <w:pPr>
              <w:widowControl/>
              <w:numPr>
                <w:ilvl w:val="0"/>
                <w:numId w:val="0"/>
              </w:numPr>
              <w:ind w:leftChars="0"/>
              <w:jc w:val="left"/>
              <w:rPr>
                <w:rFonts w:hint="eastAsia" w:ascii="仿宋_GB2312" w:hAnsi="仿宋_GB2312" w:eastAsia="仿宋_GB2312" w:cs="仿宋_GB2312"/>
                <w:kern w:val="0"/>
                <w:szCs w:val="21"/>
                <w:highlight w:val="none"/>
                <w:lang w:val="en-US" w:eastAsia="zh-CN"/>
              </w:rPr>
            </w:pPr>
            <w:r>
              <w:rPr>
                <w:rFonts w:hint="eastAsia" w:ascii="仿宋_GB2312" w:hAnsi="仿宋_GB2312" w:eastAsia="仿宋_GB2312" w:cs="仿宋_GB2312"/>
                <w:kern w:val="0"/>
                <w:szCs w:val="21"/>
                <w:highlight w:val="none"/>
                <w:lang w:val="en-US" w:eastAsia="zh-CN"/>
              </w:rPr>
              <w:t xml:space="preserve">   《宝新不锈钢冷轧数字钢卷系统》获得2022年太钢科技技术奖三等奖；《高耐蚀汽车亮条用铁素体不锈钢研制》获得2022年太钢科技技术奖三等奖；《基于国六法规的排气热端用耐热不锈钢产品研发及应用》获得2022年宝武技术创新重大成果奖三等奖。</w:t>
            </w:r>
          </w:p>
          <w:p>
            <w:pPr>
              <w:widowControl/>
              <w:numPr>
                <w:ilvl w:val="0"/>
                <w:numId w:val="5"/>
              </w:numPr>
              <w:ind w:left="0" w:leftChars="0" w:firstLine="0" w:firstLineChars="0"/>
              <w:jc w:val="left"/>
              <w:rPr>
                <w:rFonts w:hint="eastAsia" w:ascii="仿宋_GB2312" w:hAnsi="仿宋_GB2312" w:eastAsia="仿宋_GB2312" w:cs="仿宋_GB2312"/>
                <w:kern w:val="0"/>
                <w:szCs w:val="21"/>
                <w:highlight w:val="none"/>
              </w:rPr>
            </w:pPr>
            <w:r>
              <w:rPr>
                <w:rFonts w:hint="eastAsia" w:ascii="仿宋_GB2312" w:hAnsi="仿宋_GB2312" w:eastAsia="仿宋_GB2312" w:cs="仿宋_GB2312"/>
                <w:kern w:val="0"/>
                <w:szCs w:val="21"/>
                <w:highlight w:val="none"/>
              </w:rPr>
              <w:t>申请专利数；</w:t>
            </w:r>
          </w:p>
          <w:p>
            <w:pPr>
              <w:widowControl/>
              <w:numPr>
                <w:ilvl w:val="0"/>
                <w:numId w:val="0"/>
              </w:numPr>
              <w:ind w:firstLine="420" w:firstLineChars="200"/>
              <w:jc w:val="left"/>
              <w:rPr>
                <w:rFonts w:hint="eastAsia" w:ascii="仿宋_GB2312" w:hAnsi="仿宋_GB2312" w:eastAsia="仿宋_GB2312" w:cs="仿宋_GB2312"/>
                <w:kern w:val="0"/>
                <w:szCs w:val="21"/>
                <w:highlight w:val="none"/>
                <w:lang w:val="en-US"/>
              </w:rPr>
            </w:pPr>
            <w:r>
              <w:rPr>
                <w:rFonts w:hint="eastAsia" w:ascii="仿宋_GB2312" w:hAnsi="仿宋_GB2312" w:eastAsia="仿宋_GB2312" w:cs="仿宋_GB2312"/>
                <w:kern w:val="0"/>
                <w:szCs w:val="21"/>
                <w:highlight w:val="none"/>
                <w:lang w:val="en-US" w:eastAsia="zh-CN"/>
              </w:rPr>
              <w:t>2023年累计申请专利数13项，其中发明专利10项。</w:t>
            </w:r>
          </w:p>
          <w:p>
            <w:pPr>
              <w:widowControl/>
              <w:numPr>
                <w:ilvl w:val="0"/>
                <w:numId w:val="5"/>
              </w:numPr>
              <w:ind w:left="0" w:leftChars="0" w:firstLine="0" w:firstLineChars="0"/>
              <w:jc w:val="left"/>
              <w:rPr>
                <w:rFonts w:hint="eastAsia" w:ascii="仿宋_GB2312" w:hAnsi="仿宋_GB2312" w:eastAsia="仿宋_GB2312" w:cs="仿宋_GB2312"/>
                <w:kern w:val="0"/>
                <w:szCs w:val="21"/>
                <w:highlight w:val="none"/>
                <w:lang w:eastAsia="zh-CN"/>
              </w:rPr>
            </w:pPr>
            <w:r>
              <w:rPr>
                <w:rFonts w:hint="eastAsia" w:ascii="仿宋_GB2312" w:hAnsi="仿宋_GB2312" w:eastAsia="仿宋_GB2312" w:cs="仿宋_GB2312"/>
                <w:kern w:val="0"/>
                <w:szCs w:val="21"/>
                <w:highlight w:val="none"/>
              </w:rPr>
              <w:t>获得授权专利数。</w:t>
            </w:r>
          </w:p>
          <w:p>
            <w:pPr>
              <w:widowControl/>
              <w:numPr>
                <w:ilvl w:val="0"/>
                <w:numId w:val="0"/>
              </w:numPr>
              <w:ind w:left="0" w:leftChars="0" w:firstLine="420" w:firstLineChars="200"/>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kern w:val="0"/>
                <w:szCs w:val="21"/>
                <w:highlight w:val="none"/>
                <w:lang w:val="en-US" w:eastAsia="zh-CN"/>
              </w:rPr>
              <w:t>2023年累计获得授权专利数4项，其中发明专利2项。</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（四）</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环境责任</w:t>
            </w:r>
          </w:p>
        </w:tc>
        <w:tc>
          <w:tcPr>
            <w:tcW w:w="155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管理体系</w:t>
            </w:r>
          </w:p>
        </w:tc>
        <w:tc>
          <w:tcPr>
            <w:tcW w:w="6095" w:type="dxa"/>
            <w:tcBorders>
              <w:top w:val="single" w:color="auto" w:sz="4" w:space="0"/>
              <w:left w:val="nil"/>
              <w:bottom w:val="single" w:color="auto" w:sz="4" w:space="0"/>
              <w:right w:val="single" w:color="auto" w:sz="4" w:space="0"/>
            </w:tcBorders>
            <w:vAlign w:val="center"/>
          </w:tcPr>
          <w:p>
            <w:pPr>
              <w:widowControl/>
              <w:numPr>
                <w:ilvl w:val="0"/>
                <w:numId w:val="6"/>
              </w:numPr>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环境管理体系运行、审核、认证情况；</w:t>
            </w:r>
          </w:p>
          <w:p>
            <w:pPr>
              <w:widowControl/>
              <w:numPr>
                <w:ilvl w:val="0"/>
                <w:numId w:val="0"/>
              </w:numPr>
              <w:jc w:val="left"/>
              <w:rPr>
                <w:rFonts w:hint="eastAsia"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2023年开展环境体系内审、外审，对发现的问题均完成整改，公司环境体系运行合规、有效，体系证书持续有效。</w:t>
            </w:r>
          </w:p>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2、环境影响评价制度执行率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保护环境</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1、节能（节水）环保新工艺新技术新装备展示推广、宣传教育活动的次数、内容和参与人数</w:t>
            </w:r>
            <w:r>
              <w:rPr>
                <w:rFonts w:hint="eastAsia" w:ascii="仿宋_GB2312" w:hAnsi="仿宋_GB2312" w:eastAsia="仿宋_GB2312" w:cs="仿宋_GB2312"/>
                <w:color w:val="auto"/>
                <w:kern w:val="0"/>
                <w:szCs w:val="21"/>
                <w:lang w:eastAsia="zh-CN"/>
              </w:rPr>
              <w:t>：</w:t>
            </w:r>
            <w:r>
              <w:rPr>
                <w:rFonts w:hint="eastAsia" w:ascii="仿宋_GB2312" w:hAnsi="仿宋_GB2312" w:eastAsia="仿宋_GB2312" w:cs="仿宋_GB2312"/>
                <w:color w:val="auto"/>
                <w:kern w:val="0"/>
                <w:sz w:val="21"/>
                <w:szCs w:val="21"/>
                <w:lang w:val="en-US" w:eastAsia="zh-CN"/>
              </w:rPr>
              <w:t>开展了2023年“六五环境日”、“节能宣传周”、“低碳日”相关活动，主要内容为</w:t>
            </w:r>
            <w:r>
              <w:rPr>
                <w:rFonts w:hint="eastAsia" w:ascii="仿宋_GB2312" w:hAnsi="仿宋_GB2312" w:eastAsia="仿宋_GB2312" w:cs="仿宋_GB2312"/>
                <w:color w:val="auto"/>
                <w:sz w:val="21"/>
                <w:szCs w:val="21"/>
                <w:lang w:val="en-US" w:eastAsia="zh-CN"/>
              </w:rPr>
              <w:t>“6.5”环境日、节能宣传周、低碳日悬挂主题宣传画、宣传横幅等；开展优秀节能低碳案例，环保先进团队、个人评选；开展现场及办公楼环保节能低碳问题自查自纠；开展绿色低碳节能环保知识、典型案例培训；开展环境污染应急预案演练等</w:t>
            </w:r>
            <w:r>
              <w:rPr>
                <w:rFonts w:hint="eastAsia" w:ascii="仿宋_GB2312" w:hAnsi="仿宋_GB2312" w:eastAsia="仿宋_GB2312" w:cs="仿宋_GB2312"/>
                <w:color w:val="auto"/>
                <w:kern w:val="0"/>
                <w:sz w:val="21"/>
                <w:szCs w:val="21"/>
              </w:rPr>
              <w:t>；2、环境公益活动开展情况。</w:t>
            </w:r>
            <w:r>
              <w:rPr>
                <w:rFonts w:hint="eastAsia" w:ascii="仿宋_GB2312" w:hAnsi="仿宋_GB2312" w:eastAsia="仿宋_GB2312" w:cs="仿宋_GB2312"/>
                <w:color w:val="auto"/>
                <w:sz w:val="21"/>
                <w:szCs w:val="21"/>
                <w:lang w:val="en-US" w:eastAsia="zh-CN"/>
              </w:rPr>
              <w:t>在公司门口、食堂以悬挂宣传牌、发放环保手册等形式开展“五水共治、蓝天保卫战、无废城市建设、减污降碳、美丽城镇（美丽乡村建设）”宣传活动，提升公司减污降碳氛围</w:t>
            </w:r>
            <w:r>
              <w:rPr>
                <w:rFonts w:hint="eastAsia" w:ascii="仿宋_GB2312" w:hAnsi="仿宋_GB2312" w:eastAsia="仿宋_GB2312" w:cs="仿宋_GB2312"/>
                <w:color w:val="auto"/>
                <w:kern w:val="2"/>
                <w:sz w:val="21"/>
                <w:szCs w:val="21"/>
                <w:lang w:val="en-US" w:eastAsia="zh-CN" w:bidi="ar-SA"/>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诚信环保</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1、发布相关环境信息情况。</w:t>
            </w:r>
            <w:r>
              <w:rPr>
                <w:rFonts w:hint="eastAsia" w:ascii="仿宋_GB2312" w:hAnsi="仿宋_GB2312" w:eastAsia="仿宋_GB2312" w:cs="仿宋_GB2312"/>
                <w:color w:val="auto"/>
                <w:kern w:val="0"/>
                <w:szCs w:val="21"/>
                <w:lang w:val="en-US" w:eastAsia="zh-CN"/>
              </w:rPr>
              <w:t>完成2022年公司环境信息依法披露；完成2022年公司土壤和地下水自行监测报告公开；完成公司2023年污染源监测数据公开等。</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副产品资源化</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1、固体废物综合利用率</w:t>
            </w:r>
            <w:r>
              <w:rPr>
                <w:rFonts w:hint="eastAsia" w:ascii="仿宋_GB2312" w:hAnsi="仿宋_GB2312" w:eastAsia="仿宋_GB2312" w:cs="仿宋_GB2312"/>
                <w:color w:val="auto"/>
                <w:kern w:val="0"/>
                <w:szCs w:val="21"/>
                <w:lang w:val="en-US" w:eastAsia="zh-CN"/>
              </w:rPr>
              <w:t>99.44%</w:t>
            </w:r>
            <w:r>
              <w:rPr>
                <w:rFonts w:hint="eastAsia" w:ascii="仿宋_GB2312" w:hAnsi="仿宋_GB2312" w:eastAsia="仿宋_GB2312" w:cs="仿宋_GB2312"/>
                <w:color w:val="auto"/>
                <w:kern w:val="0"/>
                <w:szCs w:val="21"/>
              </w:rPr>
              <w:t>；2、返回生产利用率</w:t>
            </w:r>
            <w:r>
              <w:rPr>
                <w:rFonts w:hint="eastAsia" w:ascii="仿宋_GB2312" w:hAnsi="仿宋_GB2312" w:eastAsia="仿宋_GB2312" w:cs="仿宋_GB2312"/>
                <w:color w:val="auto"/>
                <w:kern w:val="0"/>
                <w:szCs w:val="21"/>
                <w:lang w:val="en-US" w:eastAsia="zh-CN"/>
              </w:rPr>
              <w:t>26.24%</w:t>
            </w:r>
            <w:r>
              <w:rPr>
                <w:rFonts w:hint="eastAsia" w:ascii="仿宋_GB2312" w:hAnsi="仿宋_GB2312" w:eastAsia="仿宋_GB2312" w:cs="仿宋_GB2312"/>
                <w:color w:val="auto"/>
                <w:kern w:val="0"/>
                <w:szCs w:val="21"/>
              </w:rPr>
              <w:t>；                                                       3、危险废物安全处置率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环境指标</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1、吨钢综合能耗</w:t>
            </w:r>
            <w:r>
              <w:rPr>
                <w:rFonts w:hint="eastAsia" w:ascii="仿宋_GB2312" w:hAnsi="仿宋_GB2312" w:eastAsia="仿宋_GB2312" w:cs="仿宋_GB2312"/>
                <w:color w:val="auto"/>
                <w:kern w:val="0"/>
                <w:szCs w:val="21"/>
                <w:lang w:val="en-US" w:eastAsia="zh-CN"/>
              </w:rPr>
              <w:t>146.04公斤标煤</w:t>
            </w:r>
            <w:r>
              <w:rPr>
                <w:rFonts w:hint="eastAsia" w:ascii="仿宋_GB2312" w:hAnsi="仿宋_GB2312" w:eastAsia="仿宋_GB2312" w:cs="仿宋_GB2312"/>
                <w:color w:val="auto"/>
                <w:kern w:val="0"/>
                <w:szCs w:val="21"/>
              </w:rPr>
              <w:t>；2、吨</w:t>
            </w:r>
            <w:r>
              <w:rPr>
                <w:rFonts w:hint="eastAsia" w:ascii="仿宋_GB2312" w:hAnsi="仿宋_GB2312" w:eastAsia="仿宋_GB2312" w:cs="仿宋_GB2312"/>
                <w:color w:val="auto"/>
                <w:kern w:val="0"/>
                <w:szCs w:val="21"/>
                <w:lang w:val="en-US" w:eastAsia="zh-CN"/>
              </w:rPr>
              <w:t>产品</w:t>
            </w:r>
            <w:r>
              <w:rPr>
                <w:rFonts w:hint="eastAsia" w:ascii="仿宋_GB2312" w:hAnsi="仿宋_GB2312" w:eastAsia="仿宋_GB2312" w:cs="仿宋_GB2312"/>
                <w:color w:val="auto"/>
                <w:kern w:val="0"/>
                <w:szCs w:val="21"/>
              </w:rPr>
              <w:t>钢新水消耗</w:t>
            </w:r>
            <w:r>
              <w:rPr>
                <w:rFonts w:hint="eastAsia" w:ascii="仿宋_GB2312" w:hAnsi="仿宋_GB2312" w:eastAsia="仿宋_GB2312" w:cs="仿宋_GB2312"/>
                <w:color w:val="auto"/>
                <w:kern w:val="0"/>
                <w:szCs w:val="21"/>
                <w:lang w:val="en-US" w:eastAsia="zh-CN"/>
              </w:rPr>
              <w:t>2.1立方/吨</w:t>
            </w:r>
            <w:r>
              <w:rPr>
                <w:rFonts w:hint="eastAsia" w:ascii="仿宋_GB2312" w:hAnsi="仿宋_GB2312" w:eastAsia="仿宋_GB2312" w:cs="仿宋_GB2312"/>
                <w:color w:val="auto"/>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ascii="仿宋_GB2312" w:eastAsia="仿宋_GB2312" w:cs="宋体"/>
                <w:b/>
                <w:bCs/>
                <w:kern w:val="0"/>
                <w:szCs w:val="21"/>
              </w:rPr>
            </w:pPr>
            <w:r>
              <w:rPr>
                <w:rFonts w:hint="eastAsia" w:ascii="仿宋_GB2312" w:hAnsi="宋体" w:eastAsia="仿宋_GB2312" w:cs="宋体"/>
                <w:b/>
                <w:bCs/>
                <w:kern w:val="0"/>
                <w:szCs w:val="21"/>
              </w:rPr>
              <w:t>园林工厂建设</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1、绿化覆盖率</w:t>
            </w:r>
            <w:r>
              <w:rPr>
                <w:rFonts w:hint="eastAsia" w:ascii="仿宋_GB2312" w:hAnsi="仿宋_GB2312" w:eastAsia="仿宋_GB2312" w:cs="仿宋_GB2312"/>
                <w:color w:val="auto"/>
                <w:kern w:val="0"/>
                <w:szCs w:val="21"/>
                <w:lang w:val="en-US" w:eastAsia="zh-CN"/>
              </w:rPr>
              <w:t>47.2%</w:t>
            </w:r>
            <w:r>
              <w:rPr>
                <w:rFonts w:hint="eastAsia" w:ascii="仿宋_GB2312" w:hAnsi="仿宋_GB2312" w:eastAsia="仿宋_GB2312" w:cs="仿宋_GB2312"/>
                <w:color w:val="auto"/>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（五）</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社会责任</w:t>
            </w:r>
          </w:p>
        </w:tc>
        <w:tc>
          <w:tcPr>
            <w:tcW w:w="155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职工权益保障</w:t>
            </w:r>
          </w:p>
        </w:tc>
        <w:tc>
          <w:tcPr>
            <w:tcW w:w="6095" w:type="dxa"/>
            <w:tcBorders>
              <w:top w:val="single" w:color="auto" w:sz="4" w:space="0"/>
              <w:left w:val="nil"/>
              <w:bottom w:val="single" w:color="auto" w:sz="4" w:space="0"/>
              <w:right w:val="single" w:color="auto" w:sz="4" w:space="0"/>
            </w:tcBorders>
            <w:vAlign w:val="center"/>
          </w:tcPr>
          <w:p>
            <w:pPr>
              <w:numPr>
                <w:ilvl w:val="0"/>
                <w:numId w:val="0"/>
              </w:numPr>
              <w:spacing w:line="240" w:lineRule="auto"/>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w:t>
            </w:r>
            <w:r>
              <w:rPr>
                <w:rFonts w:hint="eastAsia" w:ascii="仿宋_GB2312" w:hAnsi="仿宋_GB2312" w:eastAsia="仿宋_GB2312" w:cs="仿宋_GB2312"/>
                <w:kern w:val="0"/>
                <w:sz w:val="21"/>
                <w:szCs w:val="21"/>
                <w:lang w:val="en-US" w:eastAsia="zh-CN"/>
              </w:rPr>
              <w:t>召开职代会、厂务公开报告会</w:t>
            </w:r>
            <w:r>
              <w:rPr>
                <w:rFonts w:hint="eastAsia" w:ascii="仿宋_GB2312" w:hAnsi="仿宋_GB2312" w:eastAsia="仿宋_GB2312" w:cs="仿宋_GB2312"/>
                <w:kern w:val="0"/>
                <w:sz w:val="21"/>
                <w:szCs w:val="21"/>
              </w:rPr>
              <w:t>；2、公司与员工劳动合同签约率</w:t>
            </w:r>
            <w:r>
              <w:rPr>
                <w:rFonts w:hint="eastAsia" w:ascii="仿宋_GB2312" w:hAnsi="仿宋_GB2312" w:eastAsia="仿宋_GB2312" w:cs="仿宋_GB2312"/>
                <w:kern w:val="0"/>
                <w:sz w:val="21"/>
                <w:szCs w:val="21"/>
                <w:lang w:val="en-US" w:eastAsia="zh-CN"/>
              </w:rPr>
              <w:t>100%</w:t>
            </w:r>
            <w:r>
              <w:rPr>
                <w:rFonts w:hint="eastAsia" w:ascii="仿宋_GB2312" w:hAnsi="仿宋_GB2312" w:eastAsia="仿宋_GB2312" w:cs="仿宋_GB2312"/>
                <w:kern w:val="0"/>
                <w:sz w:val="21"/>
                <w:szCs w:val="21"/>
              </w:rPr>
              <w:t>；3、</w:t>
            </w:r>
            <w:r>
              <w:rPr>
                <w:rFonts w:hint="eastAsia" w:ascii="仿宋_GB2312" w:hAnsi="仿宋_GB2312" w:eastAsia="仿宋_GB2312" w:cs="仿宋_GB2312"/>
                <w:kern w:val="0"/>
                <w:sz w:val="21"/>
                <w:szCs w:val="21"/>
                <w:lang w:val="en-US" w:eastAsia="zh-CN"/>
              </w:rPr>
              <w:t>维护</w:t>
            </w:r>
            <w:r>
              <w:rPr>
                <w:rFonts w:hint="eastAsia" w:ascii="仿宋_GB2312" w:hAnsi="仿宋_GB2312" w:eastAsia="仿宋_GB2312" w:cs="仿宋_GB2312"/>
                <w:kern w:val="0"/>
                <w:sz w:val="21"/>
                <w:szCs w:val="21"/>
              </w:rPr>
              <w:t>女职工</w:t>
            </w:r>
            <w:r>
              <w:rPr>
                <w:rFonts w:hint="eastAsia" w:ascii="仿宋_GB2312" w:hAnsi="仿宋_GB2312" w:eastAsia="仿宋_GB2312" w:cs="仿宋_GB2312"/>
                <w:kern w:val="0"/>
                <w:sz w:val="21"/>
                <w:szCs w:val="21"/>
                <w:lang w:val="en-US" w:eastAsia="zh-CN"/>
              </w:rPr>
              <w:t>合法权益，</w:t>
            </w:r>
            <w:r>
              <w:rPr>
                <w:rFonts w:hint="eastAsia" w:ascii="仿宋_GB2312" w:hAnsi="仿宋_GB2312" w:eastAsia="仿宋_GB2312" w:cs="仿宋_GB2312"/>
                <w:b w:val="0"/>
                <w:bCs w:val="0"/>
                <w:i w:val="0"/>
                <w:iCs w:val="0"/>
                <w:color w:val="000000" w:themeColor="text1"/>
                <w:sz w:val="21"/>
                <w:szCs w:val="21"/>
                <w:lang w:val="en-US" w:eastAsia="zh-CN"/>
                <w14:textFill>
                  <w14:solidFill>
                    <w14:schemeClr w14:val="tx1"/>
                  </w14:solidFill>
                </w14:textFill>
              </w:rPr>
              <w:t>号召女职工积极投身“全面对标找差，创建世界一流”主战场，女职工主导的降本增效项目为公司创效500余万，在新时代的舞台上展现“巾幗不让须眉”。</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全员健身活动</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1、开展</w:t>
            </w:r>
            <w:r>
              <w:rPr>
                <w:rFonts w:hint="eastAsia" w:ascii="仿宋_GB2312" w:hAnsi="仿宋_GB2312" w:eastAsia="仿宋_GB2312" w:cs="仿宋_GB2312"/>
                <w:kern w:val="0"/>
                <w:szCs w:val="21"/>
                <w:lang w:val="en-US" w:eastAsia="zh-CN"/>
              </w:rPr>
              <w:t>趣味运动会1次、迎新跑步1</w:t>
            </w:r>
            <w:r>
              <w:rPr>
                <w:rFonts w:hint="eastAsia" w:ascii="仿宋_GB2312" w:hAnsi="仿宋_GB2312" w:eastAsia="仿宋_GB2312" w:cs="仿宋_GB2312"/>
                <w:kern w:val="0"/>
                <w:szCs w:val="21"/>
              </w:rPr>
              <w:t>次；2、参与活动</w:t>
            </w:r>
            <w:r>
              <w:rPr>
                <w:rFonts w:hint="eastAsia" w:ascii="仿宋_GB2312" w:hAnsi="仿宋_GB2312" w:eastAsia="仿宋_GB2312" w:cs="仿宋_GB2312"/>
                <w:kern w:val="0"/>
                <w:szCs w:val="21"/>
                <w:lang w:val="en-US" w:eastAsia="zh-CN"/>
              </w:rPr>
              <w:t>752人</w:t>
            </w:r>
            <w:r>
              <w:rPr>
                <w:rFonts w:hint="eastAsia" w:ascii="仿宋_GB2312" w:hAnsi="仿宋_GB2312" w:eastAsia="仿宋_GB2312" w:cs="仿宋_GB2312"/>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客户服务管理</w:t>
            </w:r>
          </w:p>
        </w:tc>
        <w:tc>
          <w:tcPr>
            <w:tcW w:w="6095" w:type="dxa"/>
            <w:tcBorders>
              <w:top w:val="nil"/>
              <w:left w:val="nil"/>
              <w:bottom w:val="single" w:color="auto" w:sz="4" w:space="0"/>
              <w:right w:val="single" w:color="auto" w:sz="4" w:space="0"/>
            </w:tcBorders>
            <w:vAlign w:val="center"/>
          </w:tcPr>
          <w:p>
            <w:pPr>
              <w:widowControl/>
              <w:numPr>
                <w:ilvl w:val="0"/>
                <w:numId w:val="0"/>
              </w:num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lang w:val="en-US" w:eastAsia="zh-CN"/>
              </w:rPr>
              <w:t>1、</w:t>
            </w:r>
            <w:r>
              <w:rPr>
                <w:rFonts w:hint="eastAsia" w:ascii="仿宋_GB2312" w:hAnsi="仿宋_GB2312" w:eastAsia="仿宋_GB2312" w:cs="仿宋_GB2312"/>
                <w:kern w:val="0"/>
                <w:szCs w:val="21"/>
              </w:rPr>
              <w:t>2023年全年累计（含平台），战略、重要客户走访达标率100%，核心经销商走访达标率100%。</w:t>
            </w:r>
          </w:p>
          <w:p>
            <w:pPr>
              <w:widowControl/>
              <w:numPr>
                <w:ilvl w:val="0"/>
                <w:numId w:val="7"/>
              </w:num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宝新全年业务走访257家次，其中技术服务123次，为美的、博西华、海尔、杭州华顺等战略重要客户组织技术培训。</w:t>
            </w: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全年客户满意度90分，同比去年提升1.4分，处于非常满意水平。</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供应商关系</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color w:val="auto"/>
                <w:kern w:val="0"/>
                <w:szCs w:val="21"/>
              </w:rPr>
              <w:t>1、网上招标采购率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；2、设备采购合同履约率</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；3、责任采购比重</w:t>
            </w:r>
            <w:r>
              <w:rPr>
                <w:rFonts w:hint="eastAsia" w:ascii="仿宋_GB2312" w:hAnsi="仿宋_GB2312" w:eastAsia="仿宋_GB2312" w:cs="仿宋_GB2312"/>
                <w:color w:val="auto"/>
                <w:kern w:val="0"/>
                <w:szCs w:val="21"/>
                <w:lang w:val="en-US" w:eastAsia="zh-CN"/>
              </w:rPr>
              <w:t>100%</w:t>
            </w:r>
            <w:r>
              <w:rPr>
                <w:rFonts w:hint="eastAsia" w:ascii="仿宋_GB2312" w:hAnsi="仿宋_GB2312" w:eastAsia="仿宋_GB2312" w:cs="仿宋_GB2312"/>
                <w:color w:val="auto"/>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社区共建</w:t>
            </w:r>
          </w:p>
        </w:tc>
        <w:tc>
          <w:tcPr>
            <w:tcW w:w="6095" w:type="dxa"/>
            <w:tcBorders>
              <w:top w:val="nil"/>
              <w:left w:val="nil"/>
              <w:bottom w:val="single" w:color="auto" w:sz="4" w:space="0"/>
              <w:right w:val="single" w:color="auto" w:sz="4" w:space="0"/>
            </w:tcBorders>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1、服务社区</w:t>
            </w:r>
            <w:r>
              <w:rPr>
                <w:rFonts w:hint="eastAsia" w:ascii="仿宋_GB2312" w:hAnsi="仿宋_GB2312" w:eastAsia="仿宋_GB2312" w:cs="仿宋_GB2312"/>
                <w:kern w:val="0"/>
                <w:szCs w:val="21"/>
                <w:lang w:val="en-US" w:eastAsia="zh-CN"/>
              </w:rPr>
              <w:t>2次</w:t>
            </w:r>
            <w:r>
              <w:rPr>
                <w:rFonts w:hint="eastAsia" w:ascii="仿宋_GB2312" w:hAnsi="仿宋_GB2312" w:eastAsia="仿宋_GB2312" w:cs="仿宋_GB2312"/>
                <w:kern w:val="0"/>
                <w:szCs w:val="21"/>
              </w:rPr>
              <w:t>；2、组织社区文艺演出</w:t>
            </w:r>
            <w:r>
              <w:rPr>
                <w:rFonts w:hint="eastAsia" w:ascii="仿宋_GB2312" w:hAnsi="仿宋_GB2312" w:eastAsia="仿宋_GB2312" w:cs="仿宋_GB2312"/>
                <w:kern w:val="0"/>
                <w:szCs w:val="21"/>
                <w:lang w:val="en-US" w:eastAsia="zh-CN"/>
              </w:rPr>
              <w:t>1次</w:t>
            </w:r>
            <w:r>
              <w:rPr>
                <w:rFonts w:hint="eastAsia" w:ascii="仿宋_GB2312" w:hAnsi="仿宋_GB2312" w:eastAsia="仿宋_GB2312" w:cs="仿宋_GB2312"/>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s="宋体"/>
                <w:b/>
                <w:bCs/>
                <w:kern w:val="0"/>
                <w:szCs w:val="21"/>
              </w:rPr>
            </w:pPr>
          </w:p>
        </w:tc>
        <w:tc>
          <w:tcPr>
            <w:tcW w:w="1559" w:type="dxa"/>
            <w:tcBorders>
              <w:top w:val="single" w:color="auto" w:sz="4" w:space="0"/>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公益捐赠</w:t>
            </w:r>
          </w:p>
        </w:tc>
        <w:tc>
          <w:tcPr>
            <w:tcW w:w="6095" w:type="dxa"/>
            <w:tcBorders>
              <w:top w:val="single" w:color="auto" w:sz="4" w:space="0"/>
              <w:left w:val="nil"/>
              <w:bottom w:val="single" w:color="auto" w:sz="4" w:space="0"/>
              <w:right w:val="single" w:color="auto" w:sz="4" w:space="0"/>
            </w:tcBorders>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1、企业公益额及占税前利润的比例</w:t>
            </w:r>
            <w:r>
              <w:rPr>
                <w:rFonts w:hint="eastAsia" w:ascii="仿宋_GB2312" w:hAnsi="仿宋_GB2312" w:eastAsia="仿宋_GB2312" w:cs="仿宋_GB2312"/>
                <w:kern w:val="0"/>
                <w:szCs w:val="21"/>
                <w:lang w:val="en-US" w:eastAsia="zh-CN"/>
              </w:rPr>
              <w:t>无</w:t>
            </w:r>
            <w:r>
              <w:rPr>
                <w:rFonts w:hint="eastAsia" w:ascii="仿宋_GB2312" w:hAnsi="仿宋_GB2312" w:eastAsia="仿宋_GB2312" w:cs="仿宋_GB2312"/>
                <w:kern w:val="0"/>
                <w:szCs w:val="21"/>
              </w:rPr>
              <w:t>；2、员工捐赠额及占税前利润的比例</w:t>
            </w:r>
            <w:r>
              <w:rPr>
                <w:rFonts w:hint="eastAsia" w:ascii="仿宋_GB2312" w:hAnsi="仿宋_GB2312" w:eastAsia="仿宋_GB2312" w:cs="仿宋_GB2312"/>
                <w:kern w:val="0"/>
                <w:szCs w:val="21"/>
                <w:lang w:val="en-US" w:eastAsia="zh-CN"/>
              </w:rPr>
              <w:t>无</w:t>
            </w:r>
            <w:r>
              <w:rPr>
                <w:rFonts w:hint="eastAsia" w:ascii="仿宋_GB2312" w:hAnsi="仿宋_GB2312" w:eastAsia="仿宋_GB2312" w:cs="仿宋_GB2312"/>
                <w:kern w:val="0"/>
                <w:szCs w:val="21"/>
              </w:rPr>
              <w:t>。</w:t>
            </w:r>
          </w:p>
        </w:tc>
      </w:tr>
      <w:tr>
        <w:tblPrEx>
          <w:tblLayout w:type="fixed"/>
          <w:tblCellMar>
            <w:top w:w="0" w:type="dxa"/>
            <w:left w:w="108" w:type="dxa"/>
            <w:bottom w:w="0" w:type="dxa"/>
            <w:right w:w="108" w:type="dxa"/>
          </w:tblCellMar>
        </w:tblPrEx>
        <w:trPr>
          <w:trHeight w:val="624" w:hRule="atLeast"/>
          <w:jc w:val="center"/>
        </w:trPr>
        <w:tc>
          <w:tcPr>
            <w:tcW w:w="1277" w:type="dxa"/>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s="宋体"/>
                <w:b/>
                <w:bCs/>
                <w:kern w:val="0"/>
                <w:szCs w:val="21"/>
              </w:rPr>
            </w:pPr>
            <w:r>
              <w:rPr>
                <w:rFonts w:hint="eastAsia" w:ascii="仿宋_GB2312" w:hAnsi="宋体" w:eastAsia="仿宋_GB2312" w:cs="宋体"/>
                <w:b/>
                <w:bCs/>
                <w:kern w:val="0"/>
                <w:szCs w:val="21"/>
              </w:rPr>
              <w:t>（六）</w:t>
            </w:r>
            <w:r>
              <w:rPr>
                <w:rFonts w:hint="eastAsia" w:ascii="仿宋_GB2312" w:eastAsia="仿宋_GB2312" w:cs="宋体"/>
                <w:b/>
                <w:bCs/>
                <w:kern w:val="0"/>
                <w:szCs w:val="21"/>
              </w:rPr>
              <w:br w:type="textWrapping"/>
            </w:r>
            <w:r>
              <w:rPr>
                <w:rFonts w:hint="eastAsia" w:ascii="仿宋_GB2312" w:hAnsi="宋体" w:eastAsia="仿宋_GB2312" w:cs="宋体"/>
                <w:b/>
                <w:bCs/>
                <w:kern w:val="0"/>
                <w:szCs w:val="21"/>
              </w:rPr>
              <w:t>未来展望</w:t>
            </w:r>
          </w:p>
        </w:tc>
        <w:tc>
          <w:tcPr>
            <w:tcW w:w="1559" w:type="dxa"/>
            <w:tcBorders>
              <w:top w:val="nil"/>
              <w:left w:val="nil"/>
              <w:bottom w:val="single" w:color="auto" w:sz="4" w:space="0"/>
              <w:right w:val="single" w:color="auto" w:sz="4" w:space="0"/>
            </w:tcBorders>
            <w:vAlign w:val="center"/>
          </w:tcPr>
          <w:p>
            <w:pPr>
              <w:widowControl/>
              <w:jc w:val="left"/>
              <w:rPr>
                <w:rFonts w:hint="eastAsia" w:ascii="仿宋_GB2312" w:eastAsia="仿宋_GB2312" w:cs="宋体"/>
                <w:b/>
                <w:bCs/>
                <w:kern w:val="0"/>
                <w:szCs w:val="21"/>
                <w:lang w:eastAsia="zh-CN"/>
              </w:rPr>
            </w:pPr>
            <w:r>
              <w:rPr>
                <w:rFonts w:hint="eastAsia" w:ascii="仿宋_GB2312" w:hAnsi="宋体" w:eastAsia="仿宋_GB2312" w:cs="宋体"/>
                <w:b/>
                <w:bCs/>
                <w:kern w:val="0"/>
                <w:szCs w:val="21"/>
              </w:rPr>
              <w:t>战略实施</w:t>
            </w:r>
          </w:p>
        </w:tc>
        <w:tc>
          <w:tcPr>
            <w:tcW w:w="6095" w:type="dxa"/>
            <w:tcBorders>
              <w:top w:val="nil"/>
              <w:left w:val="nil"/>
              <w:bottom w:val="single" w:color="auto" w:sz="4" w:space="0"/>
              <w:right w:val="single" w:color="auto" w:sz="4" w:space="0"/>
            </w:tcBorders>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240" w:lineRule="auto"/>
              <w:ind w:left="0" w:leftChars="0" w:right="0" w:rightChars="0" w:firstLine="0" w:firstLineChars="0"/>
              <w:jc w:val="left"/>
              <w:textAlignment w:val="auto"/>
              <w:outlineLvl w:val="9"/>
              <w:rPr>
                <w:rFonts w:hint="eastAsia" w:ascii="仿宋_GB2312" w:hAnsi="仿宋_GB2312" w:eastAsia="仿宋_GB2312" w:cs="仿宋_GB2312"/>
                <w:b/>
                <w:bCs/>
                <w:color w:val="auto"/>
                <w:sz w:val="21"/>
                <w:szCs w:val="21"/>
                <w:highlight w:val="none"/>
                <w:lang w:eastAsia="zh-CN"/>
              </w:rPr>
            </w:pPr>
            <w:r>
              <w:rPr>
                <w:rFonts w:hint="eastAsia" w:ascii="仿宋_GB2312" w:hAnsi="仿宋_GB2312" w:eastAsia="仿宋_GB2312" w:cs="仿宋_GB2312"/>
                <w:b/>
                <w:bCs/>
                <w:color w:val="auto"/>
                <w:sz w:val="21"/>
                <w:szCs w:val="21"/>
                <w:highlight w:val="none"/>
                <w:lang w:val="en-US" w:eastAsia="zh-CN"/>
              </w:rPr>
              <w:t>一、公司愿景</w:t>
            </w:r>
          </w:p>
          <w:p>
            <w:pPr>
              <w:pStyle w:val="8"/>
              <w:keepNext w:val="0"/>
              <w:keepLines w:val="0"/>
              <w:pageBreakBefore w:val="0"/>
              <w:widowControl w:val="0"/>
              <w:kinsoku/>
              <w:wordWrap/>
              <w:overflowPunct/>
              <w:topLinePunct w:val="0"/>
              <w:autoSpaceDE/>
              <w:autoSpaceDN/>
              <w:bidi w:val="0"/>
              <w:adjustRightInd w:val="0"/>
              <w:snapToGrid/>
              <w:spacing w:before="0" w:beforeLines="0" w:after="0" w:afterLines="0" w:line="240" w:lineRule="auto"/>
              <w:ind w:left="0" w:leftChars="0" w:right="0" w:rightChars="0" w:firstLine="420" w:firstLineChars="200"/>
              <w:jc w:val="left"/>
              <w:textAlignment w:val="auto"/>
              <w:outlineLvl w:val="9"/>
              <w:rPr>
                <w:rFonts w:hint="eastAsia" w:ascii="仿宋_GB2312" w:hAnsi="仿宋_GB2312" w:eastAsia="仿宋_GB2312" w:cs="仿宋_GB2312"/>
                <w:color w:val="auto"/>
                <w:kern w:val="2"/>
                <w:sz w:val="21"/>
                <w:szCs w:val="21"/>
                <w:lang w:val="en-US" w:eastAsia="zh-CN"/>
              </w:rPr>
            </w:pPr>
            <w:r>
              <w:rPr>
                <w:rFonts w:hint="eastAsia" w:ascii="仿宋_GB2312" w:hAnsi="仿宋_GB2312" w:eastAsia="仿宋_GB2312" w:cs="仿宋_GB2312"/>
                <w:color w:val="auto"/>
                <w:kern w:val="2"/>
                <w:sz w:val="21"/>
                <w:szCs w:val="21"/>
                <w:lang w:val="en-US" w:eastAsia="zh-CN"/>
              </w:rPr>
              <w:t>成为全球不锈钢冷轧行业引领者。</w:t>
            </w:r>
          </w:p>
          <w:p>
            <w:pPr>
              <w:keepNext w:val="0"/>
              <w:keepLines w:val="0"/>
              <w:pageBreakBefore w:val="0"/>
              <w:widowControl w:val="0"/>
              <w:kinsoku/>
              <w:wordWrap/>
              <w:overflowPunct/>
              <w:topLinePunct w:val="0"/>
              <w:bidi w:val="0"/>
              <w:adjustRightInd w:val="0"/>
              <w:snapToGrid w:val="0"/>
              <w:spacing w:line="240" w:lineRule="auto"/>
              <w:jc w:val="left"/>
              <w:textAlignment w:val="auto"/>
              <w:rPr>
                <w:rFonts w:hint="eastAsia" w:ascii="仿宋_GB2312" w:hAnsi="仿宋_GB2312" w:eastAsia="仿宋_GB2312" w:cs="仿宋_GB2312"/>
                <w:b/>
                <w:bCs/>
                <w:color w:val="auto"/>
                <w:sz w:val="21"/>
                <w:szCs w:val="21"/>
                <w:highlight w:val="none"/>
                <w:lang w:eastAsia="zh-CN"/>
              </w:rPr>
            </w:pPr>
            <w:r>
              <w:rPr>
                <w:rFonts w:hint="eastAsia" w:ascii="仿宋_GB2312" w:hAnsi="仿宋_GB2312" w:eastAsia="仿宋_GB2312" w:cs="仿宋_GB2312"/>
                <w:b/>
                <w:bCs/>
                <w:color w:val="auto"/>
                <w:sz w:val="21"/>
                <w:szCs w:val="21"/>
                <w:highlight w:val="none"/>
                <w:lang w:val="en-US" w:eastAsia="zh-CN"/>
              </w:rPr>
              <w:t>二、公司使命</w:t>
            </w:r>
          </w:p>
          <w:p>
            <w:pPr>
              <w:keepNext w:val="0"/>
              <w:keepLines w:val="0"/>
              <w:pageBreakBefore w:val="0"/>
              <w:widowControl w:val="0"/>
              <w:kinsoku/>
              <w:wordWrap/>
              <w:overflowPunct/>
              <w:topLinePunct w:val="0"/>
              <w:bidi w:val="0"/>
              <w:adjustRightInd w:val="0"/>
              <w:snapToGrid w:val="0"/>
              <w:spacing w:before="0" w:beforeLines="0" w:after="0" w:afterLines="0" w:line="240" w:lineRule="auto"/>
              <w:ind w:left="0" w:leftChars="0" w:right="0" w:rightChars="0" w:firstLine="0" w:firstLineChars="0"/>
              <w:jc w:val="lef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xml:space="preserve">    宝新不锈，让生活更美好。</w:t>
            </w:r>
          </w:p>
          <w:p>
            <w:pPr>
              <w:keepNext w:val="0"/>
              <w:keepLines w:val="0"/>
              <w:pageBreakBefore w:val="0"/>
              <w:widowControl w:val="0"/>
              <w:kinsoku/>
              <w:wordWrap/>
              <w:overflowPunct/>
              <w:topLinePunct w:val="0"/>
              <w:bidi w:val="0"/>
              <w:adjustRightInd w:val="0"/>
              <w:snapToGrid w:val="0"/>
              <w:spacing w:before="0" w:beforeLines="0" w:after="0" w:afterLines="0" w:line="240" w:lineRule="auto"/>
              <w:ind w:left="0" w:leftChars="0" w:right="0" w:rightChars="0" w:firstLine="0" w:firstLineChars="0"/>
              <w:jc w:val="both"/>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三、战略定位</w:t>
            </w:r>
          </w:p>
          <w:p>
            <w:pPr>
              <w:keepNext w:val="0"/>
              <w:keepLines w:val="0"/>
              <w:pageBreakBefore w:val="0"/>
              <w:widowControl w:val="0"/>
              <w:kinsoku/>
              <w:wordWrap/>
              <w:overflowPunct/>
              <w:topLinePunct w:val="0"/>
              <w:bidi w:val="0"/>
              <w:adjustRightInd w:val="0"/>
              <w:snapToGrid w:val="0"/>
              <w:spacing w:line="240" w:lineRule="auto"/>
              <w:jc w:val="both"/>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b w:val="0"/>
                <w:bCs w:val="0"/>
                <w:color w:val="auto"/>
                <w:sz w:val="21"/>
                <w:szCs w:val="21"/>
                <w:lang w:val="en-US" w:eastAsia="zh-CN"/>
              </w:rPr>
              <w:t xml:space="preserve">   </w:t>
            </w:r>
            <w:r>
              <w:rPr>
                <w:rFonts w:hint="eastAsia"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highlight w:val="none"/>
              </w:rPr>
              <w:t>拥有核心制造技术，具备领先服务能力，成为具有竞争力的世界一流不锈钢冷轧精品智造服务商，成为百亿级营收、十亿级利润的优秀企业。</w:t>
            </w:r>
            <w:r>
              <w:rPr>
                <w:rFonts w:hint="eastAsia" w:ascii="仿宋_GB2312" w:hAnsi="仿宋_GB2312" w:eastAsia="仿宋_GB2312" w:cs="仿宋_GB2312"/>
                <w:color w:val="auto"/>
                <w:sz w:val="21"/>
                <w:szCs w:val="21"/>
              </w:rPr>
              <w:t xml:space="preserve">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240" w:lineRule="auto"/>
              <w:ind w:right="0" w:rightChars="0"/>
              <w:jc w:val="both"/>
              <w:textAlignment w:val="auto"/>
              <w:outlineLvl w:val="9"/>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bCs/>
                <w:color w:val="auto"/>
                <w:sz w:val="21"/>
                <w:szCs w:val="21"/>
                <w:highlight w:val="none"/>
                <w:lang w:val="en-US" w:eastAsia="zh-CN"/>
              </w:rPr>
              <w:t>四、公司总体战略</w:t>
            </w:r>
            <w:r>
              <w:rPr>
                <w:rFonts w:hint="eastAsia" w:ascii="仿宋_GB2312" w:hAnsi="仿宋_GB2312" w:eastAsia="仿宋_GB2312" w:cs="仿宋_GB2312"/>
                <w:color w:val="auto"/>
                <w:sz w:val="21"/>
                <w:szCs w:val="21"/>
                <w:lang w:val="en-US" w:eastAsia="zh-CN"/>
              </w:rPr>
              <w:t xml:space="preserve"> </w:t>
            </w:r>
          </w:p>
          <w:p>
            <w:pPr>
              <w:keepNext w:val="0"/>
              <w:keepLines w:val="0"/>
              <w:pageBreakBefore w:val="0"/>
              <w:widowControl w:val="0"/>
              <w:kinsoku/>
              <w:wordWrap/>
              <w:overflowPunct/>
              <w:topLinePunct w:val="0"/>
              <w:bidi w:val="0"/>
              <w:spacing w:line="240" w:lineRule="auto"/>
              <w:ind w:firstLine="420" w:firstLineChars="200"/>
              <w:jc w:val="both"/>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坚持“薄特精优”</w:t>
            </w:r>
            <w:bookmarkStart w:id="1" w:name="OLE_LINK2"/>
            <w:r>
              <w:rPr>
                <w:rFonts w:hint="eastAsia" w:ascii="仿宋_GB2312" w:hAnsi="仿宋_GB2312" w:eastAsia="仿宋_GB2312" w:cs="仿宋_GB2312"/>
                <w:color w:val="auto"/>
                <w:sz w:val="21"/>
                <w:szCs w:val="21"/>
              </w:rPr>
              <w:t>产品</w:t>
            </w:r>
            <w:r>
              <w:rPr>
                <w:rFonts w:hint="eastAsia" w:ascii="仿宋_GB2312" w:hAnsi="仿宋_GB2312" w:eastAsia="仿宋_GB2312" w:cs="仿宋_GB2312"/>
                <w:color w:val="auto"/>
                <w:sz w:val="21"/>
                <w:szCs w:val="21"/>
                <w:lang w:eastAsia="zh-CN"/>
              </w:rPr>
              <w:t>差异化路线</w:t>
            </w:r>
            <w:bookmarkEnd w:id="1"/>
            <w:r>
              <w:rPr>
                <w:rFonts w:hint="eastAsia" w:ascii="仿宋_GB2312" w:hAnsi="仿宋_GB2312" w:eastAsia="仿宋_GB2312" w:cs="仿宋_GB2312"/>
                <w:color w:val="auto"/>
                <w:sz w:val="21"/>
                <w:szCs w:val="21"/>
              </w:rPr>
              <w:t>，</w:t>
            </w:r>
            <w:r>
              <w:rPr>
                <w:rFonts w:hint="eastAsia" w:ascii="仿宋_GB2312" w:hAnsi="仿宋_GB2312" w:eastAsia="仿宋_GB2312" w:cs="仿宋_GB2312"/>
                <w:color w:val="auto"/>
                <w:sz w:val="21"/>
                <w:szCs w:val="21"/>
                <w:lang w:eastAsia="zh-CN"/>
              </w:rPr>
              <w:t>追求</w:t>
            </w:r>
            <w:r>
              <w:rPr>
                <w:rFonts w:hint="eastAsia" w:ascii="仿宋_GB2312" w:hAnsi="仿宋_GB2312" w:eastAsia="仿宋_GB2312" w:cs="仿宋_GB2312"/>
                <w:color w:val="auto"/>
                <w:sz w:val="21"/>
                <w:szCs w:val="21"/>
              </w:rPr>
              <w:t>“极致效率”，把宝新不锈打造成</w:t>
            </w:r>
            <w:r>
              <w:rPr>
                <w:rFonts w:hint="eastAsia" w:ascii="仿宋_GB2312" w:hAnsi="仿宋_GB2312" w:eastAsia="仿宋_GB2312" w:cs="仿宋_GB2312"/>
                <w:color w:val="auto"/>
                <w:sz w:val="21"/>
                <w:szCs w:val="21"/>
                <w:highlight w:val="none"/>
              </w:rPr>
              <w:t>世界一流</w:t>
            </w:r>
            <w:r>
              <w:rPr>
                <w:rFonts w:hint="eastAsia" w:ascii="仿宋_GB2312" w:hAnsi="仿宋_GB2312" w:eastAsia="仿宋_GB2312" w:cs="仿宋_GB2312"/>
                <w:color w:val="auto"/>
                <w:sz w:val="21"/>
                <w:szCs w:val="21"/>
              </w:rPr>
              <w:t>不锈钢</w:t>
            </w:r>
            <w:r>
              <w:rPr>
                <w:rFonts w:hint="eastAsia" w:ascii="仿宋_GB2312" w:hAnsi="仿宋_GB2312" w:eastAsia="仿宋_GB2312" w:cs="仿宋_GB2312"/>
                <w:color w:val="auto"/>
                <w:sz w:val="21"/>
                <w:szCs w:val="21"/>
                <w:lang w:val="en-US" w:eastAsia="zh-CN"/>
              </w:rPr>
              <w:t>冷轧</w:t>
            </w:r>
            <w:r>
              <w:rPr>
                <w:rFonts w:hint="eastAsia" w:ascii="仿宋_GB2312" w:hAnsi="仿宋_GB2312" w:eastAsia="仿宋_GB2312" w:cs="仿宋_GB2312"/>
                <w:color w:val="auto"/>
                <w:sz w:val="21"/>
                <w:szCs w:val="21"/>
              </w:rPr>
              <w:t>精品</w:t>
            </w:r>
            <w:r>
              <w:rPr>
                <w:rFonts w:hint="eastAsia" w:ascii="仿宋_GB2312" w:hAnsi="仿宋_GB2312" w:eastAsia="仿宋_GB2312" w:cs="仿宋_GB2312"/>
                <w:color w:val="auto"/>
                <w:sz w:val="21"/>
                <w:szCs w:val="21"/>
                <w:lang w:val="en-US" w:eastAsia="zh-CN"/>
              </w:rPr>
              <w:t>智</w:t>
            </w:r>
            <w:r>
              <w:rPr>
                <w:rFonts w:hint="eastAsia" w:ascii="仿宋_GB2312" w:hAnsi="仿宋_GB2312" w:eastAsia="仿宋_GB2312" w:cs="仿宋_GB2312"/>
                <w:color w:val="auto"/>
                <w:sz w:val="21"/>
                <w:szCs w:val="21"/>
              </w:rPr>
              <w:t>造</w:t>
            </w:r>
            <w:r>
              <w:rPr>
                <w:rFonts w:hint="eastAsia" w:ascii="仿宋_GB2312" w:hAnsi="仿宋_GB2312" w:eastAsia="仿宋_GB2312" w:cs="仿宋_GB2312"/>
                <w:color w:val="auto"/>
                <w:sz w:val="21"/>
                <w:szCs w:val="21"/>
                <w:lang w:val="en-US" w:eastAsia="zh-CN"/>
              </w:rPr>
              <w:t>服务</w:t>
            </w:r>
            <w:r>
              <w:rPr>
                <w:rFonts w:hint="eastAsia" w:ascii="仿宋_GB2312" w:hAnsi="仿宋_GB2312" w:eastAsia="仿宋_GB2312" w:cs="仿宋_GB2312"/>
                <w:color w:val="auto"/>
                <w:sz w:val="21"/>
                <w:szCs w:val="21"/>
              </w:rPr>
              <w:t>商</w:t>
            </w:r>
            <w:r>
              <w:rPr>
                <w:rFonts w:hint="eastAsia" w:ascii="仿宋_GB2312" w:hAnsi="仿宋_GB2312" w:eastAsia="仿宋_GB2312" w:cs="仿宋_GB2312"/>
                <w:color w:val="auto"/>
                <w:sz w:val="21"/>
                <w:szCs w:val="21"/>
                <w:lang w:eastAsia="zh-CN"/>
              </w:rPr>
              <w:t>。</w:t>
            </w:r>
          </w:p>
          <w:p>
            <w:pPr>
              <w:keepNext w:val="0"/>
              <w:keepLines w:val="0"/>
              <w:pageBreakBefore w:val="0"/>
              <w:widowControl w:val="0"/>
              <w:kinsoku/>
              <w:wordWrap/>
              <w:overflowPunct/>
              <w:topLinePunct w:val="0"/>
              <w:autoSpaceDE w:val="0"/>
              <w:autoSpaceDN w:val="0"/>
              <w:bidi w:val="0"/>
              <w:spacing w:line="240" w:lineRule="auto"/>
              <w:ind w:firstLine="420" w:firstLineChars="20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color w:val="auto"/>
                <w:sz w:val="21"/>
                <w:szCs w:val="21"/>
                <w:lang w:val="en-US" w:eastAsia="zh-CN"/>
              </w:rPr>
              <w:t>持续技术创新和价值创新，践行绿色生产和智慧生产，成为卓越以恒、增长共赢的不锈钢冷轧行业的引领者。</w:t>
            </w:r>
            <w:r>
              <w:rPr>
                <w:rFonts w:hint="eastAsia" w:ascii="仿宋_GB2312" w:hAnsi="仿宋_GB2312" w:eastAsia="仿宋_GB2312" w:cs="仿宋_GB2312"/>
                <w:b w:val="0"/>
                <w:bCs w:val="0"/>
                <w:color w:val="auto"/>
                <w:sz w:val="21"/>
                <w:szCs w:val="21"/>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240" w:lineRule="auto"/>
              <w:ind w:left="0" w:leftChars="0" w:right="0" w:rightChars="0" w:firstLine="0" w:firstLineChars="0"/>
              <w:jc w:val="both"/>
              <w:textAlignment w:val="auto"/>
              <w:outlineLvl w:val="9"/>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lang w:eastAsia="zh-CN"/>
              </w:rPr>
              <w:t>五、</w:t>
            </w:r>
            <w:r>
              <w:rPr>
                <w:rFonts w:hint="eastAsia" w:ascii="仿宋_GB2312" w:hAnsi="仿宋_GB2312" w:eastAsia="仿宋_GB2312" w:cs="仿宋_GB2312"/>
                <w:b/>
                <w:bCs/>
                <w:color w:val="auto"/>
                <w:sz w:val="21"/>
                <w:szCs w:val="21"/>
              </w:rPr>
              <w:t>重点产品发展战略</w:t>
            </w: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sz w:val="21"/>
                <w:szCs w:val="21"/>
                <w:highlight w:val="none"/>
              </w:rPr>
              <w:t>坚持“</w:t>
            </w:r>
            <w:r>
              <w:rPr>
                <w:rFonts w:hint="eastAsia" w:ascii="仿宋_GB2312" w:hAnsi="仿宋_GB2312" w:eastAsia="仿宋_GB2312" w:cs="仿宋_GB2312"/>
                <w:color w:val="auto"/>
                <w:sz w:val="21"/>
                <w:szCs w:val="21"/>
                <w:lang w:val="en-US" w:eastAsia="zh-CN"/>
              </w:rPr>
              <w:t>薄特精优</w:t>
            </w:r>
            <w:r>
              <w:rPr>
                <w:rFonts w:hint="eastAsia" w:ascii="仿宋_GB2312" w:hAnsi="仿宋_GB2312" w:eastAsia="仿宋_GB2312" w:cs="仿宋_GB2312"/>
                <w:sz w:val="21"/>
                <w:szCs w:val="21"/>
                <w:highlight w:val="none"/>
              </w:rPr>
              <w:t>”</w:t>
            </w:r>
            <w:r>
              <w:rPr>
                <w:rFonts w:hint="eastAsia" w:ascii="仿宋_GB2312" w:hAnsi="仿宋_GB2312" w:eastAsia="仿宋_GB2312" w:cs="仿宋_GB2312"/>
                <w:color w:val="auto"/>
                <w:sz w:val="21"/>
                <w:szCs w:val="21"/>
              </w:rPr>
              <w:t>产品</w:t>
            </w:r>
            <w:r>
              <w:rPr>
                <w:rFonts w:hint="eastAsia" w:ascii="仿宋_GB2312" w:hAnsi="仿宋_GB2312" w:eastAsia="仿宋_GB2312" w:cs="仿宋_GB2312"/>
                <w:color w:val="auto"/>
                <w:sz w:val="21"/>
                <w:szCs w:val="21"/>
                <w:lang w:eastAsia="zh-CN"/>
              </w:rPr>
              <w:t>差异化路线</w:t>
            </w:r>
            <w:r>
              <w:rPr>
                <w:rFonts w:hint="eastAsia" w:ascii="仿宋_GB2312" w:hAnsi="仿宋_GB2312" w:eastAsia="仿宋_GB2312" w:cs="仿宋_GB2312"/>
                <w:sz w:val="21"/>
                <w:szCs w:val="21"/>
                <w:highlight w:val="none"/>
              </w:rPr>
              <w:t>，</w:t>
            </w:r>
            <w:r>
              <w:rPr>
                <w:rFonts w:hint="eastAsia" w:ascii="仿宋_GB2312" w:hAnsi="仿宋_GB2312" w:eastAsia="仿宋_GB2312" w:cs="仿宋_GB2312"/>
                <w:sz w:val="21"/>
                <w:szCs w:val="21"/>
                <w:highlight w:val="none"/>
                <w:lang w:eastAsia="zh-CN"/>
              </w:rPr>
              <w:t>优化产品结构，提升</w:t>
            </w:r>
            <w:r>
              <w:rPr>
                <w:rFonts w:hint="eastAsia" w:ascii="仿宋_GB2312" w:hAnsi="仿宋_GB2312" w:eastAsia="仿宋_GB2312" w:cs="仿宋_GB2312"/>
                <w:sz w:val="21"/>
                <w:szCs w:val="21"/>
                <w:highlight w:val="none"/>
                <w:lang w:val="en-US" w:eastAsia="zh-CN"/>
              </w:rPr>
              <w:t>400系，300系小钢种，轨道钢，汽车装饰条等高盈利产品市场占比</w:t>
            </w:r>
            <w:r>
              <w:rPr>
                <w:rFonts w:hint="eastAsia" w:ascii="仿宋_GB2312" w:hAnsi="仿宋_GB2312" w:eastAsia="仿宋_GB2312" w:cs="仿宋_GB2312"/>
                <w:sz w:val="21"/>
                <w:szCs w:val="21"/>
                <w:highlight w:val="none"/>
                <w:lang w:eastAsia="zh-CN"/>
              </w:rPr>
              <w:t>，</w:t>
            </w:r>
            <w:r>
              <w:rPr>
                <w:rFonts w:hint="eastAsia" w:ascii="仿宋_GB2312" w:hAnsi="仿宋_GB2312" w:eastAsia="仿宋_GB2312" w:cs="仿宋_GB2312"/>
                <w:sz w:val="21"/>
                <w:szCs w:val="21"/>
                <w:highlight w:val="none"/>
                <w:lang w:val="en-US" w:eastAsia="zh-CN"/>
              </w:rPr>
              <w:t>并进一步提高BA板的产能，提高BA市场话语权，维护并提升宝新产品在不锈钢冷轧行业高端品牌形象。</w:t>
            </w:r>
          </w:p>
        </w:tc>
      </w:tr>
    </w:tbl>
    <w:p>
      <w:pPr>
        <w:ind w:firstLine="600" w:firstLineChars="200"/>
        <w:rPr>
          <w:rFonts w:ascii="宋体"/>
          <w:sz w:val="30"/>
          <w:szCs w:val="30"/>
        </w:rPr>
      </w:pPr>
      <w:r>
        <w:rPr>
          <w:rFonts w:hint="eastAsia" w:ascii="黑体" w:hAnsi="黑体" w:eastAsia="黑体" w:cs="黑体"/>
          <w:bCs/>
          <w:sz w:val="30"/>
          <w:szCs w:val="30"/>
        </w:rPr>
        <w:t>八、其他依照法律法规应当主动公开的信息</w:t>
      </w:r>
    </w:p>
    <w:p>
      <w:pPr>
        <w:tabs>
          <w:tab w:val="left" w:pos="426"/>
        </w:tabs>
        <w:spacing w:line="600" w:lineRule="exact"/>
        <w:ind w:left="6" w:leftChars="3" w:firstLine="600" w:firstLineChars="200"/>
      </w:pPr>
      <w:r>
        <w:rPr>
          <w:rFonts w:hint="eastAsia" w:ascii="仿宋_GB2312" w:hAnsi="仿宋" w:eastAsia="仿宋_GB2312" w:cs="仿宋"/>
          <w:sz w:val="30"/>
          <w:szCs w:val="30"/>
          <w:lang w:val="en-US" w:eastAsia="zh-CN"/>
        </w:rPr>
        <w:t>无</w:t>
      </w:r>
    </w:p>
    <w:sectPr>
      <w:headerReference r:id="rId3" w:type="default"/>
      <w:footerReference r:id="rId4" w:type="default"/>
      <w:pgSz w:w="11906" w:h="16838"/>
      <w:pgMar w:top="1871" w:right="1474" w:bottom="1871" w:left="1587" w:header="850" w:footer="1814"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PowerPlusWaterMarkObject10711641" o:spid="_x0000_s2049" o:spt="136" type="#_x0000_t136" style="position:absolute;left:0pt;margin-left:410.75pt;margin-top:578.3pt;height:14pt;width:130pt;mso-position-horizontal-relative:margin;mso-position-vertical-relative:margin;rotation:-2949120f;z-index:-251634688;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10069300" o:spid="_x0000_s2050" o:spt="136" type="#_x0000_t136" style="position:absolute;left:0pt;margin-left:283.45pt;margin-top:705.55pt;height:14pt;width:130pt;mso-position-horizontal-relative:margin;mso-position-vertical-relative:margin;rotation:-2949120f;z-index:-251635712;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9348792" o:spid="_x0000_s2051" o:spt="136" type="#_x0000_t136" style="position:absolute;left:0pt;margin-left:410.75pt;margin-top:372.95pt;height:14pt;width:130pt;mso-position-horizontal-relative:margin;mso-position-vertical-relative:margin;rotation:-2949120f;z-index:-251636736;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8680684" o:spid="_x0000_s2052" o:spt="136" type="#_x0000_t136" style="position:absolute;left:0pt;margin-left:283.45pt;margin-top:500.25pt;height:14pt;width:130pt;mso-position-horizontal-relative:margin;mso-position-vertical-relative:margin;rotation:-2949120f;z-index:-251637760;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7844872" o:spid="_x0000_s2053" o:spt="136" type="#_x0000_t136" style="position:absolute;left:0pt;margin-left:156.15pt;margin-top:627.5pt;height:14pt;width:130pt;mso-position-horizontal-relative:margin;mso-position-vertical-relative:margin;rotation:-2949120f;z-index:-251638784;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7732833" o:spid="_x0000_s2054" o:spt="136" type="#_x0000_t136" style="position:absolute;left:0pt;margin-left:28.9pt;margin-top:754.8pt;height:14pt;width:130pt;mso-position-horizontal-relative:margin;mso-position-vertical-relative:margin;rotation:-2949120f;z-index:-251639808;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7336768" o:spid="_x0000_s2055" o:spt="136" type="#_x0000_t136" style="position:absolute;left:0pt;margin-left:410.75pt;margin-top:167.65pt;height:14pt;width:130pt;mso-position-horizontal-relative:margin;mso-position-vertical-relative:margin;rotation:-2949120f;z-index:-251640832;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6553183" o:spid="_x0000_s2056" o:spt="136" type="#_x0000_t136" style="position:absolute;left:0pt;margin-left:283.45pt;margin-top:294.95pt;height:14pt;width:130pt;mso-position-horizontal-relative:margin;mso-position-vertical-relative:margin;rotation:-2949120f;z-index:-251641856;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5696829" o:spid="_x0000_s2057" o:spt="136" type="#_x0000_t136" style="position:absolute;left:0pt;margin-left:156.15pt;margin-top:422.2pt;height:14pt;width:130pt;mso-position-horizontal-relative:margin;mso-position-vertical-relative:margin;rotation:-2949120f;z-index:-251642880;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4902208" o:spid="_x0000_s2058" o:spt="136" type="#_x0000_t136" style="position:absolute;left:0pt;margin-left:28.9pt;margin-top:549.5pt;height:14pt;width:130pt;mso-position-horizontal-relative:margin;mso-position-vertical-relative:margin;rotation:-2949120f;z-index:-251643904;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4502244" o:spid="_x0000_s2059" o:spt="136" type="#_x0000_t136" style="position:absolute;left:0pt;margin-left:-98.4pt;margin-top:676.75pt;height:14pt;width:130pt;mso-position-horizontal-relative:margin;mso-position-vertical-relative:margin;rotation:-2949120f;z-index:-251644928;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4329898" o:spid="_x0000_s2060" o:spt="136" type="#_x0000_t136" style="position:absolute;left:0pt;margin-left:410.75pt;margin-top:-37.65pt;height:14pt;width:130pt;mso-position-horizontal-relative:margin;mso-position-vertical-relative:margin;rotation:-2949120f;z-index:-251645952;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4118105" o:spid="_x0000_s2061" o:spt="136" type="#_x0000_t136" style="position:absolute;left:0pt;margin-left:283.45pt;margin-top:89.6pt;height:14pt;width:130pt;mso-position-horizontal-relative:margin;mso-position-vertical-relative:margin;rotation:-2949120f;z-index:-251646976;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3248060" o:spid="_x0000_s2062" o:spt="136" type="#_x0000_t136" style="position:absolute;left:0pt;margin-left:156.15pt;margin-top:216.9pt;height:14pt;width:130pt;mso-position-horizontal-relative:margin;mso-position-vertical-relative:margin;rotation:-2949120f;z-index:-251648000;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2392018" o:spid="_x0000_s2063" o:spt="136" type="#_x0000_t136" style="position:absolute;left:0pt;margin-left:28.9pt;margin-top:344.15pt;height:14pt;width:130pt;mso-position-horizontal-relative:margin;mso-position-vertical-relative:margin;rotation:-2949120f;z-index:-251649024;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2365982" o:spid="_x0000_s2064" o:spt="136" type="#_x0000_t136" style="position:absolute;left:0pt;margin-left:-98.4pt;margin-top:471.45pt;height:14pt;width:130pt;mso-position-horizontal-relative:margin;mso-position-vertical-relative:margin;rotation:-2949120f;z-index:-251650048;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2186262" o:spid="_x0000_s2065" o:spt="136" type="#_x0000_t136" style="position:absolute;left:0pt;margin-left:283.45pt;margin-top:-115.7pt;height:14pt;width:130pt;mso-position-horizontal-relative:margin;mso-position-vertical-relative:margin;rotation:-2949120f;z-index:-251651072;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1826359" o:spid="_x0000_s2066" o:spt="136" type="#_x0000_t136" style="position:absolute;left:0pt;margin-left:156.15pt;margin-top:11.6pt;height:14pt;width:130pt;mso-position-horizontal-relative:margin;mso-position-vertical-relative:margin;rotation:-2949120f;z-index:-251652096;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1177051" o:spid="_x0000_s2067" o:spt="136" type="#_x0000_t136" style="position:absolute;left:0pt;margin-left:28.9pt;margin-top:138.85pt;height:14pt;width:130pt;mso-position-horizontal-relative:margin;mso-position-vertical-relative:margin;rotation:-2949120f;z-index:-251653120;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1164226" o:spid="_x0000_s2068" o:spt="136" type="#_x0000_t136" style="position:absolute;left:0pt;margin-left:-98.4pt;margin-top:266.15pt;height:14pt;width:130pt;mso-position-horizontal-relative:margin;mso-position-vertical-relative:margin;rotation:-2949120f;z-index:-251654144;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456384" o:spid="_x0000_s2069" o:spt="136" type="#_x0000_t136" style="position:absolute;left:0pt;margin-left:28.9pt;margin-top:-66.45pt;height:14pt;width:130pt;mso-position-horizontal-relative:margin;mso-position-vertical-relative:margin;rotation:-2949120f;z-index:-251655168;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r>
      <w:rPr>
        <w:sz w:val="18"/>
      </w:rPr>
      <w:pict>
        <v:shape id="PowerPlusWaterMarkObject438599" o:spid="_x0000_s2070" o:spt="136" type="#_x0000_t136" style="position:absolute;left:0pt;margin-left:-98.4pt;margin-top:60.8pt;height:14pt;width:130pt;mso-position-horizontal-relative:margin;mso-position-vertical-relative:margin;rotation:-2949120f;z-index:-251656192;mso-width-relative:page;mso-height-relative:page;" fillcolor="#C0C0C0" filled="t" stroked="f" coordsize="21600,21600" adj="10800">
          <v:path/>
          <v:fill on="t" opacity="19660f" focussize="0,0"/>
          <v:stroke on="f"/>
          <v:imagedata o:title=""/>
          <o:lock v:ext="edit" aspectratio="t"/>
          <v:textpath on="t" fitshape="t" fitpath="t" trim="t" xscale="f" string="390785   2024-01-05" style="font-family:Sans Serif;font-size:14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3DF045"/>
    <w:multiLevelType w:val="singleLevel"/>
    <w:tmpl w:val="D23DF045"/>
    <w:lvl w:ilvl="0" w:tentative="0">
      <w:start w:val="1"/>
      <w:numFmt w:val="decimal"/>
      <w:suff w:val="nothing"/>
      <w:lvlText w:val="%1、"/>
      <w:lvlJc w:val="left"/>
    </w:lvl>
  </w:abstractNum>
  <w:abstractNum w:abstractNumId="1">
    <w:nsid w:val="F0956F96"/>
    <w:multiLevelType w:val="singleLevel"/>
    <w:tmpl w:val="F0956F96"/>
    <w:lvl w:ilvl="0" w:tentative="0">
      <w:start w:val="2"/>
      <w:numFmt w:val="decimal"/>
      <w:suff w:val="nothing"/>
      <w:lvlText w:val="%1、"/>
      <w:lvlJc w:val="left"/>
    </w:lvl>
  </w:abstractNum>
  <w:abstractNum w:abstractNumId="2">
    <w:nsid w:val="04A6CC14"/>
    <w:multiLevelType w:val="singleLevel"/>
    <w:tmpl w:val="04A6CC14"/>
    <w:lvl w:ilvl="0" w:tentative="0">
      <w:start w:val="1"/>
      <w:numFmt w:val="decimal"/>
      <w:suff w:val="nothing"/>
      <w:lvlText w:val="%1、"/>
      <w:lvlJc w:val="left"/>
    </w:lvl>
  </w:abstractNum>
  <w:abstractNum w:abstractNumId="3">
    <w:nsid w:val="14347AE0"/>
    <w:multiLevelType w:val="singleLevel"/>
    <w:tmpl w:val="14347AE0"/>
    <w:lvl w:ilvl="0" w:tentative="0">
      <w:start w:val="1"/>
      <w:numFmt w:val="decimal"/>
      <w:suff w:val="nothing"/>
      <w:lvlText w:val="%1、"/>
      <w:lvlJc w:val="left"/>
    </w:lvl>
  </w:abstractNum>
  <w:abstractNum w:abstractNumId="4">
    <w:nsid w:val="18AC2350"/>
    <w:multiLevelType w:val="singleLevel"/>
    <w:tmpl w:val="18AC2350"/>
    <w:lvl w:ilvl="0" w:tentative="0">
      <w:start w:val="2"/>
      <w:numFmt w:val="decimal"/>
      <w:suff w:val="nothing"/>
      <w:lvlText w:val="%1、"/>
      <w:lvlJc w:val="left"/>
    </w:lvl>
  </w:abstractNum>
  <w:abstractNum w:abstractNumId="5">
    <w:nsid w:val="3667AA09"/>
    <w:multiLevelType w:val="singleLevel"/>
    <w:tmpl w:val="3667AA09"/>
    <w:lvl w:ilvl="0" w:tentative="0">
      <w:start w:val="1"/>
      <w:numFmt w:val="decimal"/>
      <w:suff w:val="nothing"/>
      <w:lvlText w:val="%1、"/>
      <w:lvlJc w:val="left"/>
    </w:lvl>
  </w:abstractNum>
  <w:abstractNum w:abstractNumId="6">
    <w:nsid w:val="78CBB7E7"/>
    <w:multiLevelType w:val="singleLevel"/>
    <w:tmpl w:val="78CBB7E7"/>
    <w:lvl w:ilvl="0" w:tentative="0">
      <w:start w:val="1"/>
      <w:numFmt w:val="decimal"/>
      <w:suff w:val="nothing"/>
      <w:lvlText w:val="%1、"/>
      <w:lvlJc w:val="left"/>
    </w:lvl>
  </w:abstractNum>
  <w:num w:numId="1">
    <w:abstractNumId w:val="1"/>
  </w:num>
  <w:num w:numId="2">
    <w:abstractNumId w:val="3"/>
  </w:num>
  <w:num w:numId="3">
    <w:abstractNumId w:val="5"/>
  </w:num>
  <w:num w:numId="4">
    <w:abstractNumId w:val="0"/>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6B4251"/>
    <w:rsid w:val="24F5246D"/>
    <w:rsid w:val="5A6B4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黑体"/>
      <w:kern w:val="2"/>
      <w:sz w:val="21"/>
      <w:szCs w:val="24"/>
      <w:lang w:val="en-US" w:eastAsia="zh-CN" w:bidi="ar-SA"/>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3">
    <w:name w:val="Body Text"/>
    <w:basedOn w:val="1"/>
    <w:qFormat/>
    <w:uiPriority w:val="0"/>
    <w:rPr>
      <w:rFonts w:ascii="仿宋_GB2312" w:eastAsia="仿宋_GB2312"/>
      <w:sz w:val="30"/>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Body Text Indent 2"/>
    <w:basedOn w:val="1"/>
    <w:qFormat/>
    <w:uiPriority w:val="0"/>
    <w:pPr>
      <w:adjustRightInd w:val="0"/>
      <w:spacing w:line="360" w:lineRule="auto"/>
      <w:ind w:firstLine="560"/>
      <w:textAlignment w:val="baseline"/>
    </w:pPr>
    <w:rPr>
      <w:rFonts w:ascii="宋体" w:hAnsi="宋体"/>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2024-01-23T06:31:00Z</dcterms:created>
  <dc:creator>二郎</dc:creator>
  <cp:lastModifiedBy>二郎</cp:lastModifiedBy>
  <dcterms:modified xsi:type="dcterms:W3CDTF">2024-01-24T06:03:03Z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