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等线" w:eastAsia="方正小标宋简体"/>
          <w:sz w:val="36"/>
          <w:szCs w:val="36"/>
        </w:rPr>
      </w:pPr>
      <w:r>
        <w:rPr>
          <w:rFonts w:hint="eastAsia" w:ascii="方正小标宋简体" w:hAnsi="等线" w:eastAsia="方正小标宋简体"/>
          <w:sz w:val="36"/>
          <w:szCs w:val="36"/>
        </w:rPr>
        <w:t>山西太钢万邦炉料有限公司信息公开</w:t>
      </w:r>
    </w:p>
    <w:p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" w:hAnsi="楷体" w:eastAsia="楷体"/>
          <w:sz w:val="32"/>
          <w:szCs w:val="32"/>
        </w:rPr>
        <w:t>2</w:t>
      </w:r>
      <w:r>
        <w:rPr>
          <w:rFonts w:ascii="楷体" w:hAnsi="楷体" w:eastAsia="楷体"/>
          <w:sz w:val="32"/>
          <w:szCs w:val="32"/>
        </w:rPr>
        <w:t>02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/>
          <w:sz w:val="32"/>
          <w:szCs w:val="32"/>
        </w:rPr>
        <w:t>年</w:t>
      </w:r>
      <w:r>
        <w:rPr>
          <w:rFonts w:hint="eastAsia" w:ascii="楷体" w:hAnsi="楷体" w:eastAsia="楷体" w:cs="Calibri"/>
          <w:sz w:val="32"/>
          <w:szCs w:val="32"/>
          <w:lang w:val="en-US" w:eastAsia="zh-CN"/>
        </w:rPr>
        <w:t>全年报</w:t>
      </w:r>
      <w:bookmarkStart w:id="4" w:name="_GoBack"/>
      <w:bookmarkEnd w:id="4"/>
      <w:r>
        <w:rPr>
          <w:rFonts w:ascii="楷体_GB2312" w:eastAsia="楷体_GB2312"/>
          <w:sz w:val="32"/>
          <w:szCs w:val="32"/>
        </w:rPr>
        <w:t>)</w:t>
      </w:r>
      <w:bookmarkEnd w:id="0"/>
    </w:p>
    <w:p>
      <w:pPr>
        <w:rPr>
          <w:rFonts w:ascii="楷体_GB2312" w:eastAsia="楷体_GB2312"/>
          <w:sz w:val="18"/>
          <w:szCs w:val="18"/>
        </w:rPr>
      </w:pPr>
    </w:p>
    <w:tbl>
      <w:tblPr>
        <w:tblStyle w:val="6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15" w:hRule="atLeast"/>
        </w:trPr>
        <w:tc>
          <w:tcPr>
            <w:tcW w:w="8931" w:type="dxa"/>
          </w:tcPr>
          <w:p>
            <w:pPr>
              <w:spacing w:line="540" w:lineRule="exact"/>
              <w:ind w:firstLine="560" w:firstLineChars="200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>
      <w:pPr>
        <w:rPr>
          <w:rFonts w:ascii="黑体" w:hAnsi="黑体" w:eastAsia="黑体" w:cs="黑体"/>
          <w:bCs/>
          <w:sz w:val="18"/>
          <w:szCs w:val="18"/>
        </w:rPr>
      </w:pP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一、企业基本情况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中文名称：山西太钢万邦炉料有限公司，简称：太钢万邦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法定代表人：张璟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股东名称：太原钢铁（集团）有限公司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山西陆矿工贸有限公司（</w:t>
      </w:r>
      <w:r>
        <w:rPr>
          <w:rFonts w:hint="eastAsia" w:ascii="仿宋_GB2312" w:hAnsi="仿宋" w:eastAsia="仿宋_GB2312" w:cs="仿宋"/>
          <w:spacing w:val="-11"/>
          <w:w w:val="95"/>
          <w:sz w:val="30"/>
          <w:szCs w:val="30"/>
        </w:rPr>
        <w:t>原晋中万邦工贸有限公司</w:t>
      </w:r>
      <w:r>
        <w:rPr>
          <w:rFonts w:hint="eastAsia" w:ascii="仿宋_GB2312" w:hAnsi="仿宋" w:eastAsia="仿宋_GB2312" w:cs="仿宋"/>
          <w:sz w:val="30"/>
          <w:szCs w:val="30"/>
        </w:rPr>
        <w:t>）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注册地址：山西省晋中市山西示范区晋中开发区潇河产业</w:t>
      </w:r>
    </w:p>
    <w:p>
      <w:pPr>
        <w:widowControl/>
        <w:spacing w:line="540" w:lineRule="exact"/>
        <w:ind w:firstLine="2100" w:firstLineChars="7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园区北岗路南侧 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办公地址：山西省晋中市山西示范区晋中开发区潇河产业</w:t>
      </w:r>
    </w:p>
    <w:p>
      <w:pPr>
        <w:widowControl/>
        <w:spacing w:line="540" w:lineRule="exact"/>
        <w:ind w:firstLine="2100" w:firstLineChars="7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园区北岗路南侧 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邮政编码：030600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公司简介：太钢万邦自2011年3月成立，注册资本为45135万元，其中太原钢铁（集团）有限公司占股比例为51%，为公司控股股东；山西陆矿工贸有限公司（原晋中万邦工贸有限公司）占股比例为49%。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公司配置的70万吨铬矿粉烧结炉和75MVA埋弧电炉等是目前国内最大、最先进装备之一，在国内铁合金行业属于首创，具有技术引领作用，对推动我国铁合金产业的健康发展和技术装备升级具有积极的意义。公司高碳铬铁生产工艺为铬矿粉小球焙烧+带炉料预热的矿热炉冶炼，此工艺由芬兰奥托昆普开发，是当今国际上最先进的高碳铬铁工艺技术，曾获欧洲节能大奖。矿热炉采用全封闭负压冶炼，同时对产生的废气、废水、固废等污染采取严格的治理措施并达标排放。焙烧炉所需能源80%来自于自身循环烟气和矿热炉回收煤气。回收煤气除自身预热窑和焙烧炉使用外，全部用于锅炉发电。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公司经营范围主要包括铬铁、铬铁原料、铁合金材料及相关副产品的技术研发、技术转让、生产及销售；电力业务；发电业务；热力生产和供应；货物进出口。（依法须经批准的项目，经相关部门批准后方可开展经营活动）</w:t>
      </w: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二、公司治理及管理架构、重要人事变动、企业负责人薪酬水平情况</w:t>
      </w:r>
    </w:p>
    <w:p>
      <w:pPr>
        <w:widowControl/>
        <w:spacing w:line="540" w:lineRule="exact"/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Calibri" w:hAnsi="Calibri" w:eastAsia="仿宋" w:cs="Calibri"/>
          <w:b/>
          <w:bCs/>
          <w:sz w:val="30"/>
          <w:szCs w:val="30"/>
        </w:rPr>
        <w:t>（</w:t>
      </w:r>
      <w:r>
        <w:rPr>
          <w:rFonts w:hint="eastAsia" w:ascii="仿宋_GB2312" w:hAnsi="仿宋" w:eastAsia="仿宋_GB2312" w:cs="仿宋"/>
          <w:b/>
          <w:bCs/>
          <w:sz w:val="30"/>
          <w:szCs w:val="30"/>
        </w:rPr>
        <w:t>一）公司治理及管理架构</w:t>
      </w:r>
    </w:p>
    <w:p>
      <w:pPr>
        <w:widowControl/>
        <w:spacing w:line="54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太钢万邦公司设立董事会、监事会，董事5人，监事2人，书记1人，副书记1人，副经理4人，下设安全管理部、设备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能环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部、生产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技术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部、经营贸易部、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经营财务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部、综合管理部（党群工作部）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个部门和焙烧作业区、冶炼作业区、运行作业区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个作业区。</w:t>
      </w:r>
    </w:p>
    <w:p>
      <w:pPr>
        <w:widowControl/>
        <w:spacing w:line="540" w:lineRule="exact"/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组织机构图：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0" w:lineRule="exact"/>
        <w:jc w:val="both"/>
        <w:textAlignment w:val="auto"/>
        <w:outlineLvl w:val="9"/>
        <w:rPr>
          <w:rFonts w:hint="eastAsia" w:ascii="仿宋_GB2312" w:hAnsi="仿宋" w:eastAsia="仿宋_GB2312" w:cs="仿宋"/>
          <w:b/>
          <w:bCs/>
          <w:sz w:val="30"/>
          <w:szCs w:val="30"/>
          <w:lang w:eastAsia="zh-CN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  <w:lang w:eastAsia="zh-CN"/>
        </w:rPr>
        <w:drawing>
          <wp:inline distT="0" distB="0" distL="114300" distR="114300">
            <wp:extent cx="5263515" cy="1252220"/>
            <wp:effectExtent l="0" t="0" r="13335" b="5080"/>
            <wp:docPr id="1" name="图片 1" descr="clipbord_1704353056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lipbord_1704353056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</w:p>
    <w:p>
      <w:pPr>
        <w:widowControl/>
        <w:spacing w:line="540" w:lineRule="exact"/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</w:p>
    <w:p>
      <w:pPr>
        <w:widowControl/>
        <w:spacing w:line="540" w:lineRule="exact"/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（二）重要人事变动（董事、监事、高级管理人员）</w:t>
      </w:r>
    </w:p>
    <w:tbl>
      <w:tblPr>
        <w:tblStyle w:val="6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13"/>
        <w:gridCol w:w="709"/>
        <w:gridCol w:w="723"/>
        <w:gridCol w:w="984"/>
        <w:gridCol w:w="608"/>
        <w:gridCol w:w="839"/>
        <w:gridCol w:w="1906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现职务</w:t>
            </w:r>
          </w:p>
        </w:tc>
        <w:tc>
          <w:tcPr>
            <w:tcW w:w="60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时间专业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任</w:t>
            </w:r>
            <w:r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免</w:t>
            </w:r>
            <w:r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  <w:t>)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职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董事长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西安工业大学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2006年7月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通信工程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2014.12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李强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5</w:t>
            </w:r>
            <w:r>
              <w:rPr>
                <w:rFonts w:asci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董事兼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党委书记、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北京科技大学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cs="宋体"/>
                <w:kern w:val="0"/>
                <w:sz w:val="22"/>
                <w:szCs w:val="22"/>
              </w:rPr>
              <w:t>011</w:t>
            </w:r>
            <w:r>
              <w:rPr>
                <w:rFonts w:hint="eastAsia" w:ascii="宋体" w:cs="宋体"/>
                <w:kern w:val="0"/>
                <w:sz w:val="22"/>
                <w:szCs w:val="22"/>
              </w:rPr>
              <w:t>年6月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冶金工程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cs="宋体"/>
                <w:kern w:val="0"/>
                <w:sz w:val="22"/>
                <w:szCs w:val="22"/>
              </w:rPr>
              <w:t>023.06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张建林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董事兼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榆次一中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1992年6月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2013.04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李俊章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北京钢铁学院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1984年8月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金属材料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2017.05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李广德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山西省机械工业学校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1981年7月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热处理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2021.09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李建廷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5</w:t>
            </w:r>
            <w:r>
              <w:rPr>
                <w:rFonts w:asci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鞍山钢铁学院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1988年7月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电气自动化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2022.04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蒋燕萍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5</w:t>
            </w:r>
            <w:r>
              <w:rPr>
                <w:rFonts w:asci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榆次一中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1981年6月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2011.03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党光辉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4</w:t>
            </w:r>
            <w:r>
              <w:rPr>
                <w:rFonts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党委副书记、纪委书记、工会主席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西安交通大学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2012年7月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刘中秋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5</w:t>
            </w:r>
            <w:r>
              <w:rPr>
                <w:rFonts w:asci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北京理工大学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cs="宋体"/>
                <w:kern w:val="0"/>
                <w:sz w:val="22"/>
                <w:szCs w:val="22"/>
              </w:rPr>
              <w:t>013</w:t>
            </w:r>
            <w:r>
              <w:rPr>
                <w:rFonts w:hint="eastAsia" w:ascii="宋体" w:cs="宋体"/>
                <w:kern w:val="0"/>
                <w:sz w:val="22"/>
                <w:szCs w:val="22"/>
              </w:rPr>
              <w:t>年</w:t>
            </w:r>
            <w:r>
              <w:rPr>
                <w:rFonts w:asci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cs="宋体"/>
                <w:kern w:val="0"/>
                <w:sz w:val="22"/>
                <w:szCs w:val="22"/>
              </w:rPr>
              <w:t>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人力资源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cs="宋体"/>
                <w:kern w:val="0"/>
                <w:sz w:val="22"/>
                <w:szCs w:val="22"/>
              </w:rPr>
              <w:t>022.12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梁兴伟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4</w:t>
            </w:r>
            <w:r>
              <w:rPr>
                <w:rFonts w:asci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山西省太原冶金工业学校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1996年7月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炼铁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2013.04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范文龙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财务总监</w:t>
            </w:r>
          </w:p>
        </w:tc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山西财经大学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20</w:t>
            </w:r>
            <w:r>
              <w:t>1</w:t>
            </w:r>
            <w:r>
              <w:rPr>
                <w:rFonts w:hint="eastAsia"/>
              </w:rPr>
              <w:t>2年7月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财务管理</w:t>
            </w:r>
          </w:p>
        </w:tc>
        <w:tc>
          <w:tcPr>
            <w:tcW w:w="111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20</w:t>
            </w:r>
            <w:r>
              <w:rPr>
                <w:rFonts w:ascii="宋体" w:cs="宋体"/>
                <w:kern w:val="0"/>
                <w:sz w:val="22"/>
                <w:szCs w:val="22"/>
              </w:rPr>
              <w:t>22.12</w:t>
            </w:r>
          </w:p>
        </w:tc>
      </w:tr>
    </w:tbl>
    <w:p>
      <w:pPr>
        <w:widowControl/>
        <w:spacing w:line="540" w:lineRule="exact"/>
        <w:ind w:firstLine="602" w:firstLineChars="200"/>
        <w:rPr>
          <w:rFonts w:ascii="仿宋_GB2312" w:hAnsi="宋体" w:eastAsia="仿宋_GB2312" w:cs="Arial"/>
          <w:szCs w:val="21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（三）企业负责人薪酬水平情况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 </w:t>
      </w:r>
      <w:r>
        <w:rPr>
          <w:rFonts w:ascii="仿宋_GB2312" w:hAnsi="仿宋" w:eastAsia="仿宋_GB2312" w:cs="仿宋"/>
          <w:b/>
          <w:bCs/>
          <w:sz w:val="32"/>
          <w:szCs w:val="32"/>
        </w:rPr>
        <w:t xml:space="preserve">          </w:t>
      </w:r>
      <w:r>
        <w:rPr>
          <w:rFonts w:hint="eastAsia" w:ascii="仿宋_GB2312" w:hAnsi="宋体" w:eastAsia="仿宋_GB2312" w:cs="Arial"/>
          <w:szCs w:val="21"/>
        </w:rPr>
        <w:t>单位：万元</w:t>
      </w:r>
    </w:p>
    <w:tbl>
      <w:tblPr>
        <w:tblStyle w:val="6"/>
        <w:tblpPr w:leftFromText="180" w:rightFromText="180" w:vertAnchor="text" w:horzAnchor="page" w:tblpX="1570" w:tblpY="542"/>
        <w:tblOverlap w:val="never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93"/>
        <w:gridCol w:w="992"/>
        <w:gridCol w:w="1000"/>
        <w:gridCol w:w="1275"/>
        <w:gridCol w:w="1411"/>
        <w:gridCol w:w="113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</w:trPr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姓 名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职务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任职</w:t>
            </w:r>
          </w:p>
          <w:p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起止</w:t>
            </w:r>
          </w:p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时间</w:t>
            </w:r>
          </w:p>
        </w:tc>
        <w:tc>
          <w:tcPr>
            <w:tcW w:w="38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202</w:t>
            </w:r>
            <w:r>
              <w:rPr>
                <w:rFonts w:ascii="仿宋_GB2312" w:eastAsia="仿宋_GB2312"/>
                <w:b/>
                <w:sz w:val="22"/>
                <w:szCs w:val="22"/>
              </w:rPr>
              <w:t>3</w:t>
            </w:r>
            <w:r>
              <w:rPr>
                <w:rFonts w:hint="eastAsia" w:ascii="仿宋_GB2312" w:eastAsia="仿宋_GB2312"/>
                <w:b/>
                <w:sz w:val="22"/>
                <w:szCs w:val="22"/>
              </w:rPr>
              <w:t>年度从本公司获得的税前报酬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是否在股东单位或其他关联方领取薪酬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" w:hRule="atLeast"/>
        </w:trPr>
        <w:tc>
          <w:tcPr>
            <w:tcW w:w="993" w:type="dxa"/>
            <w:vMerge w:val="continue"/>
            <w:vAlign w:val="center"/>
          </w:tcPr>
          <w:p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应付年薪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（1）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社会保险、企业年金及住房公积金的单位缴存部分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eastAsia="仿宋_GB2312" w:cs="宋体"/>
                <w:b/>
                <w:sz w:val="22"/>
                <w:szCs w:val="22"/>
              </w:rPr>
              <w:t>（2）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其他货币性收入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（3）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1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62" w:afterLines="20" w:line="520" w:lineRule="exact"/>
              <w:rPr>
                <w:rFonts w:ascii="仿宋_GB2312" w:hAnsi="仿宋" w:eastAsia="仿宋_GB2312" w:cs="宋体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after="62" w:afterLines="20" w:line="520" w:lineRule="exact"/>
              <w:rPr>
                <w:rFonts w:ascii="仿宋_GB2312" w:hAnsi="仿宋" w:eastAsia="仿宋_GB2312" w:cs="宋体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62" w:afterLines="20" w:line="520" w:lineRule="exact"/>
              <w:rPr>
                <w:rFonts w:ascii="仿宋_GB2312" w:hAnsi="仿宋" w:eastAsia="仿宋_GB2312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after="62" w:afterLines="20" w:line="520" w:lineRule="exact"/>
              <w:rPr>
                <w:rFonts w:ascii="仿宋_GB2312" w:hAnsi="仿宋" w:eastAsia="仿宋_GB2312" w:cs="宋体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after="62" w:afterLines="20" w:line="520" w:lineRule="exact"/>
              <w:rPr>
                <w:rFonts w:ascii="仿宋_GB2312" w:hAnsi="仿宋" w:eastAsia="仿宋_GB2312" w:cs="宋体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after="62" w:afterLines="20" w:line="520" w:lineRule="exact"/>
              <w:rPr>
                <w:rFonts w:ascii="仿宋_GB2312" w:hAnsi="仿宋" w:eastAsia="仿宋_GB2312" w:cs="宋体"/>
                <w:sz w:val="22"/>
                <w:szCs w:val="22"/>
              </w:rPr>
            </w:pPr>
          </w:p>
        </w:tc>
      </w:tr>
    </w:tbl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三、企业主要财务状况和经营成果、国有资本保值增值情况</w:t>
      </w: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zh-CN"/>
        </w:rPr>
        <w:t>（一）</w:t>
      </w:r>
      <w:r>
        <w:rPr>
          <w:rFonts w:hint="eastAsia" w:ascii="仿宋_GB2312" w:hAnsi="宋体" w:eastAsia="仿宋_GB2312"/>
          <w:b/>
          <w:sz w:val="30"/>
          <w:szCs w:val="30"/>
        </w:rPr>
        <w:t>报告期内收入利润情况</w:t>
      </w: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 w:cs="Arial"/>
          <w:sz w:val="24"/>
        </w:rPr>
        <w:t xml:space="preserve">                                                        单位：万元</w:t>
      </w:r>
    </w:p>
    <w:tbl>
      <w:tblPr>
        <w:tblStyle w:val="6"/>
        <w:tblW w:w="895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2654"/>
        <w:gridCol w:w="241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5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本期累计金额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（202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年1-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上期金额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（202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年1-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5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>192791.57</w:t>
            </w:r>
          </w:p>
        </w:tc>
        <w:tc>
          <w:tcPr>
            <w:tcW w:w="241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>161646.54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>19.27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5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>-25607.08</w:t>
            </w:r>
          </w:p>
        </w:tc>
        <w:tc>
          <w:tcPr>
            <w:tcW w:w="241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>-2004.81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>1177.28</w:t>
            </w:r>
          </w:p>
        </w:tc>
      </w:tr>
    </w:tbl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hAnsi="宋体" w:eastAsia="仿宋_GB2312" w:cs="宋体"/>
          <w:b/>
          <w:bCs/>
          <w:kern w:val="0"/>
          <w:sz w:val="30"/>
          <w:szCs w:val="30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zh-CN"/>
        </w:rPr>
        <w:t>（二）报告期内资产负债情况</w:t>
      </w:r>
    </w:p>
    <w:p>
      <w:pPr>
        <w:tabs>
          <w:tab w:val="left" w:pos="7350"/>
        </w:tabs>
        <w:spacing w:before="62" w:beforeLines="20" w:after="62" w:afterLines="20" w:line="440" w:lineRule="exact"/>
        <w:ind w:firstLine="482"/>
        <w:rPr>
          <w:rFonts w:ascii="仿宋_GB2312" w:eastAsia="仿宋_GB2312" w:cs="楷体_GB2312"/>
          <w:szCs w:val="21"/>
        </w:rPr>
      </w:pPr>
      <w:r>
        <w:rPr>
          <w:rFonts w:hint="eastAsia" w:ascii="仿宋_GB2312" w:hAnsi="宋体" w:eastAsia="仿宋_GB2312" w:cs="楷体_GB2312"/>
          <w:sz w:val="24"/>
        </w:rPr>
        <w:t xml:space="preserve">                                                </w:t>
      </w:r>
      <w:r>
        <w:rPr>
          <w:rFonts w:hint="eastAsia" w:ascii="仿宋_GB2312" w:hAnsi="宋体" w:eastAsia="仿宋_GB2312" w:cs="Arial"/>
          <w:sz w:val="24"/>
        </w:rPr>
        <w:t xml:space="preserve">         </w:t>
      </w:r>
      <w:r>
        <w:rPr>
          <w:rFonts w:hint="eastAsia" w:ascii="仿宋_GB2312" w:hAnsi="宋体" w:eastAsia="仿宋_GB2312" w:cs="Arial"/>
          <w:szCs w:val="21"/>
        </w:rPr>
        <w:t>单位：万元</w:t>
      </w:r>
    </w:p>
    <w:tbl>
      <w:tblPr>
        <w:tblStyle w:val="6"/>
        <w:tblW w:w="891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2"/>
        <w:gridCol w:w="1937"/>
        <w:gridCol w:w="2057"/>
        <w:gridCol w:w="19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93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bookmarkStart w:id="1" w:name="_Hlk139372966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202</w:t>
            </w: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年年初余额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期末余额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（202</w:t>
            </w:r>
            <w:r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199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变动</w:t>
            </w:r>
            <w:r>
              <w:rPr>
                <w:rFonts w:hint="eastAsia" w:ascii="仿宋_GB2312" w:eastAsia="仿宋_GB2312"/>
                <w:kern w:val="0"/>
                <w:sz w:val="22"/>
                <w:szCs w:val="22"/>
              </w:rPr>
              <w:t>比率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93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流动资产</w:t>
            </w:r>
          </w:p>
        </w:tc>
        <w:tc>
          <w:tcPr>
            <w:tcW w:w="193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  <w:t>5821.74</w:t>
            </w:r>
          </w:p>
        </w:tc>
        <w:tc>
          <w:tcPr>
            <w:tcW w:w="20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10514.89</w:t>
            </w:r>
          </w:p>
        </w:tc>
        <w:tc>
          <w:tcPr>
            <w:tcW w:w="199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-59.28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93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非流动资产</w:t>
            </w:r>
          </w:p>
        </w:tc>
        <w:tc>
          <w:tcPr>
            <w:tcW w:w="193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zh-CN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  <w:lang w:val="zh-CN"/>
              </w:rPr>
              <w:t>11781.96</w:t>
            </w:r>
          </w:p>
        </w:tc>
        <w:tc>
          <w:tcPr>
            <w:tcW w:w="20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103483.07</w:t>
            </w:r>
          </w:p>
        </w:tc>
        <w:tc>
          <w:tcPr>
            <w:tcW w:w="199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-7.42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93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流动负债</w:t>
            </w:r>
          </w:p>
        </w:tc>
        <w:tc>
          <w:tcPr>
            <w:tcW w:w="193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  <w:t>12327.45</w:t>
            </w:r>
          </w:p>
        </w:tc>
        <w:tc>
          <w:tcPr>
            <w:tcW w:w="20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85656.64</w:t>
            </w:r>
          </w:p>
        </w:tc>
        <w:tc>
          <w:tcPr>
            <w:tcW w:w="199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-23.74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93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非流动负债</w:t>
            </w:r>
          </w:p>
        </w:tc>
        <w:tc>
          <w:tcPr>
            <w:tcW w:w="193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  <w:t>5243.38</w:t>
            </w:r>
          </w:p>
        </w:tc>
        <w:tc>
          <w:tcPr>
            <w:tcW w:w="20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53407.25</w:t>
            </w:r>
          </w:p>
        </w:tc>
        <w:tc>
          <w:tcPr>
            <w:tcW w:w="199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93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3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3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  <w:t>2.87</w:t>
            </w:r>
          </w:p>
        </w:tc>
        <w:tc>
          <w:tcPr>
            <w:tcW w:w="20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-25065.93</w:t>
            </w:r>
          </w:p>
        </w:tc>
        <w:tc>
          <w:tcPr>
            <w:tcW w:w="199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  <w:lang w:val="en-US" w:eastAsia="zh-CN"/>
              </w:rPr>
              <w:t>-76357.77</w:t>
            </w:r>
          </w:p>
        </w:tc>
      </w:tr>
      <w:bookmarkEnd w:id="1"/>
    </w:tbl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>
      <w:pPr>
        <w:tabs>
          <w:tab w:val="left" w:pos="7350"/>
        </w:tabs>
        <w:spacing w:before="62" w:beforeLines="20" w:after="62" w:afterLines="20" w:line="600" w:lineRule="exact"/>
        <w:ind w:firstLine="482"/>
        <w:rPr>
          <w:rFonts w:ascii="仿宋_GB2312" w:hAnsi="宋体" w:eastAsia="仿宋_GB2312" w:cs="宋体"/>
          <w:b/>
          <w:bCs/>
          <w:kern w:val="0"/>
          <w:sz w:val="30"/>
          <w:szCs w:val="30"/>
          <w:lang w:val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zh-CN"/>
        </w:rPr>
        <w:t>（三）国有资本保值增值情况</w:t>
      </w:r>
    </w:p>
    <w:p>
      <w:pPr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bookmarkStart w:id="2" w:name="_Hlk139372984"/>
      <w:r>
        <w:rPr>
          <w:rFonts w:hint="eastAsia" w:ascii="仿宋_GB2312" w:hAnsi="仿宋" w:eastAsia="仿宋_GB2312" w:cs="仿宋"/>
          <w:sz w:val="30"/>
          <w:szCs w:val="30"/>
        </w:rPr>
        <w:t>202</w:t>
      </w:r>
      <w:r>
        <w:rPr>
          <w:rFonts w:ascii="仿宋_GB2312" w:hAnsi="仿宋" w:eastAsia="仿宋_GB2312" w:cs="仿宋"/>
          <w:sz w:val="30"/>
          <w:szCs w:val="30"/>
        </w:rPr>
        <w:t>3</w:t>
      </w:r>
      <w:r>
        <w:rPr>
          <w:rFonts w:hint="eastAsia" w:ascii="仿宋_GB2312" w:hAnsi="仿宋" w:eastAsia="仿宋_GB2312" w:cs="仿宋"/>
          <w:sz w:val="30"/>
          <w:szCs w:val="30"/>
        </w:rPr>
        <w:t>年年初国有资本及权益总额为</w:t>
      </w:r>
      <w:r>
        <w:rPr>
          <w:rFonts w:ascii="仿宋_GB2312" w:hAnsi="仿宋" w:eastAsia="仿宋_GB2312" w:cs="仿宋"/>
          <w:sz w:val="30"/>
          <w:szCs w:val="30"/>
        </w:rPr>
        <w:t>32.87</w:t>
      </w:r>
      <w:r>
        <w:rPr>
          <w:rFonts w:hint="eastAsia" w:ascii="仿宋_GB2312" w:hAnsi="仿宋" w:eastAsia="仿宋_GB2312" w:cs="仿宋"/>
          <w:sz w:val="30"/>
          <w:szCs w:val="30"/>
        </w:rPr>
        <w:t>万元，202</w:t>
      </w:r>
      <w:r>
        <w:rPr>
          <w:rFonts w:ascii="仿宋_GB2312" w:hAnsi="仿宋" w:eastAsia="仿宋_GB2312" w:cs="仿宋"/>
          <w:sz w:val="30"/>
          <w:szCs w:val="30"/>
        </w:rPr>
        <w:t>3</w:t>
      </w:r>
      <w:r>
        <w:rPr>
          <w:rFonts w:hint="eastAsia" w:ascii="仿宋_GB2312" w:hAnsi="仿宋" w:eastAsia="仿宋_GB2312" w:cs="仿宋"/>
          <w:sz w:val="30"/>
          <w:szCs w:val="30"/>
        </w:rPr>
        <w:t>年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12</w:t>
      </w:r>
      <w:r>
        <w:rPr>
          <w:rFonts w:hint="eastAsia" w:ascii="仿宋_GB2312" w:hAnsi="仿宋" w:eastAsia="仿宋_GB2312" w:cs="仿宋"/>
          <w:sz w:val="30"/>
          <w:szCs w:val="30"/>
        </w:rPr>
        <w:t>月末国有资产总量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为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-25065.93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万元</w:t>
      </w:r>
      <w:r>
        <w:rPr>
          <w:rFonts w:hint="eastAsia" w:ascii="仿宋_GB2312" w:hAnsi="仿宋" w:eastAsia="仿宋_GB2312" w:cs="仿宋"/>
          <w:sz w:val="30"/>
          <w:szCs w:val="30"/>
        </w:rPr>
        <w:t>，不核算国有资本增值保值率，国有资本保值增值完成情况判定为减值，减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少</w:t>
      </w:r>
      <w:r>
        <w:rPr>
          <w:rFonts w:hint="eastAsia" w:ascii="仿宋_GB2312" w:hAnsi="仿宋" w:eastAsia="仿宋_GB2312" w:cs="仿宋"/>
          <w:sz w:val="30"/>
          <w:szCs w:val="30"/>
          <w:highlight w:val="none"/>
          <w:lang w:val="en-US" w:eastAsia="zh-CN"/>
        </w:rPr>
        <w:t>25098.8</w:t>
      </w:r>
      <w:r>
        <w:rPr>
          <w:rFonts w:hint="eastAsia" w:ascii="仿宋_GB2312" w:hAnsi="仿宋" w:eastAsia="仿宋_GB2312" w:cs="仿宋"/>
          <w:sz w:val="30"/>
          <w:szCs w:val="30"/>
          <w:highlight w:val="none"/>
        </w:rPr>
        <w:t>万元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bookmarkEnd w:id="2"/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四、企业重大改制重组结果</w:t>
      </w:r>
    </w:p>
    <w:p>
      <w:p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（一）公开公司重大改制改组基本情况</w:t>
      </w:r>
    </w:p>
    <w:p>
      <w:pPr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不涉及。</w:t>
      </w:r>
    </w:p>
    <w:p>
      <w:p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（二）公开公司重大改制改组完成情况</w:t>
      </w:r>
    </w:p>
    <w:p>
      <w:pPr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不涉及。</w:t>
      </w: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五、通过产权市场转让企业产权和企业增资等信息</w:t>
      </w:r>
    </w:p>
    <w:p>
      <w:pPr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不涉及。</w:t>
      </w: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六、有关部门依法要求公开的监督检查问题等整改情况、重大突发事件时态发展和应急处置情况</w:t>
      </w:r>
    </w:p>
    <w:p>
      <w:pPr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无。</w:t>
      </w:r>
    </w:p>
    <w:p>
      <w:pPr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七、企业履行社会责任情况（可选填、可单独成段写）</w:t>
      </w:r>
    </w:p>
    <w:tbl>
      <w:tblPr>
        <w:tblStyle w:val="6"/>
        <w:tblW w:w="8931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559"/>
        <w:gridCol w:w="60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bookmarkStart w:id="3" w:name="_Hlk139373011"/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具体内容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（一）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经济责任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与政府合作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贯彻落实国家产业政策以及国家签订的国际合约等情况：无</w:t>
            </w:r>
          </w:p>
          <w:p>
            <w:pPr>
              <w:widowControl/>
              <w:numPr>
                <w:ilvl w:val="0"/>
                <w:numId w:val="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接受政府援助的数额：无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信用管理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信用评估取得等级：无</w:t>
            </w:r>
          </w:p>
          <w:p>
            <w:pPr>
              <w:widowControl/>
              <w:numPr>
                <w:ilvl w:val="0"/>
                <w:numId w:val="2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信用评估相关评价：无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纳税原则：遵循合法性、全局性、经济性、适时性原则。</w:t>
            </w:r>
          </w:p>
          <w:p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企业依法纳税情况：坚持诚信经营、依法纳税，积极履行企业责任，依法履行纳税义务，把依法纳税作为企业经营的底线，回报国家、回馈社会。</w:t>
            </w:r>
          </w:p>
          <w:p>
            <w:pPr>
              <w:widowControl/>
              <w:numPr>
                <w:ilvl w:val="0"/>
                <w:numId w:val="3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上缴税费及增减幅：</w:t>
            </w:r>
          </w:p>
          <w:tbl>
            <w:tblPr>
              <w:tblStyle w:val="6"/>
              <w:tblW w:w="5846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20"/>
              <w:gridCol w:w="1709"/>
              <w:gridCol w:w="1560"/>
              <w:gridCol w:w="991"/>
              <w:gridCol w:w="566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0" w:hRule="atLeast"/>
              </w:trPr>
              <w:tc>
                <w:tcPr>
                  <w:tcW w:w="10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税种</w:t>
                  </w:r>
                </w:p>
              </w:tc>
              <w:tc>
                <w:tcPr>
                  <w:tcW w:w="170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本期累计金额</w:t>
                  </w:r>
                </w:p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（202</w:t>
                  </w:r>
                  <w:r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3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年1-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  <w:lang w:val="en-US" w:eastAsia="zh-CN"/>
                    </w:rPr>
                    <w:t>12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月）</w:t>
                  </w:r>
                </w:p>
              </w:tc>
              <w:tc>
                <w:tcPr>
                  <w:tcW w:w="156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上期金额</w:t>
                  </w:r>
                </w:p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（202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年1-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  <w:lang w:val="en-US" w:eastAsia="zh-CN"/>
                    </w:rPr>
                    <w:t>12</w:t>
                  </w: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月）</w:t>
                  </w:r>
                </w:p>
              </w:tc>
              <w:tc>
                <w:tcPr>
                  <w:tcW w:w="99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变动比率(%)</w:t>
                  </w:r>
                </w:p>
              </w:tc>
              <w:tc>
                <w:tcPr>
                  <w:tcW w:w="5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</w:trPr>
              <w:tc>
                <w:tcPr>
                  <w:tcW w:w="102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增值税</w:t>
                  </w:r>
                </w:p>
              </w:tc>
              <w:tc>
                <w:tcPr>
                  <w:tcW w:w="170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8.22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2596.29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-99.68</w:t>
                  </w:r>
                </w:p>
              </w:tc>
              <w:tc>
                <w:tcPr>
                  <w:tcW w:w="5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</w:trPr>
              <w:tc>
                <w:tcPr>
                  <w:tcW w:w="102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城建税</w:t>
                  </w:r>
                </w:p>
              </w:tc>
              <w:tc>
                <w:tcPr>
                  <w:tcW w:w="170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0.57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152.7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-99.63</w:t>
                  </w:r>
                </w:p>
              </w:tc>
              <w:tc>
                <w:tcPr>
                  <w:tcW w:w="5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</w:trPr>
              <w:tc>
                <w:tcPr>
                  <w:tcW w:w="102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教育税附加</w:t>
                  </w:r>
                </w:p>
              </w:tc>
              <w:tc>
                <w:tcPr>
                  <w:tcW w:w="170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0.41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129.81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-99.68</w:t>
                  </w:r>
                </w:p>
              </w:tc>
              <w:tc>
                <w:tcPr>
                  <w:tcW w:w="5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</w:trPr>
              <w:tc>
                <w:tcPr>
                  <w:tcW w:w="102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环保税</w:t>
                  </w:r>
                </w:p>
              </w:tc>
              <w:tc>
                <w:tcPr>
                  <w:tcW w:w="170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16.25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7.89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105.96</w:t>
                  </w:r>
                </w:p>
              </w:tc>
              <w:tc>
                <w:tcPr>
                  <w:tcW w:w="5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</w:trPr>
              <w:tc>
                <w:tcPr>
                  <w:tcW w:w="102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印花税</w:t>
                  </w:r>
                </w:p>
              </w:tc>
              <w:tc>
                <w:tcPr>
                  <w:tcW w:w="170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106.83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67.31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58.71</w:t>
                  </w:r>
                </w:p>
              </w:tc>
              <w:tc>
                <w:tcPr>
                  <w:tcW w:w="5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7" w:hRule="atLeast"/>
              </w:trPr>
              <w:tc>
                <w:tcPr>
                  <w:tcW w:w="102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个人所得税</w:t>
                  </w:r>
                </w:p>
              </w:tc>
              <w:tc>
                <w:tcPr>
                  <w:tcW w:w="170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24.35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52.15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widowControl/>
                    <w:jc w:val="center"/>
                    <w:rPr>
                      <w:rFonts w:hint="default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  <w:highlight w:val="none"/>
                      <w:lang w:val="en-US" w:eastAsia="zh-CN"/>
                    </w:rPr>
                    <w:t>-53.31</w:t>
                  </w:r>
                </w:p>
              </w:tc>
              <w:tc>
                <w:tcPr>
                  <w:tcW w:w="5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仿宋_GB2312" w:hAnsi="等线" w:eastAsia="仿宋_GB2312" w:cs="宋体"/>
                      <w:color w:val="000000"/>
                      <w:kern w:val="0"/>
                      <w:sz w:val="16"/>
                      <w:szCs w:val="16"/>
                    </w:rPr>
                    <w:t>　</w:t>
                  </w:r>
                </w:p>
              </w:tc>
            </w:tr>
          </w:tbl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（二）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4"/>
              </w:numP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基础和专业培训（含应急演练）开展次数及参与人数：202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年1-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月，开展基础培训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次，参与人数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2107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人次；202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年1-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月应急演练计划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个项目，截至日前已全部组织完成，其中公司级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个、作业区级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个，合计参与人数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129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人次。</w:t>
            </w:r>
          </w:p>
          <w:p>
            <w:pPr>
              <w:widowControl/>
              <w:numPr>
                <w:ilvl w:val="0"/>
                <w:numId w:val="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安全教育培训率：100%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隐患治理投入额度：202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年1-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月，安全投入累计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350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万元。</w:t>
            </w:r>
          </w:p>
          <w:p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排查隐患数：202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年1-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月，查出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隐患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570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项。</w:t>
            </w:r>
          </w:p>
          <w:p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重大隐患治理率：100%。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6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职业健康培训率：100%；</w:t>
            </w:r>
          </w:p>
          <w:p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职业健康体检率：100%；</w:t>
            </w:r>
          </w:p>
          <w:p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岗位粉尘合格率：100%；</w:t>
            </w:r>
          </w:p>
          <w:p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噪声合格率：100%；</w:t>
            </w:r>
          </w:p>
          <w:p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高温合格率：100%；</w:t>
            </w:r>
          </w:p>
          <w:p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毒物合格率：100%。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（三）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7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管理创新成果：无</w:t>
            </w:r>
          </w:p>
          <w:p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组织和流程优化：电气点检员集中管理。</w:t>
            </w:r>
          </w:p>
          <w:p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制度体系创新：全面对接集团公司要求，梳理“制度树”，并全部纳入OA“规章制度”平台。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8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信息化建设管理体系建设：已制订可研报告初步设计方案；“万名宝罗上岗”机器人项目确定实施方案；空压机自动启停控制项目已制定施工方案。</w:t>
            </w:r>
          </w:p>
          <w:p>
            <w:pPr>
              <w:widowControl/>
              <w:numPr>
                <w:ilvl w:val="0"/>
                <w:numId w:val="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信息和自动化工程技术输出：无。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技术创新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9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技术创新体系：无。</w:t>
            </w:r>
          </w:p>
          <w:p>
            <w:pPr>
              <w:widowControl/>
              <w:numPr>
                <w:ilvl w:val="0"/>
                <w:numId w:val="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参与国家重大科研课题攻关内容：无。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创新平台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0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科技投入额：无；</w:t>
            </w:r>
          </w:p>
          <w:p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省部级以上科研成果数：无；</w:t>
            </w:r>
          </w:p>
          <w:p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申请专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利数：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项；</w:t>
            </w:r>
          </w:p>
          <w:p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获得授权专利数：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项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（四）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环境责任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管理体系</w:t>
            </w:r>
          </w:p>
        </w:tc>
        <w:tc>
          <w:tcPr>
            <w:tcW w:w="6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1、环境管理体系运行、审核、认证情况：获得环境管理体系认证证书。</w:t>
            </w:r>
          </w:p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2、环境影响评价制度执行率：100%。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保护环境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1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节能（节水）环保新工艺新技术新装备展示推广、宣传教育活动的次数、内容和参与人数：无</w:t>
            </w:r>
          </w:p>
          <w:p>
            <w:pPr>
              <w:widowControl/>
              <w:numPr>
                <w:ilvl w:val="0"/>
                <w:numId w:val="1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环境公益活动开展情况：通过宝武聊天群开展“环保低碳 与我同行”宣传活动。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诚信环保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1、发布相关环境信息情况：晋中市自行监测平台每月至少发布一次，每季度汇总发布一次。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副产品资源化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2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固体废物综合利用率：100%；</w:t>
            </w:r>
          </w:p>
          <w:p>
            <w:pPr>
              <w:widowControl/>
              <w:numPr>
                <w:ilvl w:val="0"/>
                <w:numId w:val="12"/>
              </w:numPr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返回生产利用率：100%；                                              3、危险废物安全处置率：100%。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环境指标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3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吨铁综合能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耗：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822.47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kgce/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t</w:t>
            </w:r>
          </w:p>
          <w:p>
            <w:pPr>
              <w:widowControl/>
              <w:numPr>
                <w:ilvl w:val="0"/>
                <w:numId w:val="1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吨铁新水消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耗：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m³/t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园林工厂建设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1、绿化覆盖率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：15.55%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（五）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4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职工合法权益保障情况：保障劳动者获取劳动报酬、休息休假、获得劳动安全卫生保护、享受社会保险、接受职业技能培训等合法权益。</w:t>
            </w:r>
          </w:p>
          <w:p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公司与员工劳动合同签约率：100%</w:t>
            </w:r>
          </w:p>
          <w:p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女职工合法权益维护保障：签订《202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年度女职工特殊劳动保护专项集体合同》。</w:t>
            </w:r>
          </w:p>
          <w:p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开展“防暑降温送清凉”活动，参与率1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00%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，为职工发放绿豆、冰糖、白糖防暑降温用品，每日为当班职工送绿豆汤、西瓜、雪糕、盐汽水，防暑降温物品。</w:t>
            </w:r>
          </w:p>
          <w:p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每月征集职工“三最”问题，并督促解决。</w:t>
            </w:r>
          </w:p>
          <w:p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组织职工代表对食堂食材新鲜程度、食堂卫生达标情况进行巡查检点，确保职工用餐安全健康满意。</w:t>
            </w:r>
            <w:r>
              <w:rPr>
                <w:rFonts w:hint="eastAsia" w:ascii="仿宋_GB2312" w:eastAsia="仿宋_GB2312" w:cs="宋体"/>
                <w:kern w:val="0"/>
                <w:szCs w:val="21"/>
                <w:lang w:val="en-US" w:eastAsia="zh-CN"/>
              </w:rPr>
              <w:t>将食堂天然气灶更换为电磁灶，杜绝天然气爆炸安全隐患。</w:t>
            </w:r>
            <w:r>
              <w:rPr>
                <w:rFonts w:hint="eastAsia" w:ascii="仿宋_GB2312" w:eastAsia="仿宋_GB2312" w:cs="宋体"/>
                <w:kern w:val="0"/>
                <w:szCs w:val="21"/>
              </w:rPr>
              <w:t>升级职工澡堂设备设施，改善职工洗浴环境。食堂餐品改为套餐模式，增加菜品，提高职工用餐满意度。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5"/>
              </w:numP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开展活动次数：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次（“元旦”长跑活动、职工拔河活动、乒乓球活动等）</w:t>
            </w:r>
          </w:p>
          <w:p>
            <w:pPr>
              <w:widowControl/>
              <w:numPr>
                <w:ilvl w:val="0"/>
                <w:numId w:val="15"/>
              </w:numPr>
              <w:rPr>
                <w:rFonts w:ascii="仿宋_GB2312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参与活动人数：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95</w:t>
            </w:r>
            <w:r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人/次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6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客户走访率：大客户走访率100%；</w:t>
            </w:r>
          </w:p>
          <w:p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提供技术培训与服务人（次）：无</w:t>
            </w:r>
          </w:p>
          <w:p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客户培训和专题交流人（次）：无</w:t>
            </w:r>
          </w:p>
          <w:p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用户满意度：99%。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7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网上招标采购率：资材备件类达100%（急采类除外）</w:t>
            </w:r>
          </w:p>
          <w:p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设备采购合同履约率：100%。</w:t>
            </w:r>
          </w:p>
          <w:p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责任采购比重：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社区共建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8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服务社区活动情况：组织1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00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余名职工参加潇河产业园区安全月活动，3名职工参加山西省总工会“花开满园”职工技能培训，1名职工参加全总职工疗养。</w:t>
            </w:r>
          </w:p>
          <w:p>
            <w:pPr>
              <w:widowControl/>
              <w:numPr>
                <w:ilvl w:val="0"/>
                <w:numId w:val="1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组织社区文艺演出情况：无。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公益捐赠</w:t>
            </w:r>
          </w:p>
        </w:tc>
        <w:tc>
          <w:tcPr>
            <w:tcW w:w="6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9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企业公益额及占税前利润的比例：无</w:t>
            </w:r>
          </w:p>
          <w:p>
            <w:pPr>
              <w:widowControl/>
              <w:numPr>
                <w:ilvl w:val="0"/>
                <w:numId w:val="1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员工捐赠额及占税前利润的比例：无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（六）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未来展望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战略实施</w:t>
            </w:r>
          </w:p>
        </w:tc>
        <w:tc>
          <w:tcPr>
            <w:tcW w:w="6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0"/>
              </w:num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文化建设：按照太钢集团相关要求，紧紧围绕中国宝武“成为全球钢铁业引领者”企业愿景和“共建高质量钢铁生态圈”的企业使命，以“诚信、创新、绿色、共享”为价值观，将“成为铁合金行业高质量发展引领者”作为公司奋斗目标，同时切实发挥企业文化工作的自身优势，坚持以加强贯彻指导为基础，以推进工作创新为目标，以文化活动为载体，以服务生产和服务基层为推广手段，积极探索企业文化建设的新思路、新途径和新方法，开展“三降两增”“全面对标找差 全力争先进位”劳动竞赛，进一步营造降本增效的氛围，使公司生产经营建设得到了良性发展。</w:t>
            </w:r>
          </w:p>
          <w:p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改革发展：优化炉料结构，对标行业先进指标2次，提高精益生产水平，，大力开展环保升级提质改造项目，增强各区域除尘设备工艺水平，助力环保指标合法合规。</w:t>
            </w:r>
          </w:p>
          <w:p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产品升级：暂不涉及</w:t>
            </w:r>
          </w:p>
          <w:p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发展目标：成为铁合金行业高质量发展的引领者</w:t>
            </w:r>
          </w:p>
        </w:tc>
      </w:tr>
      <w:bookmarkEnd w:id="3"/>
    </w:tbl>
    <w:p>
      <w:pPr>
        <w:ind w:firstLine="600" w:firstLineChars="200"/>
        <w:rPr>
          <w:rFonts w:ascii="宋体"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八、其他依照法律法规应当主动公开的信息</w:t>
      </w:r>
    </w:p>
    <w:p>
      <w:pPr>
        <w:tabs>
          <w:tab w:val="left" w:pos="426"/>
        </w:tabs>
        <w:spacing w:line="600" w:lineRule="exact"/>
        <w:ind w:left="6" w:leftChars="3"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无。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A266479-2B06-4406-84B8-452CE268515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C95C9F3-7E99-440E-AD68-65CC091026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A36F8AE9-7BD6-4A9A-91A3-AB37DBB2447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1194D40-E2AE-4109-9525-A0AC6A987378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95A6E980-4C6A-4B11-9BE5-17111F605E0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952742E6-38BE-4936-A3D9-2659CD31922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5CFD8CEE-DB82-410A-A8FF-7819AFC1D84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F5EF6F15-35EE-497B-AAA6-111CF7B2CB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F7BC0ACD-AC84-4282-A428-DEE932633B3C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14762563" o:spid="_x0000_s3073" o:spt="136" type="#_x0000_t136" style="position:absolute;left:0pt;margin-left:450.55pt;margin-top:507.1pt;height:20pt;width:46pt;mso-position-horizontal-relative:margin;mso-position-vertical-relative:margin;rotation:-2949120f;z-index:-25162649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4612096" o:spid="_x0000_s3074" o:spt="136" type="#_x0000_t136" style="position:absolute;left:0pt;margin-left:389.75pt;margin-top:567.9pt;height:20pt;width:46pt;mso-position-horizontal-relative:margin;mso-position-vertical-relative:margin;rotation:-2949120f;z-index:-25162752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4223413" o:spid="_x0000_s3075" o:spt="136" type="#_x0000_t136" style="position:absolute;left:0pt;margin-left:328.95pt;margin-top:628.7pt;height:20pt;width:46pt;mso-position-horizontal-relative:margin;mso-position-vertical-relative:margin;rotation:-2949120f;z-index:-25162854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3787010" o:spid="_x0000_s3076" o:spt="136" type="#_x0000_t136" style="position:absolute;left:0pt;margin-left:268.15pt;margin-top:689.5pt;height:20pt;width:46pt;mso-position-horizontal-relative:margin;mso-position-vertical-relative:margin;rotation:-2949120f;z-index:-25162956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2833560" o:spid="_x0000_s3077" o:spt="136" type="#_x0000_t136" style="position:absolute;left:0pt;margin-left:207.3pt;margin-top:750.35pt;height:20pt;width:46pt;mso-position-horizontal-relative:margin;mso-position-vertical-relative:margin;rotation:-2949120f;z-index:-25163059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2062824" o:spid="_x0000_s3078" o:spt="136" type="#_x0000_t136" style="position:absolute;left:0pt;margin-left:450.55pt;margin-top:219.65pt;height:20pt;width:46pt;mso-position-horizontal-relative:margin;mso-position-vertical-relative:margin;rotation:-2949120f;z-index:-25163161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2043056" o:spid="_x0000_s3079" o:spt="136" type="#_x0000_t136" style="position:absolute;left:0pt;margin-left:389.75pt;margin-top:280.45pt;height:20pt;width:46pt;mso-position-horizontal-relative:margin;mso-position-vertical-relative:margin;rotation:-2949120f;z-index:-25163264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1240058" o:spid="_x0000_s3080" o:spt="136" type="#_x0000_t136" style="position:absolute;left:0pt;margin-left:328.95pt;margin-top:341.25pt;height:20pt;width:46pt;mso-position-horizontal-relative:margin;mso-position-vertical-relative:margin;rotation:-2949120f;z-index:-25163366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0594807" o:spid="_x0000_s3081" o:spt="136" type="#_x0000_t136" style="position:absolute;left:0pt;margin-left:268.15pt;margin-top:402.1pt;height:20pt;width:46pt;mso-position-horizontal-relative:margin;mso-position-vertical-relative:margin;rotation:-2949120f;z-index:-25163468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0308521" o:spid="_x0000_s3082" o:spt="136" type="#_x0000_t136" style="position:absolute;left:0pt;margin-left:207.3pt;margin-top:462.9pt;height:20pt;width:46pt;mso-position-horizontal-relative:margin;mso-position-vertical-relative:margin;rotation:-2949120f;z-index:-25163571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0013808" o:spid="_x0000_s3083" o:spt="136" type="#_x0000_t136" style="position:absolute;left:0pt;margin-left:146.5pt;margin-top:523.7pt;height:20pt;width:46pt;mso-position-horizontal-relative:margin;mso-position-vertical-relative:margin;rotation:-2949120f;z-index:-25163673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9388036" o:spid="_x0000_s3084" o:spt="136" type="#_x0000_t136" style="position:absolute;left:0pt;margin-left:85.7pt;margin-top:584.5pt;height:20pt;width:46pt;mso-position-horizontal-relative:margin;mso-position-vertical-relative:margin;rotation:-2949120f;z-index:-25163776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8842685" o:spid="_x0000_s3085" o:spt="136" type="#_x0000_t136" style="position:absolute;left:0pt;margin-left:24.9pt;margin-top:645.3pt;height:20pt;width:46pt;mso-position-horizontal-relative:margin;mso-position-vertical-relative:margin;rotation:-2949120f;z-index:-25163878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8382735" o:spid="_x0000_s3086" o:spt="136" type="#_x0000_t136" style="position:absolute;left:0pt;margin-left:-35.95pt;margin-top:706.15pt;height:20pt;width:46pt;mso-position-horizontal-relative:margin;mso-position-vertical-relative:margin;rotation:-2949120f;z-index:-25163980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7636199" o:spid="_x0000_s3087" o:spt="136" type="#_x0000_t136" style="position:absolute;left:0pt;margin-left:-96.75pt;margin-top:766.95pt;height:20pt;width:46pt;mso-position-horizontal-relative:margin;mso-position-vertical-relative:margin;rotation:-2949120f;z-index:-25164083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6768887" o:spid="_x0000_s3088" o:spt="136" type="#_x0000_t136" style="position:absolute;left:0pt;margin-left:450.55pt;margin-top:-67.8pt;height:20pt;width:46pt;mso-position-horizontal-relative:margin;mso-position-vertical-relative:margin;rotation:-2949120f;z-index:-25164185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6171719" o:spid="_x0000_s3089" o:spt="136" type="#_x0000_t136" style="position:absolute;left:0pt;margin-left:389.75pt;margin-top:-7pt;height:20pt;width:46pt;mso-position-horizontal-relative:margin;mso-position-vertical-relative:margin;rotation:-2949120f;z-index:-25164288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5749197" o:spid="_x0000_s3090" o:spt="136" type="#_x0000_t136" style="position:absolute;left:0pt;margin-left:328.95pt;margin-top:53.8pt;height:20pt;width:46pt;mso-position-horizontal-relative:margin;mso-position-vertical-relative:margin;rotation:-2949120f;z-index:-25164390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4809158" o:spid="_x0000_s3091" o:spt="136" type="#_x0000_t136" style="position:absolute;left:0pt;margin-left:268.15pt;margin-top:114.65pt;height:20pt;width:46pt;mso-position-horizontal-relative:margin;mso-position-vertical-relative:margin;rotation:-2949120f;z-index:-25164492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4610139" o:spid="_x0000_s3092" o:spt="136" type="#_x0000_t136" style="position:absolute;left:0pt;margin-left:207.3pt;margin-top:175.45pt;height:20pt;width:46pt;mso-position-horizontal-relative:margin;mso-position-vertical-relative:margin;rotation:-2949120f;z-index:-25164595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4430464" o:spid="_x0000_s3093" o:spt="136" type="#_x0000_t136" style="position:absolute;left:0pt;margin-left:146.5pt;margin-top:236.25pt;height:20pt;width:46pt;mso-position-horizontal-relative:margin;mso-position-vertical-relative:margin;rotation:-2949120f;z-index:-25164697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3622493" o:spid="_x0000_s3094" o:spt="136" type="#_x0000_t136" style="position:absolute;left:0pt;margin-left:85.7pt;margin-top:297.05pt;height:20pt;width:46pt;mso-position-horizontal-relative:margin;mso-position-vertical-relative:margin;rotation:-2949120f;z-index:-25164800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3185822" o:spid="_x0000_s3095" o:spt="136" type="#_x0000_t136" style="position:absolute;left:0pt;margin-left:24.9pt;margin-top:357.9pt;height:20pt;width:46pt;mso-position-horizontal-relative:margin;mso-position-vertical-relative:margin;rotation:-2949120f;z-index:-25164902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3148749" o:spid="_x0000_s3096" o:spt="136" type="#_x0000_t136" style="position:absolute;left:0pt;margin-left:-35.95pt;margin-top:418.7pt;height:20pt;width:46pt;mso-position-horizontal-relative:margin;mso-position-vertical-relative:margin;rotation:-2949120f;z-index:-25165004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2710622" o:spid="_x0000_s3097" o:spt="136" type="#_x0000_t136" style="position:absolute;left:0pt;margin-left:-96.75pt;margin-top:479.5pt;height:20pt;width:46pt;mso-position-horizontal-relative:margin;mso-position-vertical-relative:margin;rotation:-2949120f;z-index:-25165107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774362" o:spid="_x0000_s3098" o:spt="136" type="#_x0000_t136" style="position:absolute;left:0pt;margin-left:146.5pt;margin-top:-51.2pt;height:20pt;width:46pt;mso-position-horizontal-relative:margin;mso-position-vertical-relative:margin;rotation:-2949120f;z-index:-251652096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656955" o:spid="_x0000_s3099" o:spt="136" type="#_x0000_t136" style="position:absolute;left:0pt;margin-left:85.7pt;margin-top:9.65pt;height:20pt;width:46pt;mso-position-horizontal-relative:margin;mso-position-vertical-relative:margin;rotation:-2949120f;z-index:-251653120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1434733" o:spid="_x0000_s3100" o:spt="136" type="#_x0000_t136" style="position:absolute;left:0pt;margin-left:24.9pt;margin-top:70.45pt;height:20pt;width:46pt;mso-position-horizontal-relative:margin;mso-position-vertical-relative:margin;rotation:-2949120f;z-index:-251654144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995015" o:spid="_x0000_s3101" o:spt="136" type="#_x0000_t136" style="position:absolute;left:0pt;margin-left:-35.95pt;margin-top:131.25pt;height:20pt;width:46pt;mso-position-horizontal-relative:margin;mso-position-vertical-relative:margin;rotation:-2949120f;z-index:-251655168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  <w:r>
      <w:pict>
        <v:shape id="PowerPlusWaterMarkObject228847" o:spid="_x0000_s3102" o:spt="136" type="#_x0000_t136" style="position:absolute;left:0pt;margin-left:-96.75pt;margin-top:192.05pt;height:20pt;width:46pt;mso-position-horizontal-relative:margin;mso-position-vertical-relative:margin;rotation:-2949120f;z-index:-251656192;mso-width-relative:page;mso-height-relative:page;" fillcolor="#A6A6A6" filled="t" stroked="f" coordsize="21600,21600">
          <v:path/>
          <v:fill on="t" opacity="5242f" focussize="0,0"/>
          <v:stroke on="f"/>
          <v:imagedata o:title=""/>
          <o:lock v:ext="edit" aspectratio="t"/>
          <v:textpath on="t" fitshape="t" fitpath="t" trim="t" xscale="f" string="刘清慧" style="font-family:瀹嬩綋;font-size:20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AF8C79"/>
    <w:multiLevelType w:val="singleLevel"/>
    <w:tmpl w:val="8BAF8C7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69F25D3"/>
    <w:multiLevelType w:val="singleLevel"/>
    <w:tmpl w:val="A69F25D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C43ED75"/>
    <w:multiLevelType w:val="singleLevel"/>
    <w:tmpl w:val="AC43ED7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D7F256D"/>
    <w:multiLevelType w:val="singleLevel"/>
    <w:tmpl w:val="AD7F256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0CEF4FC"/>
    <w:multiLevelType w:val="singleLevel"/>
    <w:tmpl w:val="B0CEF4F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C8D2D3B0"/>
    <w:multiLevelType w:val="singleLevel"/>
    <w:tmpl w:val="C8D2D3B0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069C1E0"/>
    <w:multiLevelType w:val="singleLevel"/>
    <w:tmpl w:val="0069C1E0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01D0864D"/>
    <w:multiLevelType w:val="singleLevel"/>
    <w:tmpl w:val="01D0864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97C4CCB"/>
    <w:multiLevelType w:val="singleLevel"/>
    <w:tmpl w:val="097C4CCB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0DA4E640"/>
    <w:multiLevelType w:val="singleLevel"/>
    <w:tmpl w:val="0DA4E640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1C74AE75"/>
    <w:multiLevelType w:val="singleLevel"/>
    <w:tmpl w:val="1C74AE75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1AA4004"/>
    <w:multiLevelType w:val="singleLevel"/>
    <w:tmpl w:val="21AA4004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4263E489"/>
    <w:multiLevelType w:val="singleLevel"/>
    <w:tmpl w:val="4263E489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4EB100DA"/>
    <w:multiLevelType w:val="singleLevel"/>
    <w:tmpl w:val="4EB100DA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56CB6AC1"/>
    <w:multiLevelType w:val="singleLevel"/>
    <w:tmpl w:val="56CB6AC1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63A12EF7"/>
    <w:multiLevelType w:val="singleLevel"/>
    <w:tmpl w:val="63A12EF7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671088B2"/>
    <w:multiLevelType w:val="singleLevel"/>
    <w:tmpl w:val="671088B2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77BD9A31"/>
    <w:multiLevelType w:val="singleLevel"/>
    <w:tmpl w:val="77BD9A31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77D8E88E"/>
    <w:multiLevelType w:val="singleLevel"/>
    <w:tmpl w:val="77D8E88E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7816E6D7"/>
    <w:multiLevelType w:val="singleLevel"/>
    <w:tmpl w:val="7816E6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5"/>
  </w:num>
  <w:num w:numId="2">
    <w:abstractNumId w:val="16"/>
  </w:num>
  <w:num w:numId="3">
    <w:abstractNumId w:val="4"/>
  </w:num>
  <w:num w:numId="4">
    <w:abstractNumId w:val="14"/>
  </w:num>
  <w:num w:numId="5">
    <w:abstractNumId w:val="3"/>
  </w:num>
  <w:num w:numId="6">
    <w:abstractNumId w:val="7"/>
  </w:num>
  <w:num w:numId="7">
    <w:abstractNumId w:val="11"/>
  </w:num>
  <w:num w:numId="8">
    <w:abstractNumId w:val="0"/>
  </w:num>
  <w:num w:numId="9">
    <w:abstractNumId w:val="17"/>
  </w:num>
  <w:num w:numId="10">
    <w:abstractNumId w:val="1"/>
  </w:num>
  <w:num w:numId="11">
    <w:abstractNumId w:val="19"/>
  </w:num>
  <w:num w:numId="12">
    <w:abstractNumId w:val="18"/>
  </w:num>
  <w:num w:numId="13">
    <w:abstractNumId w:val="13"/>
  </w:num>
  <w:num w:numId="14">
    <w:abstractNumId w:val="6"/>
  </w:num>
  <w:num w:numId="15">
    <w:abstractNumId w:val="10"/>
  </w:num>
  <w:num w:numId="16">
    <w:abstractNumId w:val="12"/>
  </w:num>
  <w:num w:numId="17">
    <w:abstractNumId w:val="2"/>
  </w:num>
  <w:num w:numId="18">
    <w:abstractNumId w:val="8"/>
  </w:num>
  <w:num w:numId="19">
    <w:abstractNumId w:val="5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5ZTAwMGRlZjgyMjNhMTEzMzVhMDc1YTU2ZmYyYzUifQ=="/>
  </w:docVars>
  <w:rsids>
    <w:rsidRoot w:val="00C527B2"/>
    <w:rsid w:val="0001106F"/>
    <w:rsid w:val="0002342D"/>
    <w:rsid w:val="00067EAB"/>
    <w:rsid w:val="00087D72"/>
    <w:rsid w:val="00097BD0"/>
    <w:rsid w:val="000C7801"/>
    <w:rsid w:val="0012091C"/>
    <w:rsid w:val="00160288"/>
    <w:rsid w:val="001735C1"/>
    <w:rsid w:val="00184F62"/>
    <w:rsid w:val="00196418"/>
    <w:rsid w:val="001977B0"/>
    <w:rsid w:val="001E171F"/>
    <w:rsid w:val="001F1827"/>
    <w:rsid w:val="001F1ECF"/>
    <w:rsid w:val="00203571"/>
    <w:rsid w:val="00210A0B"/>
    <w:rsid w:val="00224281"/>
    <w:rsid w:val="00231F71"/>
    <w:rsid w:val="00290C22"/>
    <w:rsid w:val="00294795"/>
    <w:rsid w:val="002A0FAA"/>
    <w:rsid w:val="002B66C2"/>
    <w:rsid w:val="002D2032"/>
    <w:rsid w:val="002E0644"/>
    <w:rsid w:val="002F6AB1"/>
    <w:rsid w:val="003345CC"/>
    <w:rsid w:val="003662EC"/>
    <w:rsid w:val="003B2F33"/>
    <w:rsid w:val="004120DD"/>
    <w:rsid w:val="00414B8E"/>
    <w:rsid w:val="0042286D"/>
    <w:rsid w:val="0043046D"/>
    <w:rsid w:val="00437F1D"/>
    <w:rsid w:val="00444817"/>
    <w:rsid w:val="0044482E"/>
    <w:rsid w:val="00457319"/>
    <w:rsid w:val="0046476C"/>
    <w:rsid w:val="004B26EE"/>
    <w:rsid w:val="004C4810"/>
    <w:rsid w:val="004D3DD9"/>
    <w:rsid w:val="004D5206"/>
    <w:rsid w:val="00512E95"/>
    <w:rsid w:val="0051469B"/>
    <w:rsid w:val="005579E0"/>
    <w:rsid w:val="005636B2"/>
    <w:rsid w:val="00563F67"/>
    <w:rsid w:val="00565774"/>
    <w:rsid w:val="00591C86"/>
    <w:rsid w:val="005B2F30"/>
    <w:rsid w:val="005C5209"/>
    <w:rsid w:val="005F2034"/>
    <w:rsid w:val="005F6061"/>
    <w:rsid w:val="006226E2"/>
    <w:rsid w:val="00625612"/>
    <w:rsid w:val="006326A6"/>
    <w:rsid w:val="00636BC7"/>
    <w:rsid w:val="006529EA"/>
    <w:rsid w:val="0067689E"/>
    <w:rsid w:val="00687E4A"/>
    <w:rsid w:val="006A7288"/>
    <w:rsid w:val="006B36E9"/>
    <w:rsid w:val="006D74E2"/>
    <w:rsid w:val="00700ABD"/>
    <w:rsid w:val="00717234"/>
    <w:rsid w:val="0072521C"/>
    <w:rsid w:val="00730E6F"/>
    <w:rsid w:val="00756C47"/>
    <w:rsid w:val="007577C8"/>
    <w:rsid w:val="00774C9C"/>
    <w:rsid w:val="007E007A"/>
    <w:rsid w:val="008302CB"/>
    <w:rsid w:val="008305C1"/>
    <w:rsid w:val="008329FD"/>
    <w:rsid w:val="00850C90"/>
    <w:rsid w:val="008807C1"/>
    <w:rsid w:val="00886490"/>
    <w:rsid w:val="00894108"/>
    <w:rsid w:val="008951AE"/>
    <w:rsid w:val="008D73F9"/>
    <w:rsid w:val="00906833"/>
    <w:rsid w:val="00914C5A"/>
    <w:rsid w:val="00944730"/>
    <w:rsid w:val="0096756A"/>
    <w:rsid w:val="0097165D"/>
    <w:rsid w:val="00972AE6"/>
    <w:rsid w:val="009758B6"/>
    <w:rsid w:val="00981BC8"/>
    <w:rsid w:val="00994E5C"/>
    <w:rsid w:val="009A1525"/>
    <w:rsid w:val="009C6288"/>
    <w:rsid w:val="00A02374"/>
    <w:rsid w:val="00A13A13"/>
    <w:rsid w:val="00A859D3"/>
    <w:rsid w:val="00AB2C06"/>
    <w:rsid w:val="00AB56D7"/>
    <w:rsid w:val="00B06CF1"/>
    <w:rsid w:val="00B07FB4"/>
    <w:rsid w:val="00B13F2E"/>
    <w:rsid w:val="00B2163C"/>
    <w:rsid w:val="00B35BA5"/>
    <w:rsid w:val="00B4357F"/>
    <w:rsid w:val="00B53288"/>
    <w:rsid w:val="00B6199F"/>
    <w:rsid w:val="00B6578E"/>
    <w:rsid w:val="00B73754"/>
    <w:rsid w:val="00B84B72"/>
    <w:rsid w:val="00B94C41"/>
    <w:rsid w:val="00BA0365"/>
    <w:rsid w:val="00BA7030"/>
    <w:rsid w:val="00BB5945"/>
    <w:rsid w:val="00BE6A8A"/>
    <w:rsid w:val="00BF1B0B"/>
    <w:rsid w:val="00C01A88"/>
    <w:rsid w:val="00C2337A"/>
    <w:rsid w:val="00C40B37"/>
    <w:rsid w:val="00C527B2"/>
    <w:rsid w:val="00C67042"/>
    <w:rsid w:val="00C75528"/>
    <w:rsid w:val="00C845F8"/>
    <w:rsid w:val="00C9593D"/>
    <w:rsid w:val="00CA5156"/>
    <w:rsid w:val="00CB380E"/>
    <w:rsid w:val="00CC2B3B"/>
    <w:rsid w:val="00D0037C"/>
    <w:rsid w:val="00D42A23"/>
    <w:rsid w:val="00D57DE4"/>
    <w:rsid w:val="00D63B98"/>
    <w:rsid w:val="00DD3697"/>
    <w:rsid w:val="00DF660B"/>
    <w:rsid w:val="00E02B0F"/>
    <w:rsid w:val="00E238EB"/>
    <w:rsid w:val="00E24A05"/>
    <w:rsid w:val="00E34A26"/>
    <w:rsid w:val="00E4155F"/>
    <w:rsid w:val="00E4352C"/>
    <w:rsid w:val="00E43C9C"/>
    <w:rsid w:val="00E50625"/>
    <w:rsid w:val="00E86C2A"/>
    <w:rsid w:val="00E97BDE"/>
    <w:rsid w:val="00EB5FFC"/>
    <w:rsid w:val="00EB666C"/>
    <w:rsid w:val="00EB7F4B"/>
    <w:rsid w:val="00EC32CC"/>
    <w:rsid w:val="00ED4184"/>
    <w:rsid w:val="00F307DF"/>
    <w:rsid w:val="00F77ABF"/>
    <w:rsid w:val="00F87A8C"/>
    <w:rsid w:val="00F9361B"/>
    <w:rsid w:val="00FB4FB2"/>
    <w:rsid w:val="00FD4397"/>
    <w:rsid w:val="00FE682F"/>
    <w:rsid w:val="00FF6747"/>
    <w:rsid w:val="00FF7CB6"/>
    <w:rsid w:val="061367C4"/>
    <w:rsid w:val="09D415A4"/>
    <w:rsid w:val="0B3F48C0"/>
    <w:rsid w:val="0CFD33F5"/>
    <w:rsid w:val="0DB963BF"/>
    <w:rsid w:val="113C214D"/>
    <w:rsid w:val="13B32A60"/>
    <w:rsid w:val="14586B64"/>
    <w:rsid w:val="180C0990"/>
    <w:rsid w:val="19B14EE3"/>
    <w:rsid w:val="1A3B555D"/>
    <w:rsid w:val="1A494CA3"/>
    <w:rsid w:val="1D2352BD"/>
    <w:rsid w:val="26356251"/>
    <w:rsid w:val="2EEB7DAA"/>
    <w:rsid w:val="36F9612C"/>
    <w:rsid w:val="3B8F60E7"/>
    <w:rsid w:val="3E8804C1"/>
    <w:rsid w:val="3F9B06C8"/>
    <w:rsid w:val="40995C23"/>
    <w:rsid w:val="440517FB"/>
    <w:rsid w:val="481C26D0"/>
    <w:rsid w:val="4B63247C"/>
    <w:rsid w:val="549534E0"/>
    <w:rsid w:val="5B6855E9"/>
    <w:rsid w:val="5BF07C2F"/>
    <w:rsid w:val="5C797243"/>
    <w:rsid w:val="5C7D52E9"/>
    <w:rsid w:val="64D450D8"/>
    <w:rsid w:val="6897475F"/>
    <w:rsid w:val="6A0A597F"/>
    <w:rsid w:val="6A5A380F"/>
    <w:rsid w:val="6C687DA3"/>
    <w:rsid w:val="6E2B3165"/>
    <w:rsid w:val="705E7155"/>
    <w:rsid w:val="72121B24"/>
    <w:rsid w:val="73C606F4"/>
    <w:rsid w:val="76E934EC"/>
    <w:rsid w:val="77106EA8"/>
    <w:rsid w:val="7D034BDB"/>
    <w:rsid w:val="DF7DD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标题 1 字符"/>
    <w:link w:val="2"/>
    <w:qFormat/>
    <w:uiPriority w:val="99"/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customStyle="1" w:styleId="9">
    <w:name w:val="页脚 字符"/>
    <w:link w:val="3"/>
    <w:qFormat/>
    <w:locked/>
    <w:uiPriority w:val="99"/>
    <w:rPr>
      <w:sz w:val="18"/>
    </w:rPr>
  </w:style>
  <w:style w:type="character" w:customStyle="1" w:styleId="10">
    <w:name w:val="页眉 字符"/>
    <w:link w:val="4"/>
    <w:qFormat/>
    <w:locked/>
    <w:uiPriority w:val="99"/>
    <w:rPr>
      <w:sz w:val="18"/>
    </w:rPr>
  </w:style>
  <w:style w:type="character" w:customStyle="1" w:styleId="11">
    <w:name w:val="页眉 字符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Header Char1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页脚 字符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Footer Char1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15">
    <w:name w:val="Char Char1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3074"/>
    <customShpInfo spid="_x0000_s3075"/>
    <customShpInfo spid="_x0000_s3076"/>
    <customShpInfo spid="_x0000_s3077"/>
    <customShpInfo spid="_x0000_s3078"/>
    <customShpInfo spid="_x0000_s3079"/>
    <customShpInfo spid="_x0000_s3080"/>
    <customShpInfo spid="_x0000_s3081"/>
    <customShpInfo spid="_x0000_s3082"/>
    <customShpInfo spid="_x0000_s3083"/>
    <customShpInfo spid="_x0000_s3084"/>
    <customShpInfo spid="_x0000_s3085"/>
    <customShpInfo spid="_x0000_s3086"/>
    <customShpInfo spid="_x0000_s3087"/>
    <customShpInfo spid="_x0000_s3088"/>
    <customShpInfo spid="_x0000_s3089"/>
    <customShpInfo spid="_x0000_s3090"/>
    <customShpInfo spid="_x0000_s3091"/>
    <customShpInfo spid="_x0000_s3092"/>
    <customShpInfo spid="_x0000_s3093"/>
    <customShpInfo spid="_x0000_s3094"/>
    <customShpInfo spid="_x0000_s3095"/>
    <customShpInfo spid="_x0000_s3096"/>
    <customShpInfo spid="_x0000_s3097"/>
    <customShpInfo spid="_x0000_s3098"/>
    <customShpInfo spid="_x0000_s3099"/>
    <customShpInfo spid="_x0000_s3100"/>
    <customShpInfo spid="_x0000_s3101"/>
    <customShpInfo spid="_x0000_s3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721</Words>
  <Characters>4116</Characters>
  <Lines>34</Lines>
  <Paragraphs>9</Paragraphs>
  <TotalTime>895</TotalTime>
  <ScaleCrop>false</ScaleCrop>
  <LinksUpToDate>false</LinksUpToDate>
  <CharactersWithSpaces>4828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2022-05-24T15:21:00Z</dcterms:created>
  <dc:creator>武滨</dc:creator>
  <cp:lastModifiedBy>二郎</cp:lastModifiedBy>
  <cp:lastPrinted>2024-01-04T06:53:00Z</cp:lastPrinted>
  <dcterms:modified xsi:type="dcterms:W3CDTF">2024-01-24T06:05:22Z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17BED57A78B44383AFDE30D35F97194E</vt:lpwstr>
  </property>
</Properties>
</file>