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等线" w:eastAsia="方正小标宋简体"/>
          <w:sz w:val="36"/>
          <w:szCs w:val="36"/>
        </w:rPr>
      </w:pPr>
      <w:r>
        <w:rPr>
          <w:rFonts w:hint="eastAsia" w:ascii="方正小标宋简体" w:hAnsi="等线" w:eastAsia="方正小标宋简体"/>
          <w:sz w:val="36"/>
          <w:szCs w:val="36"/>
          <w:lang w:val="en-US" w:eastAsia="zh-CN"/>
        </w:rPr>
        <w:t>山东</w:t>
      </w:r>
      <w:r>
        <w:rPr>
          <w:rFonts w:hint="eastAsia" w:ascii="方正小标宋简体" w:hAnsi="等线" w:eastAsia="方正小标宋简体"/>
          <w:sz w:val="36"/>
          <w:szCs w:val="36"/>
        </w:rPr>
        <w:t>太钢</w:t>
      </w:r>
      <w:r>
        <w:rPr>
          <w:rFonts w:hint="eastAsia" w:ascii="方正小标宋简体" w:hAnsi="等线" w:eastAsia="方正小标宋简体"/>
          <w:sz w:val="36"/>
          <w:szCs w:val="36"/>
          <w:lang w:val="en-US" w:eastAsia="zh-CN"/>
        </w:rPr>
        <w:t>鑫海</w:t>
      </w:r>
      <w:r>
        <w:rPr>
          <w:rFonts w:hint="eastAsia" w:ascii="方正小标宋简体" w:hAnsi="等线" w:eastAsia="方正小标宋简体"/>
          <w:sz w:val="36"/>
          <w:szCs w:val="36"/>
        </w:rPr>
        <w:t>不锈钢有限公司信息公开</w:t>
      </w:r>
    </w:p>
    <w:p>
      <w:pPr>
        <w:jc w:val="center"/>
        <w:rPr>
          <w:rFonts w:ascii="楷体_GB2312" w:eastAsia="楷体_GB2312"/>
          <w:sz w:val="32"/>
          <w:szCs w:val="32"/>
        </w:rPr>
      </w:pPr>
      <w:bookmarkStart w:id="0" w:name="_Hlk87362038"/>
      <w:r>
        <w:rPr>
          <w:rFonts w:ascii="楷体_GB2312" w:eastAsia="楷体_GB2312"/>
          <w:sz w:val="32"/>
          <w:szCs w:val="32"/>
        </w:rPr>
        <w:t>(</w:t>
      </w:r>
      <w:r>
        <w:rPr>
          <w:rFonts w:hint="eastAsia" w:ascii="楷体_GB2312" w:eastAsia="楷体_GB2312"/>
          <w:sz w:val="32"/>
          <w:szCs w:val="32"/>
        </w:rPr>
        <w:t>2</w:t>
      </w:r>
      <w:r>
        <w:rPr>
          <w:rFonts w:ascii="楷体_GB2312" w:eastAsia="楷体_GB2312"/>
          <w:sz w:val="32"/>
          <w:szCs w:val="32"/>
        </w:rPr>
        <w:t>02</w:t>
      </w:r>
      <w:r>
        <w:rPr>
          <w:rFonts w:hint="eastAsia" w:ascii="楷体_GB2312" w:eastAsia="楷体_GB2312"/>
          <w:sz w:val="32"/>
          <w:szCs w:val="32"/>
          <w:lang w:val="en-US" w:eastAsia="zh-CN"/>
        </w:rPr>
        <w:t>3</w:t>
      </w:r>
      <w:r>
        <w:rPr>
          <w:rFonts w:hint="eastAsia" w:ascii="楷体_GB2312" w:eastAsia="楷体_GB2312"/>
          <w:sz w:val="32"/>
          <w:szCs w:val="32"/>
        </w:rPr>
        <w:t>年</w:t>
      </w:r>
      <w:r>
        <w:rPr>
          <w:rFonts w:hint="eastAsia" w:ascii="楷体_GB2312" w:eastAsia="楷体_GB2312"/>
          <w:sz w:val="32"/>
          <w:szCs w:val="32"/>
          <w:lang w:val="en-US" w:eastAsia="zh-CN"/>
        </w:rPr>
        <w:t>半</w:t>
      </w:r>
      <w:r>
        <w:rPr>
          <w:rFonts w:hint="eastAsia" w:ascii="楷体_GB2312" w:eastAsia="楷体_GB2312"/>
          <w:sz w:val="32"/>
          <w:szCs w:val="32"/>
        </w:rPr>
        <w:t>年度</w:t>
      </w:r>
      <w:r>
        <w:rPr>
          <w:rFonts w:ascii="楷体_GB2312" w:eastAsia="楷体_GB2312"/>
          <w:sz w:val="32"/>
          <w:szCs w:val="32"/>
        </w:rPr>
        <w:t>)</w:t>
      </w:r>
      <w:bookmarkEnd w:id="0"/>
    </w:p>
    <w:p>
      <w:pPr>
        <w:rPr>
          <w:rFonts w:ascii="楷体_GB2312" w:eastAsia="楷体_GB2312"/>
          <w:sz w:val="18"/>
          <w:szCs w:val="18"/>
        </w:rPr>
      </w:pPr>
    </w:p>
    <w:tbl>
      <w:tblPr>
        <w:tblStyle w:val="7"/>
        <w:tblW w:w="8931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</w:trPr>
        <w:tc>
          <w:tcPr>
            <w:tcW w:w="8931" w:type="dxa"/>
            <w:vAlign w:val="top"/>
          </w:tcPr>
          <w:p>
            <w:pPr>
              <w:spacing w:line="540" w:lineRule="exact"/>
              <w:ind w:firstLine="560" w:firstLineChars="200"/>
              <w:jc w:val="left"/>
              <w:rPr>
                <w:rFonts w:ascii="楷体" w:hAnsi="楷体" w:eastAsia="楷体" w:cs="仿宋"/>
                <w:sz w:val="28"/>
                <w:szCs w:val="28"/>
              </w:rPr>
            </w:pPr>
            <w:r>
              <w:rPr>
                <w:rFonts w:hint="eastAsia" w:ascii="楷体" w:hAnsi="楷体" w:eastAsia="楷体" w:cs="仿宋"/>
                <w:sz w:val="28"/>
                <w:szCs w:val="28"/>
              </w:rPr>
              <w:t>本公司及董事会全体成员保证信息披露内容的真实、准确、完整，没有虚假记载、误导性陈述或重大遗漏。</w:t>
            </w:r>
          </w:p>
        </w:tc>
      </w:tr>
    </w:tbl>
    <w:p>
      <w:pPr>
        <w:rPr>
          <w:rFonts w:ascii="黑体" w:hAnsi="黑体" w:eastAsia="黑体" w:cs="黑体"/>
          <w:bCs/>
          <w:sz w:val="18"/>
          <w:szCs w:val="18"/>
        </w:rPr>
      </w:pPr>
    </w:p>
    <w:p>
      <w:pPr>
        <w:ind w:firstLine="600" w:firstLineChars="200"/>
        <w:rPr>
          <w:rFonts w:ascii="黑体" w:hAnsi="黑体" w:eastAsia="黑体" w:cs="黑体"/>
          <w:bCs/>
          <w:sz w:val="30"/>
          <w:szCs w:val="30"/>
        </w:rPr>
      </w:pPr>
      <w:r>
        <w:rPr>
          <w:rFonts w:hint="eastAsia" w:ascii="黑体" w:hAnsi="黑体" w:eastAsia="黑体" w:cs="黑体"/>
          <w:bCs/>
          <w:sz w:val="30"/>
          <w:szCs w:val="30"/>
        </w:rPr>
        <w:t>一、企业基本情况</w:t>
      </w:r>
    </w:p>
    <w:p>
      <w:pPr>
        <w:widowControl/>
        <w:spacing w:line="540" w:lineRule="exact"/>
        <w:ind w:firstLine="640" w:firstLineChars="200"/>
        <w:jc w:val="left"/>
        <w:rPr>
          <w:rFonts w:hint="eastAsia" w:ascii="仿宋_GB2312" w:hAnsi="仿宋" w:eastAsia="仿宋_GB2312" w:cs="仿宋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sz w:val="32"/>
          <w:szCs w:val="32"/>
        </w:rPr>
        <w:t>中文名称：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山东</w:t>
      </w:r>
      <w:r>
        <w:rPr>
          <w:rFonts w:hint="eastAsia" w:ascii="仿宋_GB2312" w:hAnsi="仿宋" w:eastAsia="仿宋_GB2312" w:cs="仿宋"/>
          <w:sz w:val="32"/>
          <w:szCs w:val="32"/>
        </w:rPr>
        <w:t>太钢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鑫海</w:t>
      </w:r>
      <w:r>
        <w:rPr>
          <w:rFonts w:hint="eastAsia" w:ascii="仿宋_GB2312" w:hAnsi="仿宋" w:eastAsia="仿宋_GB2312" w:cs="仿宋"/>
          <w:sz w:val="32"/>
          <w:szCs w:val="32"/>
        </w:rPr>
        <w:t>不锈钢有限公司，简称：太钢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鑫海</w:t>
      </w:r>
    </w:p>
    <w:p>
      <w:pPr>
        <w:widowControl/>
        <w:spacing w:line="540" w:lineRule="exact"/>
        <w:ind w:firstLine="640" w:firstLineChars="200"/>
        <w:jc w:val="left"/>
        <w:rPr>
          <w:rFonts w:hint="default" w:ascii="仿宋_GB2312" w:hAnsi="仿宋" w:eastAsia="仿宋_GB2312" w:cs="仿宋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sz w:val="32"/>
          <w:szCs w:val="32"/>
        </w:rPr>
        <w:t>法定代表人：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解浩</w:t>
      </w:r>
    </w:p>
    <w:p>
      <w:pPr>
        <w:widowControl/>
        <w:spacing w:line="540" w:lineRule="exact"/>
        <w:ind w:firstLine="640" w:firstLineChars="200"/>
        <w:jc w:val="left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股东名称：山西太钢不锈钢股份有限公司（5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1</w:t>
      </w:r>
      <w:r>
        <w:rPr>
          <w:rFonts w:hint="eastAsia" w:ascii="仿宋_GB2312" w:hAnsi="仿宋" w:eastAsia="仿宋_GB2312" w:cs="仿宋"/>
          <w:sz w:val="32"/>
          <w:szCs w:val="32"/>
        </w:rPr>
        <w:t>%），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临沂鑫海新型材料有限公司</w:t>
      </w:r>
      <w:r>
        <w:rPr>
          <w:rFonts w:hint="eastAsia" w:ascii="仿宋_GB2312" w:hAnsi="仿宋" w:eastAsia="仿宋_GB2312" w:cs="仿宋"/>
          <w:sz w:val="32"/>
          <w:szCs w:val="32"/>
        </w:rPr>
        <w:t>（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49</w:t>
      </w:r>
      <w:r>
        <w:rPr>
          <w:rFonts w:hint="eastAsia" w:ascii="仿宋_GB2312" w:hAnsi="仿宋" w:eastAsia="仿宋_GB2312" w:cs="仿宋"/>
          <w:sz w:val="32"/>
          <w:szCs w:val="32"/>
        </w:rPr>
        <w:t>%）</w:t>
      </w:r>
    </w:p>
    <w:p>
      <w:pPr>
        <w:widowControl/>
        <w:spacing w:line="540" w:lineRule="exact"/>
        <w:ind w:firstLine="640" w:firstLineChars="200"/>
        <w:jc w:val="left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 xml:space="preserve">注册地址：山东省临沂市莒南县坊前镇科创园区中心大道北段 </w:t>
      </w:r>
    </w:p>
    <w:p>
      <w:pPr>
        <w:widowControl/>
        <w:spacing w:line="540" w:lineRule="exact"/>
        <w:ind w:firstLine="640" w:firstLineChars="200"/>
        <w:jc w:val="left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 xml:space="preserve">办公地址：山东省临沂市莒南县坊前镇科创园区中心大道北段 </w:t>
      </w:r>
    </w:p>
    <w:p>
      <w:pPr>
        <w:widowControl/>
        <w:spacing w:line="540" w:lineRule="exact"/>
        <w:ind w:firstLine="640" w:firstLineChars="200"/>
        <w:jc w:val="left"/>
        <w:rPr>
          <w:rFonts w:hint="default" w:ascii="仿宋_GB2312" w:hAnsi="仿宋" w:eastAsia="仿宋_GB2312" w:cs="仿宋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sz w:val="32"/>
          <w:szCs w:val="32"/>
        </w:rPr>
        <w:t>邮政编码：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276600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sz w:val="32"/>
          <w:szCs w:val="32"/>
        </w:rPr>
        <w:t>公司简介：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山东太钢鑫海不锈钢有限公司（以下简称“公司”）是太钢集团所属上市公司山西太钢不锈钢股份有限公司(以下简称“太钢不锈”，股票上市代码000825)与临沂鑫海新型材料有限公司合资成立的公司，属于太钢不锈控股子公司，位于山东省临沂市莒南临港产业园，临近日照岚山港、岚桥港，交通便利。公司战略定位为300系不锈钢低成本高效化生产基地，是太钢集团“一部多基地”管控模式的重要支撑之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2022年6月17日，公司完成注册资本变更登记和股东变更登记，太钢不锈成为公司的控股股东；9月28日，公司完成名称变更登记和注册资本变更登记，注册资本为39.29万元，“太钢”正式成为公司字号的组成部分。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公司目前在建项目为162万吨不锈钢炼钢项目，包括炼钢厂、热轧厂(含热酸退线)，设计年产连铸坯162万吨，热轧钢卷157万吨，热酸洗钢卷155万吨，是全国唯一的“电-镍-钢-材”一体化不锈钢产业基地，产品将主要辐射华东、华北、东北等区域，覆盖环渤海、长三角等经济带。截至目前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AOD炉热负荷试车取得成功，正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推进合金熔化炉建设实现降本增效；并将逐步推进热轧、热酸退、冷轧等产业延伸项目，热轧项目预计2023年9月热负荷试车。</w:t>
      </w:r>
    </w:p>
    <w:p>
      <w:pPr>
        <w:spacing w:line="360" w:lineRule="auto"/>
        <w:ind w:firstLine="640" w:firstLineChars="200"/>
        <w:rPr>
          <w:rFonts w:hint="eastAsia" w:ascii="仿宋_GB2312" w:hAnsi="仿宋" w:eastAsia="仿宋_GB2312" w:cs="仿宋"/>
          <w:sz w:val="32"/>
          <w:szCs w:val="32"/>
        </w:rPr>
      </w:pPr>
    </w:p>
    <w:p>
      <w:pPr>
        <w:ind w:firstLine="600" w:firstLineChars="200"/>
        <w:rPr>
          <w:rFonts w:ascii="黑体" w:hAnsi="黑体" w:eastAsia="黑体" w:cs="黑体"/>
          <w:bCs/>
          <w:sz w:val="30"/>
          <w:szCs w:val="30"/>
        </w:rPr>
      </w:pPr>
      <w:r>
        <w:rPr>
          <w:rFonts w:hint="eastAsia" w:ascii="黑体" w:hAnsi="黑体" w:eastAsia="黑体" w:cs="黑体"/>
          <w:bCs/>
          <w:sz w:val="30"/>
          <w:szCs w:val="30"/>
        </w:rPr>
        <w:t>二、公司治理及管理架构、重要人事变动、企业负责人薪酬水平情况</w:t>
      </w:r>
    </w:p>
    <w:p>
      <w:pPr>
        <w:widowControl/>
        <w:spacing w:line="540" w:lineRule="exact"/>
        <w:ind w:firstLine="602" w:firstLineChars="200"/>
        <w:jc w:val="left"/>
        <w:rPr>
          <w:rFonts w:ascii="仿宋_GB2312" w:hAnsi="仿宋" w:eastAsia="仿宋_GB2312" w:cs="仿宋"/>
          <w:b/>
          <w:bCs/>
          <w:sz w:val="30"/>
          <w:szCs w:val="30"/>
        </w:rPr>
      </w:pPr>
      <w:r>
        <w:rPr>
          <w:rFonts w:hint="eastAsia" w:ascii="Calibri" w:hAnsi="Calibri" w:eastAsia="仿宋" w:cs="Calibri"/>
          <w:b/>
          <w:bCs/>
          <w:sz w:val="30"/>
          <w:szCs w:val="30"/>
        </w:rPr>
        <w:t>（</w:t>
      </w:r>
      <w:r>
        <w:rPr>
          <w:rFonts w:hint="eastAsia" w:ascii="仿宋_GB2312" w:hAnsi="仿宋" w:eastAsia="仿宋_GB2312" w:cs="仿宋"/>
          <w:b/>
          <w:bCs/>
          <w:sz w:val="30"/>
          <w:szCs w:val="30"/>
        </w:rPr>
        <w:t>一）公司治理及管理架构</w:t>
      </w:r>
    </w:p>
    <w:p>
      <w:pPr>
        <w:spacing w:line="360" w:lineRule="auto"/>
        <w:ind w:firstLine="640" w:firstLineChars="20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公司</w:t>
      </w:r>
      <w:r>
        <w:rPr>
          <w:rFonts w:hint="eastAsia" w:ascii="仿宋_GB2312" w:hAnsi="仿宋" w:eastAsia="仿宋_GB2312" w:cs="仿宋"/>
          <w:sz w:val="32"/>
          <w:szCs w:val="32"/>
        </w:rPr>
        <w:t>设立董事会、监事会、经理层，董事会有5名董事、设董事长1名、副董事长1名、董事3名；监事会有3名监事，设监事会主席1名、监事1名、职工监事1名；经理层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4</w:t>
      </w:r>
      <w:r>
        <w:rPr>
          <w:rFonts w:hint="eastAsia" w:ascii="仿宋_GB2312" w:hAnsi="仿宋" w:eastAsia="仿宋_GB2312" w:cs="仿宋"/>
          <w:sz w:val="32"/>
          <w:szCs w:val="32"/>
        </w:rPr>
        <w:t>名，设总经理1名、副经理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2</w:t>
      </w:r>
      <w:r>
        <w:rPr>
          <w:rFonts w:hint="eastAsia" w:ascii="仿宋_GB2312" w:hAnsi="仿宋" w:eastAsia="仿宋_GB2312" w:cs="仿宋"/>
          <w:sz w:val="32"/>
          <w:szCs w:val="32"/>
        </w:rPr>
        <w:t>名、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财务总监</w:t>
      </w:r>
      <w:r>
        <w:rPr>
          <w:rFonts w:hint="eastAsia" w:ascii="仿宋_GB2312" w:hAnsi="仿宋" w:eastAsia="仿宋_GB2312" w:cs="仿宋"/>
          <w:sz w:val="32"/>
          <w:szCs w:val="32"/>
        </w:rPr>
        <w:t>1名。</w:t>
      </w:r>
    </w:p>
    <w:p>
      <w:pPr>
        <w:widowControl/>
        <w:spacing w:line="540" w:lineRule="exact"/>
        <w:ind w:firstLine="602" w:firstLineChars="200"/>
        <w:jc w:val="left"/>
        <w:rPr>
          <w:rFonts w:hint="eastAsia" w:ascii="仿宋_GB2312" w:hAnsi="仿宋" w:eastAsia="仿宋_GB2312" w:cs="仿宋"/>
          <w:b/>
          <w:bCs/>
          <w:sz w:val="30"/>
          <w:szCs w:val="30"/>
        </w:rPr>
      </w:pPr>
      <w:r>
        <w:rPr>
          <w:rFonts w:hint="eastAsia" w:ascii="仿宋_GB2312" w:hAnsi="仿宋" w:eastAsia="仿宋_GB2312" w:cs="仿宋"/>
          <w:b/>
          <w:bCs/>
          <w:sz w:val="30"/>
          <w:szCs w:val="30"/>
        </w:rPr>
        <w:t>组织机构图：</w:t>
      </w:r>
    </w:p>
    <w:p>
      <w:pPr>
        <w:pStyle w:val="8"/>
        <w:rPr>
          <w:rFonts w:hint="eastAsia" w:ascii="仿宋_GB2312" w:hAnsi="仿宋" w:eastAsia="仿宋_GB2312" w:cs="仿宋"/>
          <w:b/>
          <w:bCs/>
          <w:sz w:val="30"/>
          <w:szCs w:val="30"/>
        </w:rPr>
      </w:pPr>
      <w:r>
        <w:rPr>
          <w:rFonts w:hint="eastAsia" w:eastAsia="仿宋_GB2312"/>
          <w:lang w:eastAsia="zh-CN"/>
        </w:rPr>
        <w:drawing>
          <wp:inline distT="0" distB="0" distL="114300" distR="114300">
            <wp:extent cx="6261735" cy="5299075"/>
            <wp:effectExtent l="0" t="0" r="0" b="15875"/>
            <wp:docPr id="1" name="图片 1" descr="微信图片_20230321142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30321142121"/>
                    <pic:cNvPicPr>
                      <a:picLocks noChangeAspect="1"/>
                    </pic:cNvPicPr>
                  </pic:nvPicPr>
                  <pic:blipFill>
                    <a:blip r:embed="rId5"/>
                    <a:srcRect t="18602" r="-5319"/>
                    <a:stretch>
                      <a:fillRect/>
                    </a:stretch>
                  </pic:blipFill>
                  <pic:spPr>
                    <a:xfrm>
                      <a:off x="0" y="0"/>
                      <a:ext cx="6261735" cy="529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hAnsi="仿宋" w:eastAsia="仿宋_GB2312" w:cs="仿宋"/>
          <w:b/>
          <w:bCs/>
          <w:sz w:val="30"/>
          <w:szCs w:val="30"/>
        </w:rPr>
        <w:t>（二）重要人事变动（董事、监事、高级管理人员）</w:t>
      </w:r>
    </w:p>
    <w:p>
      <w:pPr>
        <w:widowControl/>
        <w:spacing w:line="540" w:lineRule="exact"/>
        <w:ind w:firstLine="301" w:firstLineChars="100"/>
        <w:jc w:val="left"/>
        <w:rPr>
          <w:rFonts w:hint="eastAsia" w:ascii="仿宋_GB2312" w:hAnsi="仿宋" w:eastAsia="仿宋_GB2312" w:cs="仿宋"/>
          <w:b/>
          <w:bCs/>
          <w:sz w:val="30"/>
          <w:szCs w:val="30"/>
        </w:rPr>
      </w:pPr>
      <w:r>
        <w:rPr>
          <w:rFonts w:hint="eastAsia" w:ascii="仿宋_GB2312" w:hAnsi="仿宋" w:eastAsia="仿宋_GB2312" w:cs="仿宋"/>
          <w:b/>
          <w:bCs/>
          <w:sz w:val="30"/>
          <w:szCs w:val="30"/>
        </w:rPr>
        <w:t>无</w:t>
      </w:r>
    </w:p>
    <w:p>
      <w:pPr>
        <w:widowControl/>
        <w:spacing w:line="540" w:lineRule="exact"/>
        <w:jc w:val="left"/>
        <w:rPr>
          <w:rFonts w:hint="eastAsia" w:ascii="仿宋_GB2312" w:hAnsi="宋体" w:eastAsia="仿宋_GB2312" w:cs="Arial"/>
          <w:szCs w:val="21"/>
        </w:rPr>
      </w:pPr>
      <w:r>
        <w:rPr>
          <w:rFonts w:hint="eastAsia" w:ascii="仿宋_GB2312" w:hAnsi="仿宋" w:eastAsia="仿宋_GB2312" w:cs="仿宋"/>
          <w:b/>
          <w:bCs/>
          <w:sz w:val="30"/>
          <w:szCs w:val="30"/>
        </w:rPr>
        <w:t>（三）企业负责人薪酬水平情况</w:t>
      </w:r>
      <w:r>
        <w:rPr>
          <w:rFonts w:hint="eastAsia" w:ascii="仿宋_GB2312" w:hAnsi="仿宋" w:eastAsia="仿宋_GB2312" w:cs="仿宋"/>
          <w:b/>
          <w:bCs/>
          <w:sz w:val="32"/>
          <w:szCs w:val="32"/>
        </w:rPr>
        <w:t xml:space="preserve"> </w:t>
      </w:r>
      <w:r>
        <w:rPr>
          <w:rFonts w:ascii="仿宋_GB2312" w:hAnsi="仿宋" w:eastAsia="仿宋_GB2312" w:cs="仿宋"/>
          <w:b/>
          <w:bCs/>
          <w:sz w:val="32"/>
          <w:szCs w:val="32"/>
        </w:rPr>
        <w:t xml:space="preserve">          </w:t>
      </w:r>
      <w:r>
        <w:rPr>
          <w:rFonts w:hint="eastAsia" w:ascii="仿宋_GB2312" w:hAnsi="宋体" w:eastAsia="仿宋_GB2312" w:cs="Arial"/>
          <w:szCs w:val="21"/>
        </w:rPr>
        <w:t>单位：万元</w:t>
      </w:r>
    </w:p>
    <w:p>
      <w:pPr>
        <w:widowControl/>
        <w:spacing w:line="540" w:lineRule="exact"/>
        <w:ind w:firstLine="301" w:firstLineChars="100"/>
        <w:jc w:val="left"/>
        <w:rPr>
          <w:rFonts w:hint="eastAsia" w:ascii="仿宋_GB2312" w:hAnsi="仿宋" w:eastAsia="仿宋_GB2312" w:cs="仿宋"/>
          <w:b/>
          <w:bCs/>
          <w:sz w:val="30"/>
          <w:szCs w:val="30"/>
        </w:rPr>
      </w:pPr>
      <w:r>
        <w:rPr>
          <w:rFonts w:hint="eastAsia" w:ascii="仿宋_GB2312" w:hAnsi="仿宋" w:eastAsia="仿宋_GB2312" w:cs="仿宋"/>
          <w:b/>
          <w:bCs/>
          <w:sz w:val="30"/>
          <w:szCs w:val="30"/>
        </w:rPr>
        <w:t>无</w:t>
      </w:r>
    </w:p>
    <w:p>
      <w:pPr>
        <w:rPr>
          <w:rFonts w:ascii="黑体" w:hAnsi="黑体" w:eastAsia="黑体" w:cs="黑体"/>
          <w:bCs/>
          <w:sz w:val="30"/>
          <w:szCs w:val="30"/>
        </w:rPr>
      </w:pPr>
      <w:r>
        <w:rPr>
          <w:rFonts w:hint="eastAsia" w:ascii="黑体" w:hAnsi="黑体" w:eastAsia="黑体" w:cs="黑体"/>
          <w:bCs/>
          <w:sz w:val="30"/>
          <w:szCs w:val="30"/>
        </w:rPr>
        <w:t>三、企业主要财务状况和经营成果、国有资本保值增值情况</w:t>
      </w:r>
    </w:p>
    <w:p>
      <w:pPr>
        <w:tabs>
          <w:tab w:val="left" w:pos="7350"/>
        </w:tabs>
        <w:spacing w:before="62" w:beforeLines="20" w:after="62" w:afterLines="20" w:line="600" w:lineRule="exact"/>
        <w:ind w:firstLine="482"/>
        <w:rPr>
          <w:rFonts w:ascii="仿宋_GB2312" w:eastAsia="仿宋_GB2312"/>
          <w:b/>
          <w:sz w:val="30"/>
          <w:szCs w:val="30"/>
          <w:highlight w:val="none"/>
        </w:rPr>
      </w:pPr>
      <w:r>
        <w:rPr>
          <w:rFonts w:hint="eastAsia" w:ascii="仿宋_GB2312" w:hAnsi="宋体" w:eastAsia="仿宋_GB2312" w:cs="宋体"/>
          <w:b/>
          <w:bCs/>
          <w:kern w:val="0"/>
          <w:sz w:val="30"/>
          <w:szCs w:val="30"/>
          <w:highlight w:val="none"/>
          <w:lang w:val="zh-CN"/>
        </w:rPr>
        <w:t>（一）</w:t>
      </w:r>
      <w:r>
        <w:rPr>
          <w:rFonts w:hint="eastAsia" w:ascii="仿宋_GB2312" w:hAnsi="宋体" w:eastAsia="仿宋_GB2312"/>
          <w:b/>
          <w:sz w:val="30"/>
          <w:szCs w:val="30"/>
          <w:highlight w:val="none"/>
        </w:rPr>
        <w:t>报告期内收入利润情况</w:t>
      </w:r>
    </w:p>
    <w:p>
      <w:pPr>
        <w:tabs>
          <w:tab w:val="left" w:pos="7350"/>
        </w:tabs>
        <w:spacing w:before="62" w:beforeLines="20" w:after="62" w:afterLines="20" w:line="600" w:lineRule="exact"/>
        <w:ind w:firstLine="482"/>
        <w:rPr>
          <w:rFonts w:ascii="仿宋_GB2312" w:eastAsia="仿宋_GB2312"/>
          <w:b/>
          <w:sz w:val="28"/>
          <w:szCs w:val="28"/>
          <w:highlight w:val="none"/>
        </w:rPr>
      </w:pPr>
      <w:r>
        <w:rPr>
          <w:rFonts w:hint="eastAsia" w:ascii="仿宋_GB2312" w:hAnsi="宋体" w:eastAsia="仿宋_GB2312" w:cs="Arial"/>
          <w:sz w:val="24"/>
          <w:highlight w:val="none"/>
        </w:rPr>
        <w:t xml:space="preserve">                                                        单位：万元</w:t>
      </w:r>
    </w:p>
    <w:tbl>
      <w:tblPr>
        <w:tblStyle w:val="7"/>
        <w:tblpPr w:leftFromText="180" w:rightFromText="180" w:vertAnchor="text" w:horzAnchor="page" w:tblpX="1506" w:tblpY="169"/>
        <w:tblOverlap w:val="never"/>
        <w:tblW w:w="919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0"/>
        <w:gridCol w:w="1605"/>
        <w:gridCol w:w="1665"/>
        <w:gridCol w:w="1590"/>
        <w:gridCol w:w="1635"/>
        <w:gridCol w:w="15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170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/>
                <w:bCs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  <w:szCs w:val="22"/>
                <w:highlight w:val="none"/>
              </w:rPr>
              <w:t>报表项目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/>
                <w:bCs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  <w:szCs w:val="22"/>
                <w:highlight w:val="none"/>
              </w:rPr>
              <w:t>202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  <w:szCs w:val="22"/>
                <w:highlight w:val="none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  <w:szCs w:val="22"/>
                <w:highlight w:val="none"/>
              </w:rPr>
              <w:t>年一季度</w:t>
            </w:r>
          </w:p>
        </w:tc>
        <w:tc>
          <w:tcPr>
            <w:tcW w:w="1665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/>
                <w:bCs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  <w:szCs w:val="22"/>
                <w:highlight w:val="none"/>
              </w:rPr>
              <w:t>202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  <w:szCs w:val="22"/>
                <w:highlight w:val="none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  <w:szCs w:val="22"/>
                <w:highlight w:val="none"/>
              </w:rPr>
              <w:t>年二季度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  <w:szCs w:val="22"/>
                <w:highlight w:val="none"/>
              </w:rPr>
              <w:t>202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  <w:szCs w:val="22"/>
                <w:highlight w:val="none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  <w:szCs w:val="22"/>
                <w:highlight w:val="none"/>
              </w:rPr>
              <w:t>年三季度</w:t>
            </w:r>
          </w:p>
        </w:tc>
        <w:tc>
          <w:tcPr>
            <w:tcW w:w="163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  <w:szCs w:val="22"/>
                <w:highlight w:val="none"/>
              </w:rPr>
              <w:t>202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  <w:szCs w:val="22"/>
                <w:highlight w:val="none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  <w:szCs w:val="22"/>
                <w:highlight w:val="none"/>
              </w:rPr>
              <w:t>年四季度</w:t>
            </w:r>
          </w:p>
        </w:tc>
        <w:tc>
          <w:tcPr>
            <w:tcW w:w="1530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/>
                <w:bCs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  <w:szCs w:val="22"/>
                <w:highlight w:val="none"/>
              </w:rPr>
              <w:t>变动比率(%)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17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2"/>
                <w:szCs w:val="22"/>
                <w:highlight w:val="none"/>
              </w:rPr>
              <w:t>营业收入</w:t>
            </w:r>
          </w:p>
        </w:tc>
        <w:tc>
          <w:tcPr>
            <w:tcW w:w="1605" w:type="dxa"/>
            <w:vAlign w:val="bottom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仿宋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2"/>
                <w:szCs w:val="22"/>
                <w:highlight w:val="none"/>
                <w:lang w:val="en-US" w:eastAsia="zh-CN"/>
              </w:rPr>
              <w:t>234277.71</w:t>
            </w:r>
          </w:p>
        </w:tc>
        <w:tc>
          <w:tcPr>
            <w:tcW w:w="1665" w:type="dxa"/>
            <w:vAlign w:val="bottom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highlight w:val="none"/>
                <w:lang w:val="en-US" w:eastAsia="zh-CN"/>
              </w:rPr>
              <w:t>469730.61</w:t>
            </w:r>
          </w:p>
        </w:tc>
        <w:tc>
          <w:tcPr>
            <w:tcW w:w="1590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635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530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117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2"/>
                <w:szCs w:val="22"/>
                <w:highlight w:val="none"/>
              </w:rPr>
              <w:t>利润总额</w:t>
            </w:r>
          </w:p>
        </w:tc>
        <w:tc>
          <w:tcPr>
            <w:tcW w:w="1605" w:type="dxa"/>
            <w:vAlign w:val="bottom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highlight w:val="none"/>
                <w:lang w:val="en-US" w:eastAsia="zh-CN"/>
              </w:rPr>
              <w:t>-11655.63</w:t>
            </w:r>
          </w:p>
        </w:tc>
        <w:tc>
          <w:tcPr>
            <w:tcW w:w="1665" w:type="dxa"/>
            <w:vAlign w:val="bottom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highlight w:val="none"/>
                <w:lang w:val="en-US" w:eastAsia="zh-CN"/>
              </w:rPr>
              <w:t>-6103.39</w:t>
            </w:r>
          </w:p>
        </w:tc>
        <w:tc>
          <w:tcPr>
            <w:tcW w:w="1590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635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530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highlight w:val="none"/>
              </w:rPr>
            </w:pPr>
          </w:p>
        </w:tc>
      </w:tr>
    </w:tbl>
    <w:p>
      <w:pPr>
        <w:tabs>
          <w:tab w:val="left" w:pos="7350"/>
        </w:tabs>
        <w:spacing w:before="62" w:beforeLines="20" w:after="62" w:afterLines="20" w:line="600" w:lineRule="exact"/>
        <w:rPr>
          <w:rFonts w:ascii="仿宋_GB2312" w:hAnsi="宋体" w:eastAsia="仿宋_GB2312" w:cs="宋体"/>
          <w:b/>
          <w:bCs/>
          <w:kern w:val="0"/>
          <w:sz w:val="30"/>
          <w:szCs w:val="30"/>
          <w:highlight w:val="red"/>
          <w:lang w:val="zh-CN"/>
        </w:rPr>
      </w:pPr>
    </w:p>
    <w:p>
      <w:pPr>
        <w:tabs>
          <w:tab w:val="left" w:pos="7350"/>
        </w:tabs>
        <w:spacing w:before="62" w:beforeLines="20" w:after="62" w:afterLines="20" w:line="600" w:lineRule="exact"/>
        <w:ind w:firstLine="482"/>
        <w:rPr>
          <w:rFonts w:ascii="仿宋_GB2312" w:hAnsi="宋体" w:eastAsia="仿宋_GB2312" w:cs="宋体"/>
          <w:b/>
          <w:bCs/>
          <w:kern w:val="0"/>
          <w:sz w:val="30"/>
          <w:szCs w:val="30"/>
          <w:highlight w:val="none"/>
          <w:lang w:val="zh-CN"/>
        </w:rPr>
      </w:pPr>
      <w:r>
        <w:rPr>
          <w:rFonts w:hint="eastAsia" w:ascii="仿宋_GB2312" w:hAnsi="宋体" w:eastAsia="仿宋_GB2312" w:cs="宋体"/>
          <w:b/>
          <w:bCs/>
          <w:kern w:val="0"/>
          <w:sz w:val="30"/>
          <w:szCs w:val="30"/>
          <w:highlight w:val="none"/>
          <w:lang w:val="zh-CN"/>
        </w:rPr>
        <w:t>（二）报告期内资产负债情况</w:t>
      </w:r>
    </w:p>
    <w:p>
      <w:pPr>
        <w:tabs>
          <w:tab w:val="left" w:pos="7350"/>
        </w:tabs>
        <w:spacing w:before="62" w:beforeLines="20" w:after="62" w:afterLines="20" w:line="440" w:lineRule="exact"/>
        <w:ind w:firstLine="482"/>
        <w:rPr>
          <w:rFonts w:ascii="仿宋_GB2312" w:hAnsi="宋体" w:eastAsia="仿宋_GB2312" w:cs="Arial"/>
          <w:szCs w:val="21"/>
          <w:highlight w:val="red"/>
        </w:rPr>
      </w:pPr>
      <w:r>
        <w:rPr>
          <w:rFonts w:hint="eastAsia" w:ascii="仿宋_GB2312" w:hAnsi="宋体" w:eastAsia="仿宋_GB2312" w:cs="楷体_GB2312"/>
          <w:sz w:val="24"/>
          <w:highlight w:val="none"/>
        </w:rPr>
        <w:t xml:space="preserve">                                                </w:t>
      </w:r>
      <w:r>
        <w:rPr>
          <w:rFonts w:hint="eastAsia" w:ascii="仿宋_GB2312" w:hAnsi="宋体" w:eastAsia="仿宋_GB2312" w:cs="Arial"/>
          <w:sz w:val="24"/>
          <w:highlight w:val="none"/>
        </w:rPr>
        <w:t xml:space="preserve">         </w:t>
      </w:r>
      <w:r>
        <w:rPr>
          <w:rFonts w:hint="eastAsia" w:ascii="仿宋_GB2312" w:hAnsi="宋体" w:eastAsia="仿宋_GB2312" w:cs="Arial"/>
          <w:szCs w:val="21"/>
          <w:highlight w:val="none"/>
        </w:rPr>
        <w:t>单位：万元</w:t>
      </w:r>
    </w:p>
    <w:p>
      <w:pPr>
        <w:pStyle w:val="4"/>
        <w:ind w:firstLine="0"/>
        <w:rPr>
          <w:rFonts w:ascii="仿宋_GB2312" w:hAnsi="宋体" w:eastAsia="仿宋_GB2312" w:cs="Arial"/>
          <w:szCs w:val="21"/>
          <w:highlight w:val="red"/>
        </w:rPr>
      </w:pPr>
    </w:p>
    <w:tbl>
      <w:tblPr>
        <w:tblStyle w:val="7"/>
        <w:tblW w:w="8625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20"/>
        <w:gridCol w:w="1680"/>
        <w:gridCol w:w="1785"/>
        <w:gridCol w:w="174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2"/>
                <w:szCs w:val="22"/>
                <w:highlight w:val="none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2"/>
                <w:szCs w:val="22"/>
                <w:highlight w:val="none"/>
                <w:lang w:bidi="ar"/>
              </w:rPr>
              <w:t>主要报表项目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2"/>
                <w:szCs w:val="22"/>
                <w:highlight w:val="none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2"/>
                <w:szCs w:val="22"/>
                <w:highlight w:val="none"/>
                <w:lang w:bidi="ar"/>
              </w:rPr>
              <w:t xml:space="preserve"> </w:t>
            </w:r>
            <w:r>
              <w:rPr>
                <w:rStyle w:val="9"/>
                <w:rFonts w:hAnsi="宋体"/>
                <w:highlight w:val="none"/>
                <w:lang w:bidi="ar"/>
              </w:rPr>
              <w:t>年初余额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2"/>
                <w:szCs w:val="22"/>
                <w:highlight w:val="none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2"/>
                <w:szCs w:val="22"/>
                <w:highlight w:val="none"/>
                <w:lang w:bidi="ar"/>
              </w:rPr>
              <w:t xml:space="preserve"> </w:t>
            </w:r>
            <w:r>
              <w:rPr>
                <w:rStyle w:val="9"/>
                <w:rFonts w:hAnsi="宋体"/>
                <w:highlight w:val="none"/>
                <w:lang w:bidi="ar"/>
              </w:rPr>
              <w:t>期末余额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2"/>
                <w:szCs w:val="22"/>
                <w:highlight w:val="none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2"/>
                <w:szCs w:val="22"/>
                <w:highlight w:val="none"/>
                <w:lang w:bidi="ar"/>
              </w:rPr>
              <w:t>变动比率(%)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/>
                <w:highlight w:val="none"/>
              </w:rPr>
              <w:t>货币资金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  <w:t>74138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  <w:lang w:val="en-US" w:eastAsia="zh-CN"/>
              </w:rPr>
              <w:t>123834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  <w:lang w:val="en-US" w:eastAsia="zh-CN"/>
              </w:rPr>
              <w:t>67.03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/>
                <w:highlight w:val="none"/>
              </w:rPr>
              <w:t>应收账款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/>
                <w:highlight w:val="none"/>
              </w:rPr>
              <w:t>交易性金融资产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/>
                <w:highlight w:val="none"/>
              </w:rPr>
              <w:t>应收款项融资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/>
                <w:highlight w:val="none"/>
              </w:rPr>
              <w:t>预付账款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  <w:t>15615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  <w:lang w:val="en-US" w:eastAsia="zh-CN"/>
              </w:rPr>
              <w:t>19884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  <w:lang w:val="en-US" w:eastAsia="zh-CN"/>
              </w:rPr>
              <w:t>27.34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/>
                <w:highlight w:val="none"/>
              </w:rPr>
              <w:t>存货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highlight w:val="none"/>
                <w:lang w:val="en-US" w:eastAsia="zh-CN"/>
              </w:rPr>
              <w:t>17767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  <w:lang w:val="en-US" w:eastAsia="zh-CN"/>
              </w:rPr>
              <w:t>52710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  <w:lang w:val="en-US" w:eastAsia="zh-CN"/>
              </w:rPr>
              <w:t>196.67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/>
                <w:highlight w:val="none"/>
              </w:rPr>
              <w:t>其他应收款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  <w:t>15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  <w:lang w:val="en-US" w:eastAsia="zh-CN"/>
              </w:rPr>
              <w:t>12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  <w:lang w:val="en-US" w:eastAsia="zh-CN"/>
              </w:rPr>
              <w:t>-20.00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/>
                <w:highlight w:val="none"/>
              </w:rPr>
              <w:t>其他流动资产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  <w:t>22258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  <w:lang w:val="en-US" w:eastAsia="zh-CN"/>
              </w:rPr>
              <w:t>23415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  <w:lang w:val="en-US" w:eastAsia="zh-CN"/>
              </w:rPr>
              <w:t>5.20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/>
                <w:highlight w:val="none"/>
              </w:rPr>
              <w:t>流动资产合计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  <w:t>129937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  <w:lang w:val="en-US" w:eastAsia="zh-CN"/>
              </w:rPr>
              <w:t>219854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  <w:lang w:val="en-US" w:eastAsia="zh-CN"/>
              </w:rPr>
              <w:t>69.20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/>
                <w:highlight w:val="none"/>
              </w:rPr>
              <w:t>固定资产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  <w:t>168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  <w:lang w:val="en-US" w:eastAsia="zh-CN"/>
              </w:rPr>
              <w:t>120926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  <w:lang w:val="en-US" w:eastAsia="zh-CN"/>
              </w:rPr>
              <w:t>71879.76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/>
                <w:highlight w:val="none"/>
              </w:rPr>
              <w:t>在建工程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  <w:t>239639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  <w:lang w:val="en-US" w:eastAsia="zh-CN"/>
              </w:rPr>
              <w:t>187649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  <w:lang w:val="en-US" w:eastAsia="zh-CN"/>
              </w:rPr>
              <w:t>-21.70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/>
                <w:highlight w:val="none"/>
              </w:rPr>
              <w:t>无形资产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  <w:t>5673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  <w:lang w:val="en-US" w:eastAsia="zh-CN"/>
              </w:rPr>
              <w:t>23481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  <w:lang w:val="en-US" w:eastAsia="zh-CN"/>
              </w:rPr>
              <w:t>313.91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/>
                <w:highlight w:val="none"/>
              </w:rPr>
              <w:t>长期待摊费用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/>
                <w:highlight w:val="none"/>
              </w:rPr>
              <w:t>递延所得税资产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/>
                <w:highlight w:val="none"/>
              </w:rPr>
              <w:t>其他非流动资产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  <w:t>65885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  <w:lang w:val="en-US" w:eastAsia="zh-CN"/>
              </w:rPr>
              <w:t>61886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  <w:lang w:val="en-US" w:eastAsia="zh-CN"/>
              </w:rPr>
              <w:t>-6.07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/>
                <w:highlight w:val="none"/>
              </w:rPr>
              <w:t>非流动资产合计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  <w:t>311365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  <w:lang w:val="en-US" w:eastAsia="zh-CN"/>
              </w:rPr>
              <w:t>393942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  <w:lang w:val="en-US" w:eastAsia="zh-CN"/>
              </w:rPr>
              <w:t>26.52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/>
                <w:highlight w:val="none"/>
              </w:rPr>
              <w:t>资产总计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highlight w:val="none"/>
                <w:lang w:val="en-US" w:eastAsia="zh-CN"/>
              </w:rPr>
              <w:t>441158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  <w:lang w:val="en-US" w:eastAsia="zh-CN"/>
              </w:rPr>
              <w:t>613796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  <w:lang w:val="en-US" w:eastAsia="zh-CN"/>
              </w:rPr>
              <w:t>39.13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/>
                <w:highlight w:val="none"/>
              </w:rPr>
              <w:t>应付账款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  <w:t>31496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  <w:lang w:val="en-US" w:eastAsia="zh-CN"/>
              </w:rPr>
              <w:t>95715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  <w:lang w:val="en-US" w:eastAsia="zh-CN"/>
              </w:rPr>
              <w:t>203.90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/>
                <w:highlight w:val="none"/>
              </w:rPr>
              <w:t>合同负债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  <w:highlight w:val="none"/>
                <w:lang w:val="en-US" w:eastAsia="zh-CN" w:bidi="ar-SA"/>
              </w:rPr>
              <w:t>18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  <w:lang w:val="en-US" w:eastAsia="zh-CN"/>
              </w:rPr>
              <w:t>3353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  <w:lang w:val="en-US" w:eastAsia="zh-CN"/>
              </w:rPr>
              <w:t>18527.78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/>
                <w:highlight w:val="none"/>
              </w:rPr>
              <w:t>应付职工薪酬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  <w:t>23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highlight w:val="none"/>
                <w:lang w:val="en-US" w:eastAsia="zh-CN"/>
              </w:rPr>
              <w:t>650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  <w:lang w:val="en-US" w:eastAsia="zh-CN"/>
              </w:rPr>
              <w:t>2726.09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/>
                <w:highlight w:val="none"/>
              </w:rPr>
              <w:t>应交税费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  <w:t>120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  <w:lang w:val="en-US" w:eastAsia="zh-CN"/>
              </w:rPr>
              <w:t>265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  <w:lang w:val="en-US" w:eastAsia="zh-CN"/>
              </w:rPr>
              <w:t>120.83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/>
                <w:highlight w:val="none"/>
              </w:rPr>
              <w:t>其他应付款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  <w:t>830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  <w:lang w:val="en-US" w:eastAsia="zh-CN"/>
              </w:rPr>
              <w:t>490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  <w:lang w:val="en-US" w:eastAsia="zh-CN"/>
              </w:rPr>
              <w:t>-40.96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rPr>
                <w:rFonts w:hint="default"/>
                <w:highlight w:val="none"/>
                <w:lang w:bidi="ar"/>
              </w:rPr>
            </w:pPr>
            <w:r>
              <w:rPr>
                <w:highlight w:val="none"/>
              </w:rPr>
              <w:t xml:space="preserve"> 一年内到期的非流动负债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56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/>
                <w:highlight w:val="none"/>
              </w:rPr>
              <w:t>其他流动负债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流动负债合计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  <w:t>32469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highlight w:val="none"/>
                <w:lang w:val="en-US" w:eastAsia="zh-CN"/>
              </w:rPr>
              <w:t>142519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  <w:lang w:val="en-US" w:eastAsia="zh-CN"/>
              </w:rPr>
              <w:t>338.94</w:t>
            </w:r>
          </w:p>
        </w:tc>
      </w:tr>
    </w:tbl>
    <w:p>
      <w:pPr>
        <w:tabs>
          <w:tab w:val="left" w:pos="7350"/>
        </w:tabs>
        <w:spacing w:before="62" w:beforeLines="20" w:after="62" w:afterLines="20" w:line="600" w:lineRule="exact"/>
        <w:ind w:firstLine="482"/>
        <w:rPr>
          <w:rFonts w:ascii="仿宋_GB2312" w:eastAsia="仿宋_GB2312" w:cs="宋体"/>
          <w:b/>
          <w:bCs/>
          <w:kern w:val="0"/>
          <w:szCs w:val="21"/>
          <w:highlight w:val="none"/>
          <w:lang w:val="zh-CN"/>
        </w:rPr>
      </w:pPr>
      <w:r>
        <w:rPr>
          <w:rFonts w:hint="eastAsia" w:ascii="仿宋_GB2312" w:hAnsi="宋体" w:eastAsia="仿宋_GB2312" w:cs="宋体"/>
          <w:b/>
          <w:bCs/>
          <w:kern w:val="0"/>
          <w:szCs w:val="21"/>
          <w:highlight w:val="none"/>
          <w:lang w:val="zh-CN"/>
        </w:rPr>
        <w:t>备注：1、有下属子公司的单位填报合并口径数据。2、金额保留整数，变动比率保留两位小数。</w:t>
      </w:r>
    </w:p>
    <w:p>
      <w:pPr>
        <w:tabs>
          <w:tab w:val="left" w:pos="7350"/>
        </w:tabs>
        <w:spacing w:before="62" w:beforeLines="20" w:after="62" w:afterLines="20" w:line="600" w:lineRule="exact"/>
        <w:ind w:firstLine="482"/>
        <w:rPr>
          <w:rFonts w:ascii="仿宋_GB2312" w:hAnsi="宋体" w:eastAsia="仿宋_GB2312" w:cs="宋体"/>
          <w:b/>
          <w:bCs/>
          <w:kern w:val="0"/>
          <w:sz w:val="30"/>
          <w:szCs w:val="30"/>
          <w:highlight w:val="none"/>
          <w:lang w:val="zh-CN"/>
        </w:rPr>
      </w:pPr>
      <w:r>
        <w:rPr>
          <w:rFonts w:hint="eastAsia" w:ascii="仿宋_GB2312" w:hAnsi="宋体" w:eastAsia="仿宋_GB2312" w:cs="宋体"/>
          <w:b/>
          <w:bCs/>
          <w:kern w:val="0"/>
          <w:sz w:val="30"/>
          <w:szCs w:val="30"/>
          <w:highlight w:val="none"/>
          <w:lang w:val="zh-CN"/>
        </w:rPr>
        <w:t>（三）国有资本保值增值情况</w:t>
      </w:r>
    </w:p>
    <w:p>
      <w:pPr>
        <w:spacing w:line="360" w:lineRule="auto"/>
        <w:ind w:firstLine="640" w:firstLineChars="200"/>
        <w:rPr>
          <w:rFonts w:hint="eastAsia" w:ascii="仿宋_GB2312" w:hAnsi="仿宋" w:eastAsia="仿宋_GB2312" w:cs="仿宋"/>
          <w:sz w:val="32"/>
          <w:szCs w:val="32"/>
          <w:highlight w:val="none"/>
        </w:rPr>
      </w:pPr>
      <w:r>
        <w:rPr>
          <w:rFonts w:hint="eastAsia" w:ascii="仿宋_GB2312" w:hAnsi="仿宋" w:eastAsia="仿宋_GB2312" w:cs="仿宋"/>
          <w:sz w:val="32"/>
          <w:szCs w:val="32"/>
          <w:highlight w:val="none"/>
        </w:rPr>
        <w:t>202</w:t>
      </w:r>
      <w:r>
        <w:rPr>
          <w:rFonts w:hint="eastAsia" w:ascii="仿宋_GB2312" w:hAnsi="仿宋" w:eastAsia="仿宋_GB2312" w:cs="仿宋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hAnsi="仿宋" w:eastAsia="仿宋_GB2312" w:cs="仿宋"/>
          <w:sz w:val="32"/>
          <w:szCs w:val="32"/>
          <w:highlight w:val="none"/>
        </w:rPr>
        <w:t>年</w:t>
      </w:r>
      <w:r>
        <w:rPr>
          <w:rFonts w:hint="eastAsia" w:ascii="仿宋_GB2312" w:hAnsi="仿宋" w:eastAsia="仿宋_GB2312" w:cs="仿宋"/>
          <w:sz w:val="32"/>
          <w:szCs w:val="32"/>
          <w:highlight w:val="none"/>
          <w:lang w:val="en-US" w:eastAsia="zh-CN"/>
        </w:rPr>
        <w:t>半年度</w:t>
      </w:r>
      <w:r>
        <w:rPr>
          <w:rFonts w:hint="eastAsia" w:ascii="仿宋_GB2312" w:hAnsi="仿宋" w:eastAsia="仿宋_GB2312" w:cs="仿宋"/>
          <w:sz w:val="32"/>
          <w:szCs w:val="32"/>
          <w:highlight w:val="none"/>
        </w:rPr>
        <w:t>国有资本保值增值率</w:t>
      </w:r>
      <w:r>
        <w:rPr>
          <w:rFonts w:ascii="仿宋_GB2312" w:hAnsi="仿宋" w:eastAsia="仿宋_GB2312" w:cs="仿宋"/>
          <w:sz w:val="32"/>
          <w:szCs w:val="32"/>
          <w:highlight w:val="none"/>
        </w:rPr>
        <w:t>9</w:t>
      </w:r>
      <w:r>
        <w:rPr>
          <w:rFonts w:hint="eastAsia" w:ascii="仿宋_GB2312" w:hAnsi="仿宋" w:eastAsia="仿宋_GB2312" w:cs="仿宋"/>
          <w:sz w:val="32"/>
          <w:szCs w:val="32"/>
          <w:highlight w:val="none"/>
          <w:lang w:val="en-US" w:eastAsia="zh-CN"/>
        </w:rPr>
        <w:t>4.97</w:t>
      </w:r>
      <w:r>
        <w:rPr>
          <w:rFonts w:hint="eastAsia" w:ascii="仿宋_GB2312" w:hAnsi="仿宋" w:eastAsia="仿宋_GB2312" w:cs="仿宋"/>
          <w:sz w:val="32"/>
          <w:szCs w:val="32"/>
          <w:highlight w:val="none"/>
        </w:rPr>
        <w:t>%。</w:t>
      </w:r>
    </w:p>
    <w:p>
      <w:pPr>
        <w:pStyle w:val="8"/>
        <w:rPr>
          <w:rFonts w:hint="eastAsia"/>
        </w:rPr>
      </w:pPr>
    </w:p>
    <w:p>
      <w:pPr>
        <w:ind w:firstLine="600" w:firstLineChars="200"/>
        <w:rPr>
          <w:rFonts w:ascii="黑体" w:hAnsi="黑体" w:eastAsia="黑体" w:cs="黑体"/>
          <w:bCs/>
          <w:sz w:val="30"/>
          <w:szCs w:val="30"/>
        </w:rPr>
      </w:pPr>
      <w:r>
        <w:rPr>
          <w:rFonts w:hint="eastAsia" w:ascii="黑体" w:hAnsi="黑体" w:eastAsia="黑体" w:cs="黑体"/>
          <w:bCs/>
          <w:sz w:val="30"/>
          <w:szCs w:val="30"/>
        </w:rPr>
        <w:t>四、企业重大改制重组结果</w:t>
      </w:r>
    </w:p>
    <w:p>
      <w:pPr>
        <w:ind w:firstLine="602" w:firstLineChars="200"/>
        <w:rPr>
          <w:rFonts w:ascii="仿宋_GB2312" w:hAnsi="仿宋" w:eastAsia="仿宋_GB2312" w:cs="仿宋"/>
          <w:b/>
          <w:bCs/>
          <w:sz w:val="30"/>
          <w:szCs w:val="30"/>
        </w:rPr>
      </w:pPr>
      <w:r>
        <w:rPr>
          <w:rFonts w:hint="eastAsia" w:ascii="仿宋_GB2312" w:hAnsi="仿宋" w:eastAsia="仿宋_GB2312" w:cs="仿宋"/>
          <w:b/>
          <w:bCs/>
          <w:sz w:val="30"/>
          <w:szCs w:val="30"/>
        </w:rPr>
        <w:t>（一）公开公司重大改制改组基本情况</w:t>
      </w:r>
    </w:p>
    <w:p>
      <w:pPr>
        <w:ind w:firstLine="600" w:firstLineChars="200"/>
        <w:rPr>
          <w:rFonts w:hint="eastAsia"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无</w:t>
      </w:r>
    </w:p>
    <w:p>
      <w:pPr>
        <w:ind w:firstLine="602" w:firstLineChars="200"/>
        <w:rPr>
          <w:rFonts w:ascii="仿宋_GB2312" w:hAnsi="仿宋" w:eastAsia="仿宋_GB2312" w:cs="仿宋"/>
          <w:b/>
          <w:bCs/>
          <w:sz w:val="30"/>
          <w:szCs w:val="30"/>
        </w:rPr>
      </w:pPr>
      <w:r>
        <w:rPr>
          <w:rFonts w:hint="eastAsia" w:ascii="仿宋_GB2312" w:hAnsi="仿宋" w:eastAsia="仿宋_GB2312" w:cs="仿宋"/>
          <w:b/>
          <w:bCs/>
          <w:sz w:val="30"/>
          <w:szCs w:val="30"/>
        </w:rPr>
        <w:t>（二）公开公司重大改制改组完成情况</w:t>
      </w:r>
    </w:p>
    <w:p>
      <w:pPr>
        <w:ind w:firstLine="600" w:firstLineChars="200"/>
        <w:rPr>
          <w:rFonts w:hint="eastAsia"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无</w:t>
      </w:r>
    </w:p>
    <w:p>
      <w:pPr>
        <w:ind w:firstLine="600" w:firstLineChars="200"/>
        <w:rPr>
          <w:rFonts w:ascii="黑体" w:hAnsi="黑体" w:eastAsia="黑体" w:cs="黑体"/>
          <w:bCs/>
          <w:sz w:val="30"/>
          <w:szCs w:val="30"/>
        </w:rPr>
      </w:pPr>
      <w:r>
        <w:rPr>
          <w:rFonts w:hint="eastAsia" w:ascii="黑体" w:hAnsi="黑体" w:eastAsia="黑体" w:cs="黑体"/>
          <w:bCs/>
          <w:sz w:val="30"/>
          <w:szCs w:val="30"/>
        </w:rPr>
        <w:t>五、通过产权市场转让企业产权和企业增资等信息</w:t>
      </w:r>
    </w:p>
    <w:p>
      <w:pPr>
        <w:ind w:firstLine="600" w:firstLineChars="200"/>
        <w:rPr>
          <w:rFonts w:hint="eastAsia"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无</w:t>
      </w:r>
    </w:p>
    <w:p>
      <w:pPr>
        <w:numPr>
          <w:ilvl w:val="0"/>
          <w:numId w:val="1"/>
        </w:numPr>
        <w:ind w:firstLine="600" w:firstLineChars="200"/>
        <w:rPr>
          <w:rFonts w:hint="eastAsia" w:ascii="黑体" w:hAnsi="黑体" w:eastAsia="黑体" w:cs="黑体"/>
          <w:bCs/>
          <w:sz w:val="30"/>
          <w:szCs w:val="30"/>
        </w:rPr>
      </w:pPr>
      <w:r>
        <w:rPr>
          <w:rFonts w:hint="eastAsia" w:ascii="黑体" w:hAnsi="黑体" w:eastAsia="黑体" w:cs="黑体"/>
          <w:bCs/>
          <w:sz w:val="30"/>
          <w:szCs w:val="30"/>
        </w:rPr>
        <w:t>有关部门依法要求公开的监督检查问题等整改情况、重大突发事件时态发展和应急处置情况</w:t>
      </w:r>
    </w:p>
    <w:p>
      <w:pPr>
        <w:pStyle w:val="4"/>
        <w:rPr>
          <w:rFonts w:hint="eastAsia" w:eastAsia="黑体"/>
        </w:rPr>
      </w:pPr>
      <w:r>
        <w:rPr>
          <w:rFonts w:hint="eastAsia" w:ascii="黑体" w:hAnsi="黑体" w:eastAsia="黑体" w:cs="黑体"/>
          <w:bCs/>
          <w:sz w:val="30"/>
          <w:szCs w:val="30"/>
        </w:rPr>
        <w:t>无</w:t>
      </w:r>
    </w:p>
    <w:p>
      <w:pPr>
        <w:numPr>
          <w:ilvl w:val="0"/>
          <w:numId w:val="2"/>
        </w:numPr>
        <w:ind w:firstLine="600" w:firstLineChars="200"/>
        <w:rPr>
          <w:rFonts w:hint="eastAsia" w:ascii="黑体" w:hAnsi="黑体" w:eastAsia="黑体" w:cs="黑体"/>
          <w:bCs/>
          <w:sz w:val="30"/>
          <w:szCs w:val="30"/>
        </w:rPr>
      </w:pPr>
      <w:r>
        <w:rPr>
          <w:rFonts w:hint="eastAsia" w:ascii="黑体" w:hAnsi="黑体" w:eastAsia="黑体" w:cs="黑体"/>
          <w:bCs/>
          <w:sz w:val="30"/>
          <w:szCs w:val="30"/>
        </w:rPr>
        <w:t>企业履行社会责任情况</w:t>
      </w:r>
    </w:p>
    <w:tbl>
      <w:tblPr>
        <w:tblStyle w:val="7"/>
        <w:tblpPr w:leftFromText="180" w:rightFromText="180" w:vertAnchor="text" w:horzAnchor="page" w:tblpXSpec="center" w:tblpY="1267"/>
        <w:tblOverlap w:val="never"/>
        <w:tblW w:w="7372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1275"/>
        <w:gridCol w:w="525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Cs w:val="21"/>
              </w:rPr>
              <w:t>公开事项</w:t>
            </w:r>
          </w:p>
        </w:tc>
        <w:tc>
          <w:tcPr>
            <w:tcW w:w="52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Cs w:val="21"/>
              </w:rPr>
              <w:t>具体内容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4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（一）</w:t>
            </w:r>
          </w:p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社会责任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信用管理</w:t>
            </w:r>
          </w:p>
        </w:tc>
        <w:tc>
          <w:tcPr>
            <w:tcW w:w="52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202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年开展信用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管理，对信用交易中的风险进行识别、分析和评估。通过信用管理，指导和协调内部各部门的业务活动，以保障应收账款安全和及时回收，有效地控制风险和处理风险。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诚信纳税</w:t>
            </w:r>
          </w:p>
        </w:tc>
        <w:tc>
          <w:tcPr>
            <w:tcW w:w="52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坚持纳税合法性原则，如实足额按时完成纳税申报及税款扣缴，202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年上半年，未发生纳税纠纷及税务罚款情况。202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年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上半年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实现税金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409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万元。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4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（二）</w:t>
            </w:r>
          </w:p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安全责任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安全教育培训</w:t>
            </w:r>
          </w:p>
        </w:tc>
        <w:tc>
          <w:tcPr>
            <w:tcW w:w="52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组织学习并记录“手指口述”相关文件及范例视频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eastAsia="zh-CN"/>
              </w:rPr>
              <w:t>；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开展VR培训，培训全员覆盖；特种作业和特种设备操作专业培训率100%；安全管理人员资格证培训率100%；危化品、消防资格专业培训率100%。还有职业健康管理资格证培训率100%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隐患治理</w:t>
            </w:r>
          </w:p>
        </w:tc>
        <w:tc>
          <w:tcPr>
            <w:tcW w:w="52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针对合金熔化炉施工现场、炼钢厂各作业场所防暑降温设施、炼钢厂安全警示标志、热轧项目消防、施工安全用电、热轧厂参观通道5S等方面存在问题，逐一落实安排组织进行整改。排查各类隐患207项，并完成整改闭环。完成双控手册编制，危险源危险度为轻微危险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职业健康</w:t>
            </w:r>
          </w:p>
        </w:tc>
        <w:tc>
          <w:tcPr>
            <w:tcW w:w="52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1、职业健康培训率100%；2、职业健康体检率100%；3、岗位粉尘合格率100%；4、噪声合格率100%；5、5、毒物合格率100%。6、按规定进行职业健康备案。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信息化建设</w:t>
            </w:r>
          </w:p>
        </w:tc>
        <w:tc>
          <w:tcPr>
            <w:tcW w:w="52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太钢鑫海不锈钢基地第一阶段信息化系统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--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炼钢制造管理、生产执行系统成功上线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eastAsia="zh-CN"/>
              </w:rPr>
              <w:t>，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实现了炼钢制造安排直达生产现场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eastAsia="zh-CN"/>
              </w:rPr>
              <w:t>。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不仅打通了太钢总部的集控制造管理系统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eastAsia="zh-CN"/>
              </w:rPr>
              <w:t>；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太钢鑫海制造管理、炼钢MES、检化验、炉前快分及炼钢AODL2、连铸L2系统，还贯穿了计划排产、炼钢调度、现场生产以及仓库、工器具、检化验管理等炼钢制造全部环节。</w:t>
            </w:r>
          </w:p>
          <w:p>
            <w:pP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FF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创新平台</w:t>
            </w:r>
          </w:p>
        </w:tc>
        <w:tc>
          <w:tcPr>
            <w:tcW w:w="52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202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年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上半年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研发资金投入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4.2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万元。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4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（四）</w:t>
            </w:r>
          </w:p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环境责任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管理体系</w:t>
            </w:r>
          </w:p>
        </w:tc>
        <w:tc>
          <w:tcPr>
            <w:tcW w:w="52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1、已经通过环境管理体系认证；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highlight w:val="none"/>
              </w:rPr>
              <w:t>保护环境</w:t>
            </w:r>
          </w:p>
        </w:tc>
        <w:tc>
          <w:tcPr>
            <w:tcW w:w="52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highlight w:val="none"/>
              </w:rPr>
              <w:t>1、组织学习了“环保相关法律法规”、“危废相关知识”等内容，有效提升全员环保责任意识。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highlight w:val="none"/>
              </w:rPr>
              <w:t>2、环境公益活动开展情况：开展了环境日系列宣传活动、节能周系列宣传活动。利用微信等平台进行环境保护宣传工作。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highlight w:val="none"/>
              </w:rPr>
              <w:t>诚信环保</w:t>
            </w:r>
          </w:p>
        </w:tc>
        <w:tc>
          <w:tcPr>
            <w:tcW w:w="52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highlight w:val="none"/>
              </w:rPr>
              <w:t>发布相关环境信息情况：在属地政府管理平台公布“在线监测”、“排污许可证”等相关信息和执行情况。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highlight w:val="none"/>
              </w:rPr>
              <w:t>副产品资源化</w:t>
            </w:r>
          </w:p>
        </w:tc>
        <w:tc>
          <w:tcPr>
            <w:tcW w:w="52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3"/>
              </w:numPr>
              <w:jc w:val="left"/>
              <w:rPr>
                <w:rFonts w:hint="eastAsia" w:ascii="仿宋_GB2312" w:hAnsi="宋体" w:eastAsia="仿宋_GB2312" w:cs="宋体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highlight w:val="none"/>
              </w:rPr>
              <w:t>固体废物综合利用率。75% ；2、返回生产利用率；0 %（公司属于独立轧钢企业，无固废消化点）                                                    3、危险废物安全处置率。100%。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highlight w:val="none"/>
              </w:rPr>
              <w:t>环境指标</w:t>
            </w:r>
          </w:p>
        </w:tc>
        <w:tc>
          <w:tcPr>
            <w:tcW w:w="52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highlight w:val="none"/>
              </w:rPr>
              <w:t>1、吨钢综合能耗142.6KGCE/T；2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highlight w:val="none"/>
              </w:rPr>
              <w:t>年综合能源消费量当量值约为95173.82吨标煤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highlight w:val="none"/>
                <w:lang w:val="en-US" w:eastAsia="zh-CN"/>
              </w:rPr>
              <w:t>3、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highlight w:val="none"/>
              </w:rPr>
              <w:t>二氧化硫、氮氧化物、颗粒物排放应控制在5.38吨/年、83.58吨/年、221.604吨/年。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highlight w:val="none"/>
              </w:rPr>
              <w:t>园林工厂建设</w:t>
            </w:r>
          </w:p>
        </w:tc>
        <w:tc>
          <w:tcPr>
            <w:tcW w:w="52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highlight w:val="none"/>
              </w:rPr>
              <w:t>绿化覆盖率14%：绿化覆盖率14%。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4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（五）</w:t>
            </w:r>
          </w:p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社会责任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职工权益保障</w:t>
            </w:r>
          </w:p>
        </w:tc>
        <w:tc>
          <w:tcPr>
            <w:tcW w:w="52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1月，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太钢集团党委常委、副总经理高峰来到太钢鑫海炼钢厂生产现场，看望慰问坚守工作岗位的职工，为大家送上核桃等慰问品，在寒冷的冬季给大家传递组织的温暖。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3月，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根据要求，征求职工意见，为班组配置小药箱21个，配发速效救心丸、阿莫西林胶囊、欧姆龙电子血压计、鱼跃血糖仪、云南白药创可贴、银杏叶片药品、测量设备共6种。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5月，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为满足职工热饭及食物新鲜，为职工配置微波炉8台、冰柜14台。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6月，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太钢工会主席及鑫海党政带着防暑降温物品，深入炼钢厂、热轧厂生产现场，为广大职工送去茶叶、霍香正气液、汽水等防暑降温物品物资，将保障职工权益，平安清凉度夏落到实处。截至目前发放防暑降温饮品1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4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0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0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箱、电风扇27台、霍香正气液350盒。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FF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供应商关系</w:t>
            </w:r>
          </w:p>
        </w:tc>
        <w:tc>
          <w:tcPr>
            <w:tcW w:w="52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网上招标采购率100%；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（六）</w:t>
            </w:r>
          </w:p>
          <w:p>
            <w:pPr>
              <w:widowControl/>
              <w:jc w:val="left"/>
              <w:rPr>
                <w:rFonts w:ascii="仿宋_GB2312" w:eastAsia="仿宋_GB2312" w:cs="宋体"/>
                <w:color w:val="FF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未来展望</w:t>
            </w:r>
            <w:bookmarkStart w:id="1" w:name="_GoBack"/>
            <w:bookmarkEnd w:id="1"/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战略实施</w:t>
            </w:r>
          </w:p>
        </w:tc>
        <w:tc>
          <w:tcPr>
            <w:tcW w:w="52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1、文化建设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将“创新、高效、融合、共赢”确定为公司价值观，积极开展宣贯共2次。在公共区域和场所设置宣传展板8块，在醒目位置设置企业文化标识，打造企业形象。组织“三八”女职工活动、开展“凝心筑梦·青春践行”青年职工健步活动、“我与鑫海共成长”及安全月演讲活动，促进了公司员工间的交流，增强了团队协作精神和凝聚力，增强了公司企业文化认同。组织6名职工拍摄新年寄语；组织5名职工以“心目中的太钢人是什么样子的？”为主题，开展征集一句话视频；拍摄“劳动者最美丽”视频等，在太钢官微上发布、宣传，展示了公司职工积极奋进的精神风貌。积极参加“钢花杯”作品征集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活动。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2、改革发展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无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highlight w:val="none"/>
              </w:rPr>
              <w:t>3、产品升级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highlight w:val="none"/>
              </w:rPr>
              <w:t>通过技术创新，实现持续优化“一用一标”管理；升级“产销研用一体化”模式和双经理制；太钢鑫海降本取得新成效。铬、镍收得率分别达到94.57%、97.56%，均创历史最好水平；硅铁消耗由4月18.69kg/t降低至14.03kg/t，降本32.38元/吨；AOD炉耐材平均寿命达到71.8次，比4月提高7.9次；钢包耐材平均寿命达到65次，比4月提高5.6次；5月下旬汽轮机发电机组投入试运行，日可发电约5万KWH，吨钢降本约7元。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4、发展目标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公司秉承服务用户理念，聚焦“新行业、新工艺、新产品”。通过技术创新，实现特供产品“差异化、专业化”的目标，拓宽重点品种市场。坚持以创新驱动高质量转型发展作为首要任务。以创新驱动为引领，构建了以产销研一体化为主体的技术创新体系，深度识别市场客户消费理念以及质量需求，实现终端市场直供客户的大力开发。完善创新激励制度，发挥科技人才的主观能动性。质量管理理念的创新驱动公司产品质量的进一步升级，攻关解决疑难技术质量问题，全面提升公司竞争力。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</w:tr>
    </w:tbl>
    <w:p>
      <w:pPr>
        <w:ind w:firstLine="600" w:firstLineChars="200"/>
        <w:rPr>
          <w:rFonts w:ascii="仿宋_GB2312" w:hAnsi="仿宋" w:eastAsia="仿宋_GB2312" w:cs="仿宋"/>
          <w:sz w:val="30"/>
          <w:szCs w:val="30"/>
        </w:rPr>
      </w:pPr>
    </w:p>
    <w:p/>
    <w:p/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pict>
        <v:shape id="PowerPlusWaterMarkObject21086347" o:spid="_x0000_s4097" o:spt="136" type="#_x0000_t136" style="position:absolute;left:0pt;margin-left:499.6pt;margin-top:466.05pt;height:20pt;width:30pt;mso-position-horizontal-relative:margin;mso-position-vertical-relative:margin;rotation:-2949120f;z-index:-251619328;mso-width-relative:page;mso-height-relative:page;" fillcolor="#A6A6A6" filled="t" stroked="f" coordsize="21600,21600">
          <v:path/>
          <v:fill on="t" opacity="5242f" focussize="0,0"/>
          <v:stroke on="f"/>
          <v:imagedata o:title=""/>
          <o:lock v:ext="edit" aspectratio="t"/>
          <v:textpath on="t" fitshape="t" fitpath="t" trim="t" xscale="f" string="赵骁" style="font-family:瀹嬩綋;font-size:20pt;v-same-letter-heights:f;v-text-align:center;"/>
        </v:shape>
      </w:pict>
    </w:r>
    <w:r>
      <w:pict>
        <v:shape id="PowerPlusWaterMarkObject20240167" o:spid="_x0000_s4098" o:spt="136" type="#_x0000_t136" style="position:absolute;left:0pt;margin-left:450.1pt;margin-top:515.55pt;height:20pt;width:30pt;mso-position-horizontal-relative:margin;mso-position-vertical-relative:margin;rotation:-2949120f;z-index:-251620352;mso-width-relative:page;mso-height-relative:page;" fillcolor="#A6A6A6" filled="t" stroked="f" coordsize="21600,21600">
          <v:path/>
          <v:fill on="t" opacity="5242f" focussize="0,0"/>
          <v:stroke on="f"/>
          <v:imagedata o:title=""/>
          <o:lock v:ext="edit" aspectratio="t"/>
          <v:textpath on="t" fitshape="t" fitpath="t" trim="t" xscale="f" string="赵骁" style="font-family:瀹嬩綋;font-size:20pt;v-same-letter-heights:f;v-text-align:center;"/>
        </v:shape>
      </w:pict>
    </w:r>
    <w:r>
      <w:pict>
        <v:shape id="PowerPlusWaterMarkObject19289638" o:spid="_x0000_s4099" o:spt="136" type="#_x0000_t136" style="position:absolute;left:0pt;margin-left:400.6pt;margin-top:565.05pt;height:20pt;width:30pt;mso-position-horizontal-relative:margin;mso-position-vertical-relative:margin;rotation:-2949120f;z-index:-251621376;mso-width-relative:page;mso-height-relative:page;" fillcolor="#A6A6A6" filled="t" stroked="f" coordsize="21600,21600">
          <v:path/>
          <v:fill on="t" opacity="5242f" focussize="0,0"/>
          <v:stroke on="f"/>
          <v:imagedata o:title=""/>
          <o:lock v:ext="edit" aspectratio="t"/>
          <v:textpath on="t" fitshape="t" fitpath="t" trim="t" xscale="f" string="赵骁" style="font-family:瀹嬩綋;font-size:20pt;v-same-letter-heights:f;v-text-align:center;"/>
        </v:shape>
      </w:pict>
    </w:r>
    <w:r>
      <w:pict>
        <v:shape id="PowerPlusWaterMarkObject18500956" o:spid="_x0000_s4100" o:spt="136" type="#_x0000_t136" style="position:absolute;left:0pt;margin-left:351.1pt;margin-top:614.55pt;height:20pt;width:30pt;mso-position-horizontal-relative:margin;mso-position-vertical-relative:margin;rotation:-2949120f;z-index:-251622400;mso-width-relative:page;mso-height-relative:page;" fillcolor="#A6A6A6" filled="t" stroked="f" coordsize="21600,21600">
          <v:path/>
          <v:fill on="t" opacity="5242f" focussize="0,0"/>
          <v:stroke on="f"/>
          <v:imagedata o:title=""/>
          <o:lock v:ext="edit" aspectratio="t"/>
          <v:textpath on="t" fitshape="t" fitpath="t" trim="t" xscale="f" string="赵骁" style="font-family:瀹嬩綋;font-size:20pt;v-same-letter-heights:f;v-text-align:center;"/>
        </v:shape>
      </w:pict>
    </w:r>
    <w:r>
      <w:pict>
        <v:shape id="PowerPlusWaterMarkObject18292538" o:spid="_x0000_s4101" o:spt="136" type="#_x0000_t136" style="position:absolute;left:0pt;margin-left:301.6pt;margin-top:664.05pt;height:20pt;width:30pt;mso-position-horizontal-relative:margin;mso-position-vertical-relative:margin;rotation:-2949120f;z-index:-251623424;mso-width-relative:page;mso-height-relative:page;" fillcolor="#A6A6A6" filled="t" stroked="f" coordsize="21600,21600">
          <v:path/>
          <v:fill on="t" opacity="5242f" focussize="0,0"/>
          <v:stroke on="f"/>
          <v:imagedata o:title=""/>
          <o:lock v:ext="edit" aspectratio="t"/>
          <v:textpath on="t" fitshape="t" fitpath="t" trim="t" xscale="f" string="赵骁" style="font-family:瀹嬩綋;font-size:20pt;v-same-letter-heights:f;v-text-align:center;"/>
        </v:shape>
      </w:pict>
    </w:r>
    <w:r>
      <w:pict>
        <v:shape id="PowerPlusWaterMarkObject17766977" o:spid="_x0000_s4102" o:spt="136" type="#_x0000_t136" style="position:absolute;left:0pt;margin-left:252.1pt;margin-top:713.55pt;height:20pt;width:30pt;mso-position-horizontal-relative:margin;mso-position-vertical-relative:margin;rotation:-2949120f;z-index:-251624448;mso-width-relative:page;mso-height-relative:page;" fillcolor="#A6A6A6" filled="t" stroked="f" coordsize="21600,21600">
          <v:path/>
          <v:fill on="t" opacity="5242f" focussize="0,0"/>
          <v:stroke on="f"/>
          <v:imagedata o:title=""/>
          <o:lock v:ext="edit" aspectratio="t"/>
          <v:textpath on="t" fitshape="t" fitpath="t" trim="t" xscale="f" string="赵骁" style="font-family:瀹嬩綋;font-size:20pt;v-same-letter-heights:f;v-text-align:center;"/>
        </v:shape>
      </w:pict>
    </w:r>
    <w:r>
      <w:pict>
        <v:shape id="PowerPlusWaterMarkObject16902458" o:spid="_x0000_s4103" o:spt="136" type="#_x0000_t136" style="position:absolute;left:0pt;margin-left:202.6pt;margin-top:763.05pt;height:20pt;width:30pt;mso-position-horizontal-relative:margin;mso-position-vertical-relative:margin;rotation:-2949120f;z-index:-251625472;mso-width-relative:page;mso-height-relative:page;" fillcolor="#A6A6A6" filled="t" stroked="f" coordsize="21600,21600">
          <v:path/>
          <v:fill on="t" opacity="5242f" focussize="0,0"/>
          <v:stroke on="f"/>
          <v:imagedata o:title=""/>
          <o:lock v:ext="edit" aspectratio="t"/>
          <v:textpath on="t" fitshape="t" fitpath="t" trim="t" xscale="f" string="赵骁" style="font-family:瀹嬩綋;font-size:20pt;v-same-letter-heights:f;v-text-align:center;"/>
        </v:shape>
      </w:pict>
    </w:r>
    <w:r>
      <w:pict>
        <v:shape id="PowerPlusWaterMarkObject16644705" o:spid="_x0000_s4104" o:spt="136" type="#_x0000_t136" style="position:absolute;left:0pt;margin-left:499.6pt;margin-top:178.65pt;height:20pt;width:30pt;mso-position-horizontal-relative:margin;mso-position-vertical-relative:margin;rotation:-2949120f;z-index:-251626496;mso-width-relative:page;mso-height-relative:page;" fillcolor="#A6A6A6" filled="t" stroked="f" coordsize="21600,21600">
          <v:path/>
          <v:fill on="t" opacity="5242f" focussize="0,0"/>
          <v:stroke on="f"/>
          <v:imagedata o:title=""/>
          <o:lock v:ext="edit" aspectratio="t"/>
          <v:textpath on="t" fitshape="t" fitpath="t" trim="t" xscale="f" string="赵骁" style="font-family:瀹嬩綋;font-size:20pt;v-same-letter-heights:f;v-text-align:center;"/>
        </v:shape>
      </w:pict>
    </w:r>
    <w:r>
      <w:pict>
        <v:shape id="PowerPlusWaterMarkObject16576463" o:spid="_x0000_s4105" o:spt="136" type="#_x0000_t136" style="position:absolute;left:0pt;margin-left:450.1pt;margin-top:228.15pt;height:20pt;width:30pt;mso-position-horizontal-relative:margin;mso-position-vertical-relative:margin;rotation:-2949120f;z-index:-251627520;mso-width-relative:page;mso-height-relative:page;" fillcolor="#A6A6A6" filled="t" stroked="f" coordsize="21600,21600">
          <v:path/>
          <v:fill on="t" opacity="5242f" focussize="0,0"/>
          <v:stroke on="f"/>
          <v:imagedata o:title=""/>
          <o:lock v:ext="edit" aspectratio="t"/>
          <v:textpath on="t" fitshape="t" fitpath="t" trim="t" xscale="f" string="赵骁" style="font-family:瀹嬩綋;font-size:20pt;v-same-letter-heights:f;v-text-align:center;"/>
        </v:shape>
      </w:pict>
    </w:r>
    <w:r>
      <w:pict>
        <v:shape id="PowerPlusWaterMarkObject16384225" o:spid="_x0000_s4106" o:spt="136" type="#_x0000_t136" style="position:absolute;left:0pt;margin-left:400.6pt;margin-top:277.6pt;height:20pt;width:30pt;mso-position-horizontal-relative:margin;mso-position-vertical-relative:margin;rotation:-2949120f;z-index:-251628544;mso-width-relative:page;mso-height-relative:page;" fillcolor="#A6A6A6" filled="t" stroked="f" coordsize="21600,21600">
          <v:path/>
          <v:fill on="t" opacity="5242f" focussize="0,0"/>
          <v:stroke on="f"/>
          <v:imagedata o:title=""/>
          <o:lock v:ext="edit" aspectratio="t"/>
          <v:textpath on="t" fitshape="t" fitpath="t" trim="t" xscale="f" string="赵骁" style="font-family:瀹嬩綋;font-size:20pt;v-same-letter-heights:f;v-text-align:center;"/>
        </v:shape>
      </w:pict>
    </w:r>
    <w:r>
      <w:pict>
        <v:shape id="PowerPlusWaterMarkObject15571612" o:spid="_x0000_s4107" o:spt="136" type="#_x0000_t136" style="position:absolute;left:0pt;margin-left:351.1pt;margin-top:327.1pt;height:20pt;width:30pt;mso-position-horizontal-relative:margin;mso-position-vertical-relative:margin;rotation:-2949120f;z-index:-251629568;mso-width-relative:page;mso-height-relative:page;" fillcolor="#A6A6A6" filled="t" stroked="f" coordsize="21600,21600">
          <v:path/>
          <v:fill on="t" opacity="5242f" focussize="0,0"/>
          <v:stroke on="f"/>
          <v:imagedata o:title=""/>
          <o:lock v:ext="edit" aspectratio="t"/>
          <v:textpath on="t" fitshape="t" fitpath="t" trim="t" xscale="f" string="赵骁" style="font-family:瀹嬩綋;font-size:20pt;v-same-letter-heights:f;v-text-align:center;"/>
        </v:shape>
      </w:pict>
    </w:r>
    <w:r>
      <w:pict>
        <v:shape id="PowerPlusWaterMarkObject15384599" o:spid="_x0000_s4108" o:spt="136" type="#_x0000_t136" style="position:absolute;left:0pt;margin-left:301.6pt;margin-top:376.6pt;height:20pt;width:30pt;mso-position-horizontal-relative:margin;mso-position-vertical-relative:margin;rotation:-2949120f;z-index:-251630592;mso-width-relative:page;mso-height-relative:page;" fillcolor="#A6A6A6" filled="t" stroked="f" coordsize="21600,21600">
          <v:path/>
          <v:fill on="t" opacity="5242f" focussize="0,0"/>
          <v:stroke on="f"/>
          <v:imagedata o:title=""/>
          <o:lock v:ext="edit" aspectratio="t"/>
          <v:textpath on="t" fitshape="t" fitpath="t" trim="t" xscale="f" string="赵骁" style="font-family:瀹嬩綋;font-size:20pt;v-same-letter-heights:f;v-text-align:center;"/>
        </v:shape>
      </w:pict>
    </w:r>
    <w:r>
      <w:pict>
        <v:shape id="PowerPlusWaterMarkObject15256907" o:spid="_x0000_s4109" o:spt="136" type="#_x0000_t136" style="position:absolute;left:0pt;margin-left:252.1pt;margin-top:426.1pt;height:20pt;width:30pt;mso-position-horizontal-relative:margin;mso-position-vertical-relative:margin;rotation:-2949120f;z-index:-251631616;mso-width-relative:page;mso-height-relative:page;" fillcolor="#A6A6A6" filled="t" stroked="f" coordsize="21600,21600">
          <v:path/>
          <v:fill on="t" opacity="5242f" focussize="0,0"/>
          <v:stroke on="f"/>
          <v:imagedata o:title=""/>
          <o:lock v:ext="edit" aspectratio="t"/>
          <v:textpath on="t" fitshape="t" fitpath="t" trim="t" xscale="f" string="赵骁" style="font-family:瀹嬩綋;font-size:20pt;v-same-letter-heights:f;v-text-align:center;"/>
        </v:shape>
      </w:pict>
    </w:r>
    <w:r>
      <w:pict>
        <v:shape id="PowerPlusWaterMarkObject14323833" o:spid="_x0000_s4110" o:spt="136" type="#_x0000_t136" style="position:absolute;left:0pt;margin-left:202.6pt;margin-top:475.6pt;height:20pt;width:30pt;mso-position-horizontal-relative:margin;mso-position-vertical-relative:margin;rotation:-2949120f;z-index:-251632640;mso-width-relative:page;mso-height-relative:page;" fillcolor="#A6A6A6" filled="t" stroked="f" coordsize="21600,21600">
          <v:path/>
          <v:fill on="t" opacity="5242f" focussize="0,0"/>
          <v:stroke on="f"/>
          <v:imagedata o:title=""/>
          <o:lock v:ext="edit" aspectratio="t"/>
          <v:textpath on="t" fitshape="t" fitpath="t" trim="t" xscale="f" string="赵骁" style="font-family:瀹嬩綋;font-size:20pt;v-same-letter-heights:f;v-text-align:center;"/>
        </v:shape>
      </w:pict>
    </w:r>
    <w:r>
      <w:pict>
        <v:shape id="PowerPlusWaterMarkObject14289746" o:spid="_x0000_s4111" o:spt="136" type="#_x0000_t136" style="position:absolute;left:0pt;margin-left:153.1pt;margin-top:525.1pt;height:20pt;width:30pt;mso-position-horizontal-relative:margin;mso-position-vertical-relative:margin;rotation:-2949120f;z-index:-251633664;mso-width-relative:page;mso-height-relative:page;" fillcolor="#A6A6A6" filled="t" stroked="f" coordsize="21600,21600">
          <v:path/>
          <v:fill on="t" opacity="5242f" focussize="0,0"/>
          <v:stroke on="f"/>
          <v:imagedata o:title=""/>
          <o:lock v:ext="edit" aspectratio="t"/>
          <v:textpath on="t" fitshape="t" fitpath="t" trim="t" xscale="f" string="赵骁" style="font-family:瀹嬩綋;font-size:20pt;v-same-letter-heights:f;v-text-align:center;"/>
        </v:shape>
      </w:pict>
    </w:r>
    <w:r>
      <w:pict>
        <v:shape id="PowerPlusWaterMarkObject13850539" o:spid="_x0000_s4112" o:spt="136" type="#_x0000_t136" style="position:absolute;left:0pt;margin-left:103.6pt;margin-top:574.6pt;height:20pt;width:30pt;mso-position-horizontal-relative:margin;mso-position-vertical-relative:margin;rotation:-2949120f;z-index:-251634688;mso-width-relative:page;mso-height-relative:page;" fillcolor="#A6A6A6" filled="t" stroked="f" coordsize="21600,21600">
          <v:path/>
          <v:fill on="t" opacity="5242f" focussize="0,0"/>
          <v:stroke on="f"/>
          <v:imagedata o:title=""/>
          <o:lock v:ext="edit" aspectratio="t"/>
          <v:textpath on="t" fitshape="t" fitpath="t" trim="t" xscale="f" string="赵骁" style="font-family:瀹嬩綋;font-size:20pt;v-same-letter-heights:f;v-text-align:center;"/>
        </v:shape>
      </w:pict>
    </w:r>
    <w:r>
      <w:pict>
        <v:shape id="PowerPlusWaterMarkObject13150563" o:spid="_x0000_s4113" o:spt="136" type="#_x0000_t136" style="position:absolute;left:0pt;margin-left:54.1pt;margin-top:624.1pt;height:20pt;width:30pt;mso-position-horizontal-relative:margin;mso-position-vertical-relative:margin;rotation:-2949120f;z-index:-251635712;mso-width-relative:page;mso-height-relative:page;" fillcolor="#A6A6A6" filled="t" stroked="f" coordsize="21600,21600">
          <v:path/>
          <v:fill on="t" opacity="5242f" focussize="0,0"/>
          <v:stroke on="f"/>
          <v:imagedata o:title=""/>
          <o:lock v:ext="edit" aspectratio="t"/>
          <v:textpath on="t" fitshape="t" fitpath="t" trim="t" xscale="f" string="赵骁" style="font-family:瀹嬩綋;font-size:20pt;v-same-letter-heights:f;v-text-align:center;"/>
        </v:shape>
      </w:pict>
    </w:r>
    <w:r>
      <w:pict>
        <v:shape id="PowerPlusWaterMarkObject12454752" o:spid="_x0000_s4114" o:spt="136" type="#_x0000_t136" style="position:absolute;left:0pt;margin-left:4.6pt;margin-top:673.6pt;height:20pt;width:30pt;mso-position-horizontal-relative:margin;mso-position-vertical-relative:margin;rotation:-2949120f;z-index:-251636736;mso-width-relative:page;mso-height-relative:page;" fillcolor="#A6A6A6" filled="t" stroked="f" coordsize="21600,21600">
          <v:path/>
          <v:fill on="t" opacity="5242f" focussize="0,0"/>
          <v:stroke on="f"/>
          <v:imagedata o:title=""/>
          <o:lock v:ext="edit" aspectratio="t"/>
          <v:textpath on="t" fitshape="t" fitpath="t" trim="t" xscale="f" string="赵骁" style="font-family:瀹嬩綋;font-size:20pt;v-same-letter-heights:f;v-text-align:center;"/>
        </v:shape>
      </w:pict>
    </w:r>
    <w:r>
      <w:pict>
        <v:shape id="PowerPlusWaterMarkObject11687652" o:spid="_x0000_s4115" o:spt="136" type="#_x0000_t136" style="position:absolute;left:0pt;margin-left:-44.9pt;margin-top:723.1pt;height:20pt;width:30pt;mso-position-horizontal-relative:margin;mso-position-vertical-relative:margin;rotation:-2949120f;z-index:-251637760;mso-width-relative:page;mso-height-relative:page;" fillcolor="#A6A6A6" filled="t" stroked="f" coordsize="21600,21600">
          <v:path/>
          <v:fill on="t" opacity="5242f" focussize="0,0"/>
          <v:stroke on="f"/>
          <v:imagedata o:title=""/>
          <o:lock v:ext="edit" aspectratio="t"/>
          <v:textpath on="t" fitshape="t" fitpath="t" trim="t" xscale="f" string="赵骁" style="font-family:瀹嬩綋;font-size:20pt;v-same-letter-heights:f;v-text-align:center;"/>
        </v:shape>
      </w:pict>
    </w:r>
    <w:r>
      <w:pict>
        <v:shape id="PowerPlusWaterMarkObject11357442" o:spid="_x0000_s4116" o:spt="136" type="#_x0000_t136" style="position:absolute;left:0pt;margin-left:-94.4pt;margin-top:772.6pt;height:20pt;width:30pt;mso-position-horizontal-relative:margin;mso-position-vertical-relative:margin;rotation:-2949120f;z-index:-251638784;mso-width-relative:page;mso-height-relative:page;" fillcolor="#A6A6A6" filled="t" stroked="f" coordsize="21600,21600">
          <v:path/>
          <v:fill on="t" opacity="5242f" focussize="0,0"/>
          <v:stroke on="f"/>
          <v:imagedata o:title=""/>
          <o:lock v:ext="edit" aspectratio="t"/>
          <v:textpath on="t" fitshape="t" fitpath="t" trim="t" xscale="f" string="赵骁" style="font-family:瀹嬩綋;font-size:20pt;v-same-letter-heights:f;v-text-align:center;"/>
        </v:shape>
      </w:pict>
    </w:r>
    <w:r>
      <w:pict>
        <v:shape id="PowerPlusWaterMarkObject11044019" o:spid="_x0000_s4117" o:spt="136" type="#_x0000_t136" style="position:absolute;left:0pt;margin-left:450.1pt;margin-top:-59.3pt;height:20pt;width:30pt;mso-position-horizontal-relative:margin;mso-position-vertical-relative:margin;rotation:-2949120f;z-index:-251639808;mso-width-relative:page;mso-height-relative:page;" fillcolor="#A6A6A6" filled="t" stroked="f" coordsize="21600,21600">
          <v:path/>
          <v:fill on="t" opacity="5242f" focussize="0,0"/>
          <v:stroke on="f"/>
          <v:imagedata o:title=""/>
          <o:lock v:ext="edit" aspectratio="t"/>
          <v:textpath on="t" fitshape="t" fitpath="t" trim="t" xscale="f" string="赵骁" style="font-family:瀹嬩綋;font-size:20pt;v-same-letter-heights:f;v-text-align:center;"/>
        </v:shape>
      </w:pict>
    </w:r>
    <w:r>
      <w:pict>
        <v:shape id="PowerPlusWaterMarkObject10230686" o:spid="_x0000_s4118" o:spt="136" type="#_x0000_t136" style="position:absolute;left:0pt;margin-left:400.6pt;margin-top:-9.8pt;height:20pt;width:30pt;mso-position-horizontal-relative:margin;mso-position-vertical-relative:margin;rotation:-2949120f;z-index:-251640832;mso-width-relative:page;mso-height-relative:page;" fillcolor="#A6A6A6" filled="t" stroked="f" coordsize="21600,21600">
          <v:path/>
          <v:fill on="t" opacity="5242f" focussize="0,0"/>
          <v:stroke on="f"/>
          <v:imagedata o:title=""/>
          <o:lock v:ext="edit" aspectratio="t"/>
          <v:textpath on="t" fitshape="t" fitpath="t" trim="t" xscale="f" string="赵骁" style="font-family:瀹嬩綋;font-size:20pt;v-same-letter-heights:f;v-text-align:center;"/>
        </v:shape>
      </w:pict>
    </w:r>
    <w:r>
      <w:pict>
        <v:shape id="PowerPlusWaterMarkObject9950558" o:spid="_x0000_s4119" o:spt="136" type="#_x0000_t136" style="position:absolute;left:0pt;margin-left:351.1pt;margin-top:39.7pt;height:20pt;width:30pt;mso-position-horizontal-relative:margin;mso-position-vertical-relative:margin;rotation:-2949120f;z-index:-251641856;mso-width-relative:page;mso-height-relative:page;" fillcolor="#A6A6A6" filled="t" stroked="f" coordsize="21600,21600">
          <v:path/>
          <v:fill on="t" opacity="5242f" focussize="0,0"/>
          <v:stroke on="f"/>
          <v:imagedata o:title=""/>
          <o:lock v:ext="edit" aspectratio="t"/>
          <v:textpath on="t" fitshape="t" fitpath="t" trim="t" xscale="f" string="赵骁" style="font-family:瀹嬩綋;font-size:20pt;v-same-letter-heights:f;v-text-align:center;"/>
        </v:shape>
      </w:pict>
    </w:r>
    <w:r>
      <w:pict>
        <v:shape id="PowerPlusWaterMarkObject9197266" o:spid="_x0000_s4120" o:spt="136" type="#_x0000_t136" style="position:absolute;left:0pt;margin-left:301.6pt;margin-top:89.2pt;height:20pt;width:30pt;mso-position-horizontal-relative:margin;mso-position-vertical-relative:margin;rotation:-2949120f;z-index:-251642880;mso-width-relative:page;mso-height-relative:page;" fillcolor="#A6A6A6" filled="t" stroked="f" coordsize="21600,21600">
          <v:path/>
          <v:fill on="t" opacity="5242f" focussize="0,0"/>
          <v:stroke on="f"/>
          <v:imagedata o:title=""/>
          <o:lock v:ext="edit" aspectratio="t"/>
          <v:textpath on="t" fitshape="t" fitpath="t" trim="t" xscale="f" string="赵骁" style="font-family:瀹嬩綋;font-size:20pt;v-same-letter-heights:f;v-text-align:center;"/>
        </v:shape>
      </w:pict>
    </w:r>
    <w:r>
      <w:pict>
        <v:shape id="PowerPlusWaterMarkObject8505240" o:spid="_x0000_s4121" o:spt="136" type="#_x0000_t136" style="position:absolute;left:0pt;margin-left:252.1pt;margin-top:138.7pt;height:20pt;width:30pt;mso-position-horizontal-relative:margin;mso-position-vertical-relative:margin;rotation:-2949120f;z-index:-251643904;mso-width-relative:page;mso-height-relative:page;" fillcolor="#A6A6A6" filled="t" stroked="f" coordsize="21600,21600">
          <v:path/>
          <v:fill on="t" opacity="5242f" focussize="0,0"/>
          <v:stroke on="f"/>
          <v:imagedata o:title=""/>
          <o:lock v:ext="edit" aspectratio="t"/>
          <v:textpath on="t" fitshape="t" fitpath="t" trim="t" xscale="f" string="赵骁" style="font-family:瀹嬩綋;font-size:20pt;v-same-letter-heights:f;v-text-align:center;"/>
        </v:shape>
      </w:pict>
    </w:r>
    <w:r>
      <w:pict>
        <v:shape id="PowerPlusWaterMarkObject7700905" o:spid="_x0000_s4122" o:spt="136" type="#_x0000_t136" style="position:absolute;left:0pt;margin-left:202.6pt;margin-top:188.15pt;height:20pt;width:30pt;mso-position-horizontal-relative:margin;mso-position-vertical-relative:margin;rotation:-2949120f;z-index:-251644928;mso-width-relative:page;mso-height-relative:page;" fillcolor="#A6A6A6" filled="t" stroked="f" coordsize="21600,21600">
          <v:path/>
          <v:fill on="t" opacity="5242f" focussize="0,0"/>
          <v:stroke on="f"/>
          <v:imagedata o:title=""/>
          <o:lock v:ext="edit" aspectratio="t"/>
          <v:textpath on="t" fitshape="t" fitpath="t" trim="t" xscale="f" string="赵骁" style="font-family:瀹嬩綋;font-size:20pt;v-same-letter-heights:f;v-text-align:center;"/>
        </v:shape>
      </w:pict>
    </w:r>
    <w:r>
      <w:pict>
        <v:shape id="PowerPlusWaterMarkObject6705588" o:spid="_x0000_s4123" o:spt="136" type="#_x0000_t136" style="position:absolute;left:0pt;margin-left:153.1pt;margin-top:237.65pt;height:20pt;width:30pt;mso-position-horizontal-relative:margin;mso-position-vertical-relative:margin;rotation:-2949120f;z-index:-251645952;mso-width-relative:page;mso-height-relative:page;" fillcolor="#A6A6A6" filled="t" stroked="f" coordsize="21600,21600">
          <v:path/>
          <v:fill on="t" opacity="5242f" focussize="0,0"/>
          <v:stroke on="f"/>
          <v:imagedata o:title=""/>
          <o:lock v:ext="edit" aspectratio="t"/>
          <v:textpath on="t" fitshape="t" fitpath="t" trim="t" xscale="f" string="赵骁" style="font-family:瀹嬩綋;font-size:20pt;v-same-letter-heights:f;v-text-align:center;"/>
        </v:shape>
      </w:pict>
    </w:r>
    <w:r>
      <w:pict>
        <v:shape id="PowerPlusWaterMarkObject6468817" o:spid="_x0000_s4124" o:spt="136" type="#_x0000_t136" style="position:absolute;left:0pt;margin-left:103.6pt;margin-top:287.15pt;height:20pt;width:30pt;mso-position-horizontal-relative:margin;mso-position-vertical-relative:margin;rotation:-2949120f;z-index:-251646976;mso-width-relative:page;mso-height-relative:page;" fillcolor="#A6A6A6" filled="t" stroked="f" coordsize="21600,21600">
          <v:path/>
          <v:fill on="t" opacity="5242f" focussize="0,0"/>
          <v:stroke on="f"/>
          <v:imagedata o:title=""/>
          <o:lock v:ext="edit" aspectratio="t"/>
          <v:textpath on="t" fitshape="t" fitpath="t" trim="t" xscale="f" string="赵骁" style="font-family:瀹嬩綋;font-size:20pt;v-same-letter-heights:f;v-text-align:center;"/>
        </v:shape>
      </w:pict>
    </w:r>
    <w:r>
      <w:pict>
        <v:shape id="PowerPlusWaterMarkObject6278154" o:spid="_x0000_s4125" o:spt="136" type="#_x0000_t136" style="position:absolute;left:0pt;margin-left:54.1pt;margin-top:336.65pt;height:20pt;width:30pt;mso-position-horizontal-relative:margin;mso-position-vertical-relative:margin;rotation:-2949120f;z-index:-251648000;mso-width-relative:page;mso-height-relative:page;" fillcolor="#A6A6A6" filled="t" stroked="f" coordsize="21600,21600">
          <v:path/>
          <v:fill on="t" opacity="5242f" focussize="0,0"/>
          <v:stroke on="f"/>
          <v:imagedata o:title=""/>
          <o:lock v:ext="edit" aspectratio="t"/>
          <v:textpath on="t" fitshape="t" fitpath="t" trim="t" xscale="f" string="赵骁" style="font-family:瀹嬩綋;font-size:20pt;v-same-letter-heights:f;v-text-align:center;"/>
        </v:shape>
      </w:pict>
    </w:r>
    <w:r>
      <w:pict>
        <v:shape id="PowerPlusWaterMarkObject5608134" o:spid="_x0000_s4126" o:spt="136" type="#_x0000_t136" style="position:absolute;left:0pt;margin-left:4.6pt;margin-top:386.15pt;height:20pt;width:30pt;mso-position-horizontal-relative:margin;mso-position-vertical-relative:margin;rotation:-2949120f;z-index:-251649024;mso-width-relative:page;mso-height-relative:page;" fillcolor="#A6A6A6" filled="t" stroked="f" coordsize="21600,21600">
          <v:path/>
          <v:fill on="t" opacity="5242f" focussize="0,0"/>
          <v:stroke on="f"/>
          <v:imagedata o:title=""/>
          <o:lock v:ext="edit" aspectratio="t"/>
          <v:textpath on="t" fitshape="t" fitpath="t" trim="t" xscale="f" string="赵骁" style="font-family:瀹嬩綋;font-size:20pt;v-same-letter-heights:f;v-text-align:center;"/>
        </v:shape>
      </w:pict>
    </w:r>
    <w:r>
      <w:pict>
        <v:shape id="PowerPlusWaterMarkObject4699887" o:spid="_x0000_s4127" o:spt="136" type="#_x0000_t136" style="position:absolute;left:0pt;margin-left:-44.9pt;margin-top:435.65pt;height:20pt;width:30pt;mso-position-horizontal-relative:margin;mso-position-vertical-relative:margin;rotation:-2949120f;z-index:-251650048;mso-width-relative:page;mso-height-relative:page;" fillcolor="#A6A6A6" filled="t" stroked="f" coordsize="21600,21600">
          <v:path/>
          <v:fill on="t" opacity="5242f" focussize="0,0"/>
          <v:stroke on="f"/>
          <v:imagedata o:title=""/>
          <o:lock v:ext="edit" aspectratio="t"/>
          <v:textpath on="t" fitshape="t" fitpath="t" trim="t" xscale="f" string="赵骁" style="font-family:瀹嬩綋;font-size:20pt;v-same-letter-heights:f;v-text-align:center;"/>
        </v:shape>
      </w:pict>
    </w:r>
    <w:r>
      <w:pict>
        <v:shape id="PowerPlusWaterMarkObject3948761" o:spid="_x0000_s4128" o:spt="136" type="#_x0000_t136" style="position:absolute;left:0pt;margin-left:-94.4pt;margin-top:485.15pt;height:20pt;width:30pt;mso-position-horizontal-relative:margin;mso-position-vertical-relative:margin;rotation:-2949120f;z-index:-251651072;mso-width-relative:page;mso-height-relative:page;" fillcolor="#A6A6A6" filled="t" stroked="f" coordsize="21600,21600">
          <v:path/>
          <v:fill on="t" opacity="5242f" focussize="0,0"/>
          <v:stroke on="f"/>
          <v:imagedata o:title=""/>
          <o:lock v:ext="edit" aspectratio="t"/>
          <v:textpath on="t" fitshape="t" fitpath="t" trim="t" xscale="f" string="赵骁" style="font-family:瀹嬩綋;font-size:20pt;v-same-letter-heights:f;v-text-align:center;"/>
        </v:shape>
      </w:pict>
    </w:r>
    <w:r>
      <w:pict>
        <v:shape id="PowerPlusWaterMarkObject3307238" o:spid="_x0000_s4129" o:spt="136" type="#_x0000_t136" style="position:absolute;left:0pt;margin-left:153.1pt;margin-top:-49.75pt;height:20pt;width:30pt;mso-position-horizontal-relative:margin;mso-position-vertical-relative:margin;rotation:-2949120f;z-index:-251652096;mso-width-relative:page;mso-height-relative:page;" fillcolor="#A6A6A6" filled="t" stroked="f" coordsize="21600,21600">
          <v:path/>
          <v:fill on="t" opacity="5242f" focussize="0,0"/>
          <v:stroke on="f"/>
          <v:imagedata o:title=""/>
          <o:lock v:ext="edit" aspectratio="t"/>
          <v:textpath on="t" fitshape="t" fitpath="t" trim="t" xscale="f" string="赵骁" style="font-family:瀹嬩綋;font-size:20pt;v-same-letter-heights:f;v-text-align:center;"/>
        </v:shape>
      </w:pict>
    </w:r>
    <w:r>
      <w:pict>
        <v:shape id="PowerPlusWaterMarkObject2508532" o:spid="_x0000_s4130" o:spt="136" type="#_x0000_t136" style="position:absolute;left:0pt;margin-left:103.6pt;margin-top:-0.25pt;height:20pt;width:30pt;mso-position-horizontal-relative:margin;mso-position-vertical-relative:margin;rotation:-2949120f;z-index:-251653120;mso-width-relative:page;mso-height-relative:page;" fillcolor="#A6A6A6" filled="t" stroked="f" coordsize="21600,21600">
          <v:path/>
          <v:fill on="t" opacity="5242f" focussize="0,0"/>
          <v:stroke on="f"/>
          <v:imagedata o:title=""/>
          <o:lock v:ext="edit" aspectratio="t"/>
          <v:textpath on="t" fitshape="t" fitpath="t" trim="t" xscale="f" string="赵骁" style="font-family:瀹嬩綋;font-size:20pt;v-same-letter-heights:f;v-text-align:center;"/>
        </v:shape>
      </w:pict>
    </w:r>
    <w:r>
      <w:pict>
        <v:shape id="PowerPlusWaterMarkObject2349922" o:spid="_x0000_s4131" o:spt="136" type="#_x0000_t136" style="position:absolute;left:0pt;margin-left:54.1pt;margin-top:49.25pt;height:20pt;width:30pt;mso-position-horizontal-relative:margin;mso-position-vertical-relative:margin;rotation:-2949120f;z-index:-251654144;mso-width-relative:page;mso-height-relative:page;" fillcolor="#A6A6A6" filled="t" stroked="f" coordsize="21600,21600">
          <v:path/>
          <v:fill on="t" opacity="5242f" focussize="0,0"/>
          <v:stroke on="f"/>
          <v:imagedata o:title=""/>
          <o:lock v:ext="edit" aspectratio="t"/>
          <v:textpath on="t" fitshape="t" fitpath="t" trim="t" xscale="f" string="赵骁" style="font-family:瀹嬩綋;font-size:20pt;v-same-letter-heights:f;v-text-align:center;"/>
        </v:shape>
      </w:pict>
    </w:r>
    <w:r>
      <w:pict>
        <v:shape id="PowerPlusWaterMarkObject2172343" o:spid="_x0000_s4132" o:spt="136" type="#_x0000_t136" style="position:absolute;left:0pt;margin-left:4.6pt;margin-top:98.7pt;height:20pt;width:30pt;mso-position-horizontal-relative:margin;mso-position-vertical-relative:margin;rotation:-2949120f;z-index:-251655168;mso-width-relative:page;mso-height-relative:page;" fillcolor="#A6A6A6" filled="t" stroked="f" coordsize="21600,21600">
          <v:path/>
          <v:fill on="t" opacity="5242f" focussize="0,0"/>
          <v:stroke on="f"/>
          <v:imagedata o:title=""/>
          <o:lock v:ext="edit" aspectratio="t"/>
          <v:textpath on="t" fitshape="t" fitpath="t" trim="t" xscale="f" string="赵骁" style="font-family:瀹嬩綋;font-size:20pt;v-same-letter-heights:f;v-text-align:center;"/>
        </v:shape>
      </w:pict>
    </w:r>
    <w:r>
      <w:pict>
        <v:shape id="PowerPlusWaterMarkObject1796147" o:spid="_x0000_s4133" o:spt="136" type="#_x0000_t136" style="position:absolute;left:0pt;margin-left:-44.9pt;margin-top:148.2pt;height:20pt;width:30pt;mso-position-horizontal-relative:margin;mso-position-vertical-relative:margin;rotation:-2949120f;z-index:-251656192;mso-width-relative:page;mso-height-relative:page;" fillcolor="#A6A6A6" filled="t" stroked="f" coordsize="21600,21600">
          <v:path/>
          <v:fill on="t" opacity="5242f" focussize="0,0"/>
          <v:stroke on="f"/>
          <v:imagedata o:title=""/>
          <o:lock v:ext="edit" aspectratio="t"/>
          <v:textpath on="t" fitshape="t" fitpath="t" trim="t" xscale="f" string="赵骁" style="font-family:瀹嬩綋;font-size:20pt;v-same-letter-heights:f;v-text-align:center;"/>
        </v:shape>
      </w:pict>
    </w:r>
    <w:r>
      <w:pict>
        <v:shape id="PowerPlusWaterMarkObject796197" o:spid="_x0000_s4134" o:spt="136" type="#_x0000_t136" style="position:absolute;left:0pt;margin-left:-94.4pt;margin-top:197.7pt;height:20pt;width:30pt;mso-position-horizontal-relative:margin;mso-position-vertical-relative:margin;rotation:-2949120f;z-index:-251657216;mso-width-relative:page;mso-height-relative:page;" fillcolor="#A6A6A6" filled="t" stroked="f" coordsize="21600,21600">
          <v:path/>
          <v:fill on="t" opacity="5242f" focussize="0,0"/>
          <v:stroke on="f"/>
          <v:imagedata o:title=""/>
          <o:lock v:ext="edit" aspectratio="t"/>
          <v:textpath on="t" fitshape="t" fitpath="t" trim="t" xscale="f" string="赵骁" style="font-family:瀹嬩綋;font-size:20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75B8EED"/>
    <w:multiLevelType w:val="singleLevel"/>
    <w:tmpl w:val="C75B8EED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D2CE0D4A"/>
    <w:multiLevelType w:val="singleLevel"/>
    <w:tmpl w:val="D2CE0D4A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4DF9DE57"/>
    <w:multiLevelType w:val="singleLevel"/>
    <w:tmpl w:val="4DF9DE57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EyNGU4MThkMTI1MjRmZDMwZmZkN2Y2ODUxYjAyY2IifQ=="/>
  </w:docVars>
  <w:rsids>
    <w:rsidRoot w:val="00000000"/>
    <w:rsid w:val="071741C4"/>
    <w:rsid w:val="0CC27A1F"/>
    <w:rsid w:val="15B731B5"/>
    <w:rsid w:val="2B2D331A"/>
    <w:rsid w:val="2FC639E4"/>
    <w:rsid w:val="3A732C83"/>
    <w:rsid w:val="3AF94CCE"/>
    <w:rsid w:val="3E704A6C"/>
    <w:rsid w:val="40213F31"/>
    <w:rsid w:val="49EF275A"/>
    <w:rsid w:val="4DDA70CB"/>
    <w:rsid w:val="4FA60843"/>
    <w:rsid w:val="5182522F"/>
    <w:rsid w:val="54205DF4"/>
    <w:rsid w:val="744E7C5A"/>
    <w:rsid w:val="78AB70BD"/>
    <w:rsid w:val="7BC75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after="0" w:line="500" w:lineRule="exact"/>
      <w:ind w:left="0" w:leftChars="0" w:firstLine="420"/>
    </w:pPr>
    <w:rPr>
      <w:rFonts w:eastAsia="仿宋_GB2312"/>
      <w:sz w:val="32"/>
    </w:r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4">
    <w:name w:val="Normal Indent"/>
    <w:basedOn w:val="1"/>
    <w:qFormat/>
    <w:uiPriority w:val="0"/>
    <w:pPr>
      <w:autoSpaceDE w:val="0"/>
      <w:autoSpaceDN w:val="0"/>
      <w:adjustRightInd w:val="0"/>
      <w:ind w:firstLine="420"/>
      <w:textAlignment w:val="baseline"/>
    </w:pPr>
    <w:rPr>
      <w:rFonts w:ascii="宋体"/>
      <w:kern w:val="0"/>
      <w:szCs w:val="20"/>
    </w:rPr>
  </w:style>
  <w:style w:type="paragraph" w:styleId="5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20"/>
    </w:rPr>
  </w:style>
  <w:style w:type="paragraph" w:customStyle="1" w:styleId="8">
    <w:name w:val="Default"/>
    <w:next w:val="1"/>
    <w:unhideWhenUsed/>
    <w:qFormat/>
    <w:uiPriority w:val="99"/>
    <w:pPr>
      <w:widowControl w:val="0"/>
      <w:autoSpaceDE w:val="0"/>
      <w:autoSpaceDN w:val="0"/>
    </w:pPr>
    <w:rPr>
      <w:rFonts w:hint="eastAsia" w:ascii="宋体" w:hAnsi="宋体" w:eastAsia="宋体" w:cs="Times New Roman"/>
      <w:color w:val="000000"/>
      <w:sz w:val="24"/>
      <w:szCs w:val="22"/>
      <w:lang w:val="en-US" w:eastAsia="zh-CN" w:bidi="ar-SA"/>
    </w:rPr>
  </w:style>
  <w:style w:type="character" w:customStyle="1" w:styleId="9">
    <w:name w:val="font31"/>
    <w:qFormat/>
    <w:uiPriority w:val="0"/>
    <w:rPr>
      <w:rFonts w:hint="default" w:ascii="仿宋_GB2312" w:eastAsia="仿宋_GB2312" w:cs="仿宋_GB2312"/>
      <w:b/>
      <w:bCs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  <customShpInfo spid="_x0000_s4098"/>
    <customShpInfo spid="_x0000_s4099"/>
    <customShpInfo spid="_x0000_s4100"/>
    <customShpInfo spid="_x0000_s4101"/>
    <customShpInfo spid="_x0000_s4102"/>
    <customShpInfo spid="_x0000_s4103"/>
    <customShpInfo spid="_x0000_s4104"/>
    <customShpInfo spid="_x0000_s4105"/>
    <customShpInfo spid="_x0000_s4106"/>
    <customShpInfo spid="_x0000_s4107"/>
    <customShpInfo spid="_x0000_s4108"/>
    <customShpInfo spid="_x0000_s4109"/>
    <customShpInfo spid="_x0000_s4110"/>
    <customShpInfo spid="_x0000_s4111"/>
    <customShpInfo spid="_x0000_s4112"/>
    <customShpInfo spid="_x0000_s4113"/>
    <customShpInfo spid="_x0000_s4114"/>
    <customShpInfo spid="_x0000_s4115"/>
    <customShpInfo spid="_x0000_s4116"/>
    <customShpInfo spid="_x0000_s4117"/>
    <customShpInfo spid="_x0000_s4118"/>
    <customShpInfo spid="_x0000_s4119"/>
    <customShpInfo spid="_x0000_s4120"/>
    <customShpInfo spid="_x0000_s4121"/>
    <customShpInfo spid="_x0000_s4122"/>
    <customShpInfo spid="_x0000_s4123"/>
    <customShpInfo spid="_x0000_s4124"/>
    <customShpInfo spid="_x0000_s4125"/>
    <customShpInfo spid="_x0000_s4126"/>
    <customShpInfo spid="_x0000_s4127"/>
    <customShpInfo spid="_x0000_s4128"/>
    <customShpInfo spid="_x0000_s4129"/>
    <customShpInfo spid="_x0000_s4130"/>
    <customShpInfo spid="_x0000_s4131"/>
    <customShpInfo spid="_x0000_s4132"/>
    <customShpInfo spid="_x0000_s4133"/>
    <customShpInfo spid="_x0000_s4134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3112</Words>
  <Characters>3548</Characters>
  <Lines>0</Lines>
  <Paragraphs>0</Paragraphs>
  <TotalTime>4</TotalTime>
  <ScaleCrop>false</ScaleCrop>
  <LinksUpToDate>false</LinksUpToDate>
  <CharactersWithSpaces>3731</CharactersWithSpaces>
  <Application>WPS Office_10.8.2.7119_F1E327BC-269C-435d-A152-05C5408002CA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2023-07-05T00:01:00Z</dcterms:created>
  <dc:creator>杨海</dc:creator>
  <cp:lastModifiedBy>于晨民</cp:lastModifiedBy>
  <dcterms:modified xsi:type="dcterms:W3CDTF">2023-07-14T06:00:02Z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2052-10.8.2.7119</vt:lpwstr>
  </property>
  <property fmtid="{D5CDD505-2E9C-101B-9397-08002B2CF9AE}" pid="3" name="ICV">
    <vt:lpwstr>6957781208924CA7A0004654738FC135_12</vt:lpwstr>
  </property>
</Properties>
</file>