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等线" w:eastAsia="方正小标宋简体"/>
          <w:sz w:val="36"/>
          <w:szCs w:val="36"/>
        </w:rPr>
      </w:pPr>
      <w:r>
        <w:rPr>
          <w:rFonts w:hint="eastAsia" w:ascii="方正小标宋简体" w:hAnsi="等线" w:eastAsia="方正小标宋简体"/>
          <w:sz w:val="36"/>
          <w:szCs w:val="36"/>
        </w:rPr>
        <w:t>山西太钢投资有限公司信息公开</w:t>
      </w:r>
    </w:p>
    <w:p>
      <w:pPr>
        <w:jc w:val="center"/>
        <w:rPr>
          <w:rFonts w:ascii="楷体_GB2312" w:eastAsia="楷体_GB2312"/>
          <w:sz w:val="32"/>
          <w:szCs w:val="32"/>
        </w:rPr>
      </w:pPr>
      <w:bookmarkStart w:id="0" w:name="_Hlk87362038"/>
      <w:r>
        <w:rPr>
          <w:rFonts w:ascii="楷体_GB2312" w:eastAsia="楷体_GB2312"/>
          <w:sz w:val="32"/>
          <w:szCs w:val="32"/>
        </w:rPr>
        <w:t>(</w:t>
      </w:r>
      <w:r>
        <w:rPr>
          <w:rFonts w:hint="eastAsia" w:ascii="楷体_GB2312" w:eastAsia="楷体_GB2312"/>
          <w:sz w:val="32"/>
          <w:szCs w:val="32"/>
        </w:rPr>
        <w:t>2023年</w:t>
      </w:r>
      <w:r>
        <w:rPr>
          <w:rFonts w:hint="eastAsia" w:ascii="楷体_GB2312" w:eastAsia="楷体_GB2312"/>
          <w:sz w:val="32"/>
          <w:szCs w:val="32"/>
          <w:lang w:val="en-US" w:eastAsia="zh-CN"/>
        </w:rPr>
        <w:t>6</w:t>
      </w:r>
      <w:r>
        <w:rPr>
          <w:rFonts w:hint="eastAsia" w:ascii="楷体_GB2312" w:eastAsia="楷体_GB2312"/>
          <w:sz w:val="32"/>
          <w:szCs w:val="32"/>
        </w:rPr>
        <w:t>月</w:t>
      </w:r>
      <w:r>
        <w:rPr>
          <w:rFonts w:ascii="楷体_GB2312" w:eastAsia="楷体_GB2312"/>
          <w:sz w:val="32"/>
          <w:szCs w:val="32"/>
        </w:rPr>
        <w:t>)</w:t>
      </w:r>
      <w:bookmarkEnd w:id="0"/>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一、企业基本情况</w:t>
      </w:r>
    </w:p>
    <w:p>
      <w:pPr>
        <w:widowControl/>
        <w:spacing w:line="54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中文名称：</w:t>
      </w:r>
      <w:r>
        <w:rPr>
          <w:rFonts w:hint="eastAsia" w:ascii="仿宋" w:hAnsi="仿宋" w:eastAsia="仿宋" w:cs="仿宋"/>
          <w:sz w:val="32"/>
          <w:szCs w:val="32"/>
        </w:rPr>
        <w:t>山西太钢投资有限公司</w:t>
      </w:r>
      <w:r>
        <w:rPr>
          <w:rFonts w:hint="eastAsia" w:ascii="仿宋_GB2312" w:hAnsi="仿宋" w:eastAsia="仿宋_GB2312" w:cs="仿宋"/>
          <w:sz w:val="32"/>
          <w:szCs w:val="32"/>
        </w:rPr>
        <w:t>，简称：</w:t>
      </w:r>
      <w:r>
        <w:rPr>
          <w:rFonts w:hint="eastAsia" w:ascii="仿宋" w:hAnsi="仿宋" w:eastAsia="仿宋" w:cs="仿宋"/>
          <w:sz w:val="32"/>
          <w:szCs w:val="32"/>
        </w:rPr>
        <w:t>太钢投资公司</w:t>
      </w:r>
    </w:p>
    <w:p>
      <w:pPr>
        <w:widowControl/>
        <w:spacing w:line="54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法定代表人：</w:t>
      </w:r>
      <w:r>
        <w:rPr>
          <w:rFonts w:hint="eastAsia" w:ascii="仿宋" w:hAnsi="仿宋" w:eastAsia="仿宋" w:cs="仿宋"/>
          <w:sz w:val="32"/>
          <w:szCs w:val="32"/>
        </w:rPr>
        <w:t>周金晓</w:t>
      </w:r>
    </w:p>
    <w:p>
      <w:pPr>
        <w:widowControl/>
        <w:spacing w:line="540" w:lineRule="exact"/>
        <w:ind w:firstLine="640" w:firstLineChars="200"/>
        <w:jc w:val="left"/>
        <w:rPr>
          <w:rFonts w:ascii="仿宋_GB2312" w:hAnsi="仿宋" w:eastAsia="仿宋_GB2312" w:cs="仿宋"/>
          <w:sz w:val="32"/>
          <w:szCs w:val="32"/>
        </w:rPr>
      </w:pPr>
      <w:r>
        <w:rPr>
          <w:rFonts w:hint="eastAsia" w:ascii="仿宋_GB2312" w:hAnsi="仿宋" w:eastAsia="仿宋_GB2312" w:cs="仿宋"/>
          <w:sz w:val="32"/>
          <w:szCs w:val="32"/>
        </w:rPr>
        <w:t>股东名称：</w:t>
      </w:r>
      <w:r>
        <w:rPr>
          <w:rFonts w:hint="eastAsia" w:ascii="仿宋" w:hAnsi="仿宋" w:eastAsia="仿宋" w:cs="仿宋"/>
          <w:sz w:val="32"/>
          <w:szCs w:val="32"/>
        </w:rPr>
        <w:t>太原钢铁集团（有限）公司</w:t>
      </w:r>
    </w:p>
    <w:p>
      <w:pPr>
        <w:widowControl/>
        <w:spacing w:line="540" w:lineRule="exact"/>
        <w:ind w:firstLine="640" w:firstLineChars="200"/>
        <w:jc w:val="left"/>
        <w:rPr>
          <w:rFonts w:ascii="楷体" w:hAnsi="楷体" w:eastAsia="楷体" w:cs="楷体"/>
          <w:sz w:val="24"/>
        </w:rPr>
      </w:pPr>
      <w:r>
        <w:rPr>
          <w:rFonts w:hint="eastAsia" w:ascii="仿宋_GB2312" w:hAnsi="仿宋" w:eastAsia="仿宋_GB2312" w:cs="仿宋"/>
          <w:sz w:val="32"/>
          <w:szCs w:val="32"/>
        </w:rPr>
        <w:t>注册地址：</w:t>
      </w:r>
      <w:r>
        <w:rPr>
          <w:rFonts w:hint="eastAsia" w:ascii="仿宋" w:hAnsi="仿宋" w:eastAsia="仿宋" w:cs="仿宋"/>
          <w:sz w:val="32"/>
          <w:szCs w:val="32"/>
        </w:rPr>
        <w:t>山西太原市桃园北路72号铭鼎国际17层</w:t>
      </w:r>
    </w:p>
    <w:p>
      <w:pPr>
        <w:widowControl/>
        <w:spacing w:line="540" w:lineRule="exact"/>
        <w:ind w:firstLine="480" w:firstLineChars="200"/>
        <w:jc w:val="left"/>
        <w:rPr>
          <w:rFonts w:ascii="仿宋_GB2312" w:hAnsi="仿宋" w:eastAsia="仿宋_GB2312" w:cs="仿宋"/>
          <w:sz w:val="32"/>
          <w:szCs w:val="32"/>
        </w:rPr>
      </w:pPr>
      <w:r>
        <w:rPr>
          <w:rFonts w:hint="eastAsia" w:ascii="楷体" w:hAnsi="楷体" w:eastAsia="楷体" w:cs="楷体"/>
          <w:sz w:val="24"/>
        </w:rPr>
        <w:t xml:space="preserve"> </w:t>
      </w:r>
      <w:r>
        <w:rPr>
          <w:rFonts w:hint="eastAsia" w:ascii="仿宋_GB2312" w:hAnsi="仿宋" w:eastAsia="仿宋_GB2312" w:cs="仿宋"/>
          <w:sz w:val="32"/>
          <w:szCs w:val="32"/>
        </w:rPr>
        <w:t>办公地址：</w:t>
      </w:r>
      <w:r>
        <w:rPr>
          <w:rFonts w:hint="eastAsia" w:ascii="仿宋" w:hAnsi="仿宋" w:eastAsia="仿宋" w:cs="仿宋"/>
          <w:sz w:val="32"/>
          <w:szCs w:val="32"/>
        </w:rPr>
        <w:t>山西太原市桃园北路72号铭鼎国际17层</w:t>
      </w:r>
    </w:p>
    <w:p>
      <w:pPr>
        <w:widowControl/>
        <w:spacing w:line="540" w:lineRule="exact"/>
        <w:ind w:firstLine="640" w:firstLineChars="200"/>
        <w:jc w:val="left"/>
        <w:rPr>
          <w:rFonts w:ascii="仿宋" w:hAnsi="仿宋" w:eastAsia="仿宋" w:cs="仿宋"/>
          <w:sz w:val="32"/>
          <w:szCs w:val="32"/>
        </w:rPr>
      </w:pPr>
      <w:r>
        <w:rPr>
          <w:rFonts w:hint="eastAsia" w:ascii="仿宋_GB2312" w:hAnsi="仿宋" w:eastAsia="仿宋_GB2312" w:cs="仿宋"/>
          <w:sz w:val="32"/>
          <w:szCs w:val="32"/>
        </w:rPr>
        <w:t>邮政编码：</w:t>
      </w:r>
      <w:r>
        <w:rPr>
          <w:rFonts w:hint="eastAsia" w:ascii="仿宋" w:hAnsi="仿宋" w:eastAsia="仿宋" w:cs="仿宋"/>
          <w:sz w:val="32"/>
          <w:szCs w:val="32"/>
        </w:rPr>
        <w:t>030002</w:t>
      </w:r>
    </w:p>
    <w:p>
      <w:pPr>
        <w:spacing w:line="520" w:lineRule="exact"/>
        <w:ind w:firstLine="640" w:firstLineChars="200"/>
        <w:rPr>
          <w:rFonts w:ascii="仿宋" w:hAnsi="仿宋" w:eastAsia="仿宋"/>
          <w:sz w:val="32"/>
          <w:szCs w:val="32"/>
        </w:rPr>
      </w:pPr>
      <w:r>
        <w:rPr>
          <w:rFonts w:hint="eastAsia" w:ascii="仿宋_GB2312" w:hAnsi="仿宋" w:eastAsia="仿宋_GB2312" w:cs="仿宋"/>
          <w:sz w:val="32"/>
          <w:szCs w:val="32"/>
        </w:rPr>
        <w:t>公司简介</w:t>
      </w:r>
      <w:r>
        <w:rPr>
          <w:rFonts w:hint="eastAsia" w:ascii="仿宋" w:hAnsi="仿宋" w:eastAsia="仿宋"/>
          <w:sz w:val="32"/>
          <w:szCs w:val="32"/>
        </w:rPr>
        <w:t>：山西太钢投资有限公司（以下简称“本公司”）前身系</w:t>
      </w:r>
      <w:r>
        <w:rPr>
          <w:rFonts w:ascii="仿宋" w:hAnsi="仿宋" w:eastAsia="仿宋"/>
          <w:sz w:val="32"/>
          <w:szCs w:val="32"/>
        </w:rPr>
        <w:t>1998</w:t>
      </w:r>
      <w:r>
        <w:rPr>
          <w:rFonts w:hint="eastAsia" w:ascii="仿宋" w:hAnsi="仿宋" w:eastAsia="仿宋"/>
          <w:sz w:val="32"/>
          <w:szCs w:val="32"/>
        </w:rPr>
        <w:t>年</w:t>
      </w:r>
      <w:r>
        <w:rPr>
          <w:rFonts w:ascii="仿宋" w:hAnsi="仿宋" w:eastAsia="仿宋"/>
          <w:sz w:val="32"/>
          <w:szCs w:val="32"/>
        </w:rPr>
        <w:t>7</w:t>
      </w:r>
      <w:r>
        <w:rPr>
          <w:rFonts w:hint="eastAsia" w:ascii="仿宋" w:hAnsi="仿宋" w:eastAsia="仿宋"/>
          <w:sz w:val="32"/>
          <w:szCs w:val="32"/>
        </w:rPr>
        <w:t>月</w:t>
      </w:r>
      <w:r>
        <w:rPr>
          <w:rFonts w:ascii="仿宋" w:hAnsi="仿宋" w:eastAsia="仿宋"/>
          <w:sz w:val="32"/>
          <w:szCs w:val="32"/>
        </w:rPr>
        <w:t>16</w:t>
      </w:r>
      <w:r>
        <w:rPr>
          <w:rFonts w:hint="eastAsia" w:ascii="仿宋" w:hAnsi="仿宋" w:eastAsia="仿宋"/>
          <w:sz w:val="32"/>
          <w:szCs w:val="32"/>
        </w:rPr>
        <w:t>日经山西省工商行政管理局注册登记并领取企业法人营业执照的太原钢铁（集团）原料贸易有限公司，于</w:t>
      </w:r>
      <w:r>
        <w:rPr>
          <w:rFonts w:ascii="仿宋" w:hAnsi="仿宋" w:eastAsia="仿宋"/>
          <w:sz w:val="32"/>
          <w:szCs w:val="32"/>
        </w:rPr>
        <w:t>2008</w:t>
      </w:r>
      <w:r>
        <w:rPr>
          <w:rFonts w:hint="eastAsia" w:ascii="仿宋" w:hAnsi="仿宋" w:eastAsia="仿宋"/>
          <w:sz w:val="32"/>
          <w:szCs w:val="32"/>
        </w:rPr>
        <w:t>年</w:t>
      </w:r>
      <w:r>
        <w:rPr>
          <w:rFonts w:ascii="仿宋" w:hAnsi="仿宋" w:eastAsia="仿宋"/>
          <w:sz w:val="32"/>
          <w:szCs w:val="32"/>
        </w:rPr>
        <w:t>9</w:t>
      </w:r>
      <w:r>
        <w:rPr>
          <w:rFonts w:hint="eastAsia" w:ascii="仿宋" w:hAnsi="仿宋" w:eastAsia="仿宋"/>
          <w:sz w:val="32"/>
          <w:szCs w:val="32"/>
        </w:rPr>
        <w:t>月对原料贸易有限公司名称、法定代表人、经营范围、股东等事项进行了变更。变更后本公司由山西太钢不锈钢股份有限公司的全资子公司变为太原钢铁（集团）有限公司的全资子公司。公司经营范围为以自有资金</w:t>
      </w:r>
      <w:r>
        <w:rPr>
          <w:rFonts w:ascii="仿宋" w:hAnsi="仿宋" w:eastAsia="仿宋"/>
          <w:sz w:val="32"/>
          <w:szCs w:val="32"/>
        </w:rPr>
        <w:t>对实业（法律法规允许）的投资</w:t>
      </w:r>
      <w:r>
        <w:rPr>
          <w:rFonts w:hint="eastAsia" w:ascii="仿宋" w:hAnsi="仿宋" w:eastAsia="仿宋"/>
          <w:sz w:val="32"/>
          <w:szCs w:val="32"/>
        </w:rPr>
        <w:t>，注册资本贰拾亿元整。</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二、公司治理及管理架构、重要人事变动、企业负责人薪酬水平情况</w:t>
      </w:r>
    </w:p>
    <w:p>
      <w:pPr>
        <w:widowControl/>
        <w:spacing w:line="540" w:lineRule="exact"/>
        <w:ind w:firstLine="643" w:firstLineChars="200"/>
        <w:jc w:val="left"/>
        <w:rPr>
          <w:rFonts w:ascii="仿宋_GB2312" w:hAnsi="仿宋" w:eastAsia="仿宋_GB2312" w:cs="仿宋"/>
          <w:b/>
          <w:bCs/>
          <w:sz w:val="32"/>
          <w:szCs w:val="32"/>
        </w:rPr>
      </w:pPr>
      <w:r>
        <w:rPr>
          <w:rFonts w:hint="eastAsia" w:ascii="Calibri" w:hAnsi="Calibri" w:eastAsia="仿宋" w:cs="Calibri"/>
          <w:b/>
          <w:bCs/>
          <w:sz w:val="32"/>
          <w:szCs w:val="32"/>
        </w:rPr>
        <w:t>（</w:t>
      </w:r>
      <w:r>
        <w:rPr>
          <w:rFonts w:hint="eastAsia" w:ascii="仿宋_GB2312" w:hAnsi="仿宋" w:eastAsia="仿宋_GB2312" w:cs="仿宋"/>
          <w:b/>
          <w:bCs/>
          <w:sz w:val="32"/>
          <w:szCs w:val="32"/>
        </w:rPr>
        <w:t>一）公司治理及管理架构</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本公司不设立董事会，不设监事会，设执行董事1人，监事1人，总经理、副经理各1人，下设综合部、实业投资部、证券投资部、风险管控及经营管理部、财务部（太钢集团经营财务部派驻六室）五个</w:t>
      </w:r>
      <w:bookmarkStart w:id="1" w:name="_GoBack"/>
      <w:bookmarkEnd w:id="1"/>
      <w:r>
        <w:rPr>
          <w:rFonts w:hint="eastAsia" w:ascii="仿宋" w:hAnsi="仿宋" w:eastAsia="仿宋"/>
          <w:sz w:val="32"/>
          <w:szCs w:val="32"/>
        </w:rPr>
        <w:t>部门。本公司下设全资子公司山西太钢创业投资有限公司，持股比例100%。</w:t>
      </w:r>
    </w:p>
    <w:p>
      <w:pPr>
        <w:spacing w:line="720" w:lineRule="auto"/>
        <w:ind w:firstLine="640" w:firstLineChars="200"/>
        <w:rPr>
          <w:rFonts w:ascii="仿宋" w:hAnsi="仿宋" w:eastAsia="仿宋"/>
          <w:sz w:val="32"/>
          <w:szCs w:val="32"/>
        </w:rPr>
      </w:pPr>
      <w:r>
        <w:rPr>
          <w:rFonts w:hint="eastAsia" w:ascii="仿宋_GB2312" w:hAnsi="仿宋" w:eastAsia="仿宋_GB2312" w:cs="仿宋"/>
          <w:sz w:val="32"/>
          <w:szCs w:val="32"/>
        </w:rPr>
        <w:t>组织机构图</w:t>
      </w:r>
      <w:r>
        <w:rPr>
          <w:rFonts w:hint="eastAsia" w:ascii="仿宋" w:hAnsi="仿宋" w:eastAsia="仿宋"/>
          <w:sz w:val="32"/>
          <w:szCs w:val="32"/>
        </w:rPr>
        <w:t>：</w:t>
      </w:r>
    </w:p>
    <w:p>
      <w:pPr>
        <w:pStyle w:val="20"/>
        <w:rPr>
          <w:rFonts w:ascii="仿宋_GB2312" w:hAnsi="仿宋" w:eastAsia="仿宋_GB2312" w:cs="仿宋"/>
          <w:szCs w:val="32"/>
        </w:rPr>
      </w:pPr>
      <w:r>
        <w:drawing>
          <wp:inline distT="0" distB="0" distL="114300" distR="114300">
            <wp:extent cx="4648835" cy="2888615"/>
            <wp:effectExtent l="0" t="0" r="18415" b="6985"/>
            <wp:docPr id="17" name="图片 16"/>
            <wp:cNvGraphicFramePr/>
            <a:graphic xmlns:a="http://schemas.openxmlformats.org/drawingml/2006/main">
              <a:graphicData uri="http://schemas.openxmlformats.org/drawingml/2006/picture">
                <pic:pic xmlns:pic="http://schemas.openxmlformats.org/drawingml/2006/picture">
                  <pic:nvPicPr>
                    <pic:cNvPr id="17" name="图片 16"/>
                    <pic:cNvPicPr/>
                  </pic:nvPicPr>
                  <pic:blipFill>
                    <a:blip r:embed="rId4"/>
                    <a:srcRect/>
                    <a:stretch>
                      <a:fillRect/>
                    </a:stretch>
                  </pic:blipFill>
                  <pic:spPr bwMode="auto">
                    <a:xfrm>
                      <a:off x="0" y="0"/>
                      <a:ext cx="4648835" cy="2888615"/>
                    </a:xfrm>
                    <a:prstGeom prst="rect">
                      <a:avLst/>
                    </a:prstGeom>
                    <a:noFill/>
                    <a:ln w="9525">
                      <a:noFill/>
                      <a:miter lim="800000"/>
                      <a:headEnd/>
                      <a:tailEnd/>
                    </a:ln>
                  </pic:spPr>
                </pic:pic>
              </a:graphicData>
            </a:graphic>
          </wp:inline>
        </w:drawing>
      </w:r>
    </w:p>
    <w:p>
      <w:pPr>
        <w:keepNext w:val="0"/>
        <w:keepLines w:val="0"/>
        <w:pageBreakBefore w:val="0"/>
        <w:widowControl/>
        <w:kinsoku/>
        <w:wordWrap/>
        <w:overflowPunct/>
        <w:topLinePunct w:val="0"/>
        <w:autoSpaceDE/>
        <w:autoSpaceDN/>
        <w:bidi w:val="0"/>
        <w:adjustRightInd/>
        <w:snapToGrid/>
        <w:spacing w:before="157" w:beforeLines="50" w:after="157" w:afterLines="50" w:line="540" w:lineRule="exact"/>
        <w:ind w:firstLine="643" w:firstLineChars="200"/>
        <w:jc w:val="left"/>
        <w:textAlignment w:val="auto"/>
        <w:rPr>
          <w:rFonts w:ascii="仿宋_GB2312" w:hAnsi="仿宋" w:eastAsia="仿宋_GB2312" w:cs="仿宋"/>
          <w:b/>
          <w:bCs/>
          <w:sz w:val="32"/>
          <w:szCs w:val="32"/>
        </w:rPr>
      </w:pPr>
      <w:r>
        <w:rPr>
          <w:rFonts w:hint="eastAsia" w:ascii="仿宋_GB2312" w:hAnsi="仿宋" w:eastAsia="仿宋_GB2312" w:cs="仿宋"/>
          <w:b/>
          <w:bCs/>
          <w:sz w:val="32"/>
          <w:szCs w:val="32"/>
        </w:rPr>
        <w:t>（二）重要人事变动（董事、监事、高级管理人员）</w:t>
      </w:r>
    </w:p>
    <w:p>
      <w:pPr>
        <w:keepNext w:val="0"/>
        <w:keepLines w:val="0"/>
        <w:pageBreakBefore w:val="0"/>
        <w:widowControl w:val="0"/>
        <w:kinsoku/>
        <w:wordWrap/>
        <w:overflowPunct/>
        <w:topLinePunct w:val="0"/>
        <w:autoSpaceDE/>
        <w:autoSpaceDN/>
        <w:bidi w:val="0"/>
        <w:adjustRightInd/>
        <w:snapToGrid/>
        <w:spacing w:after="157" w:afterLines="50" w:line="520" w:lineRule="exact"/>
        <w:ind w:firstLine="640" w:firstLineChars="200"/>
        <w:textAlignment w:val="auto"/>
        <w:rPr>
          <w:rFonts w:ascii="仿宋" w:hAnsi="仿宋" w:eastAsia="仿宋"/>
          <w:sz w:val="32"/>
          <w:szCs w:val="32"/>
        </w:rPr>
      </w:pPr>
      <w:r>
        <w:rPr>
          <w:rFonts w:hint="eastAsia" w:ascii="仿宋" w:hAnsi="仿宋" w:eastAsia="仿宋"/>
          <w:sz w:val="32"/>
          <w:szCs w:val="32"/>
        </w:rPr>
        <w:t>2023年</w:t>
      </w:r>
      <w:r>
        <w:rPr>
          <w:rFonts w:hint="eastAsia" w:ascii="仿宋" w:hAnsi="仿宋" w:eastAsia="仿宋"/>
          <w:sz w:val="32"/>
          <w:szCs w:val="32"/>
          <w:lang w:val="en-US" w:eastAsia="zh-CN"/>
        </w:rPr>
        <w:t>4月-6月</w:t>
      </w:r>
      <w:r>
        <w:rPr>
          <w:rFonts w:hint="eastAsia" w:ascii="仿宋" w:hAnsi="仿宋" w:eastAsia="仿宋"/>
          <w:sz w:val="32"/>
          <w:szCs w:val="32"/>
        </w:rPr>
        <w:t>，</w:t>
      </w:r>
      <w:r>
        <w:rPr>
          <w:rFonts w:hint="eastAsia" w:ascii="仿宋" w:hAnsi="仿宋" w:eastAsia="仿宋"/>
          <w:sz w:val="32"/>
          <w:szCs w:val="32"/>
          <w:lang w:eastAsia="zh-CN"/>
        </w:rPr>
        <w:t>无重要人事变动</w:t>
      </w:r>
      <w:r>
        <w:rPr>
          <w:rFonts w:hint="eastAsia" w:ascii="仿宋" w:hAnsi="仿宋" w:eastAsia="仿宋"/>
          <w:sz w:val="32"/>
          <w:szCs w:val="32"/>
        </w:rPr>
        <w:t>。</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三、企业主要财务状况和经营成果、国有资本保值增值情况</w:t>
      </w:r>
    </w:p>
    <w:p>
      <w:pPr>
        <w:tabs>
          <w:tab w:val="left" w:pos="7350"/>
        </w:tabs>
        <w:spacing w:beforeLines="20" w:afterLines="20" w:line="600" w:lineRule="exact"/>
        <w:ind w:firstLine="482"/>
        <w:rPr>
          <w:rFonts w:ascii="仿宋_GB2312" w:hAnsi="仿宋" w:eastAsia="仿宋_GB2312" w:cs="仿宋"/>
          <w:b/>
          <w:bCs/>
          <w:sz w:val="32"/>
          <w:szCs w:val="32"/>
        </w:rPr>
      </w:pPr>
      <w:r>
        <w:rPr>
          <w:rFonts w:hint="eastAsia" w:ascii="仿宋_GB2312" w:hAnsi="仿宋" w:eastAsia="仿宋_GB2312" w:cs="仿宋"/>
          <w:b/>
          <w:bCs/>
          <w:sz w:val="32"/>
          <w:szCs w:val="32"/>
        </w:rPr>
        <w:t>（一）报告期内收入利润情况</w:t>
      </w:r>
    </w:p>
    <w:p>
      <w:pPr>
        <w:tabs>
          <w:tab w:val="left" w:pos="7350"/>
        </w:tabs>
        <w:spacing w:beforeLines="20" w:afterLines="20" w:line="600" w:lineRule="exact"/>
        <w:ind w:firstLine="482"/>
        <w:rPr>
          <w:rFonts w:ascii="仿宋_GB2312" w:eastAsia="仿宋_GB2312"/>
          <w:b/>
          <w:sz w:val="28"/>
          <w:szCs w:val="28"/>
        </w:rPr>
      </w:pPr>
      <w:r>
        <w:rPr>
          <w:rFonts w:hint="eastAsia" w:ascii="仿宋_GB2312" w:hAnsi="宋体" w:eastAsia="仿宋_GB2312" w:cs="Arial"/>
          <w:sz w:val="24"/>
        </w:rPr>
        <w:t xml:space="preserve">                                                        单位：万元</w:t>
      </w:r>
    </w:p>
    <w:tbl>
      <w:tblPr>
        <w:tblStyle w:val="6"/>
        <w:tblW w:w="8237" w:type="dxa"/>
        <w:tblInd w:w="93" w:type="dxa"/>
        <w:tblLayout w:type="autofit"/>
        <w:tblCellMar>
          <w:top w:w="0" w:type="dxa"/>
          <w:left w:w="108" w:type="dxa"/>
          <w:bottom w:w="0" w:type="dxa"/>
          <w:right w:w="108" w:type="dxa"/>
        </w:tblCellMar>
      </w:tblPr>
      <w:tblGrid>
        <w:gridCol w:w="1340"/>
        <w:gridCol w:w="2503"/>
        <w:gridCol w:w="2551"/>
        <w:gridCol w:w="1843"/>
      </w:tblGrid>
      <w:tr>
        <w:tblPrEx>
          <w:tblCellMar>
            <w:top w:w="0" w:type="dxa"/>
            <w:left w:w="108" w:type="dxa"/>
            <w:bottom w:w="0" w:type="dxa"/>
            <w:right w:w="108" w:type="dxa"/>
          </w:tblCellMar>
        </w:tblPrEx>
        <w:trPr>
          <w:trHeight w:val="1095" w:hRule="atLeast"/>
        </w:trPr>
        <w:tc>
          <w:tcPr>
            <w:tcW w:w="134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报表项目</w:t>
            </w:r>
          </w:p>
        </w:tc>
        <w:tc>
          <w:tcPr>
            <w:tcW w:w="2503"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本期累计金额（1-</w:t>
            </w:r>
            <w:r>
              <w:rPr>
                <w:rFonts w:hint="eastAsia" w:ascii="仿宋_GB2312" w:hAnsi="宋体" w:eastAsia="仿宋_GB2312" w:cs="宋体"/>
                <w:b/>
                <w:bCs/>
                <w:color w:val="000000"/>
                <w:kern w:val="0"/>
                <w:sz w:val="22"/>
                <w:szCs w:val="22"/>
                <w:lang w:val="en-US" w:eastAsia="zh-CN"/>
              </w:rPr>
              <w:t>6</w:t>
            </w:r>
            <w:r>
              <w:rPr>
                <w:rFonts w:hint="eastAsia" w:ascii="仿宋_GB2312" w:hAnsi="宋体" w:eastAsia="仿宋_GB2312" w:cs="宋体"/>
                <w:b/>
                <w:bCs/>
                <w:color w:val="000000"/>
                <w:kern w:val="0"/>
                <w:sz w:val="22"/>
                <w:szCs w:val="22"/>
              </w:rPr>
              <w:t>月）</w:t>
            </w:r>
          </w:p>
        </w:tc>
        <w:tc>
          <w:tcPr>
            <w:tcW w:w="255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上期金额（1-</w:t>
            </w:r>
            <w:r>
              <w:rPr>
                <w:rFonts w:hint="eastAsia" w:ascii="仿宋_GB2312" w:hAnsi="宋体" w:eastAsia="仿宋_GB2312" w:cs="宋体"/>
                <w:b/>
                <w:bCs/>
                <w:color w:val="000000"/>
                <w:kern w:val="0"/>
                <w:sz w:val="22"/>
                <w:szCs w:val="22"/>
                <w:lang w:val="en-US" w:eastAsia="zh-CN"/>
              </w:rPr>
              <w:t>6</w:t>
            </w:r>
            <w:r>
              <w:rPr>
                <w:rFonts w:hint="eastAsia" w:ascii="仿宋_GB2312" w:hAnsi="宋体" w:eastAsia="仿宋_GB2312" w:cs="宋体"/>
                <w:b/>
                <w:bCs/>
                <w:color w:val="000000"/>
                <w:kern w:val="0"/>
                <w:sz w:val="22"/>
                <w:szCs w:val="22"/>
              </w:rPr>
              <w:t>月）</w:t>
            </w:r>
          </w:p>
        </w:tc>
        <w:tc>
          <w:tcPr>
            <w:tcW w:w="1843"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变动比率(%)</w:t>
            </w:r>
          </w:p>
        </w:tc>
      </w:tr>
      <w:tr>
        <w:tblPrEx>
          <w:tblCellMar>
            <w:top w:w="0" w:type="dxa"/>
            <w:left w:w="108" w:type="dxa"/>
            <w:bottom w:w="0" w:type="dxa"/>
            <w:right w:w="108" w:type="dxa"/>
          </w:tblCellMar>
        </w:tblPrEx>
        <w:trPr>
          <w:trHeight w:val="285" w:hRule="atLeast"/>
        </w:trPr>
        <w:tc>
          <w:tcPr>
            <w:tcW w:w="134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营业收入</w:t>
            </w:r>
          </w:p>
        </w:tc>
        <w:tc>
          <w:tcPr>
            <w:tcW w:w="2503"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仿宋_GB2312" w:hAnsi="宋体" w:eastAsia="仿宋_GB2312" w:cs="宋体"/>
                <w:color w:val="000000"/>
                <w:kern w:val="0"/>
                <w:szCs w:val="21"/>
              </w:rPr>
            </w:pPr>
            <w:r>
              <w:rPr>
                <w:rFonts w:hint="eastAsia" w:ascii="仿宋_GB2312" w:hAnsi="宋体" w:eastAsia="仿宋_GB2312" w:cs="仿宋_GB2312"/>
                <w:i w:val="0"/>
                <w:iCs w:val="0"/>
                <w:color w:val="000000"/>
                <w:kern w:val="0"/>
                <w:sz w:val="21"/>
                <w:szCs w:val="21"/>
                <w:u w:val="none"/>
                <w:lang w:val="en-US" w:eastAsia="zh-CN" w:bidi="ar"/>
              </w:rPr>
              <w:t>717</w:t>
            </w:r>
          </w:p>
        </w:tc>
        <w:tc>
          <w:tcPr>
            <w:tcW w:w="2551"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仿宋_GB2312" w:hAnsi="宋体" w:eastAsia="仿宋_GB2312" w:cs="宋体"/>
                <w:color w:val="000000"/>
                <w:kern w:val="0"/>
                <w:szCs w:val="21"/>
              </w:rPr>
            </w:pPr>
            <w:r>
              <w:rPr>
                <w:rFonts w:hint="eastAsia" w:ascii="仿宋_GB2312" w:hAnsi="宋体" w:eastAsia="仿宋_GB2312" w:cs="仿宋_GB2312"/>
                <w:i w:val="0"/>
                <w:iCs w:val="0"/>
                <w:color w:val="000000"/>
                <w:kern w:val="0"/>
                <w:sz w:val="21"/>
                <w:szCs w:val="21"/>
                <w:u w:val="none"/>
                <w:lang w:val="en-US" w:eastAsia="zh-CN" w:bidi="ar"/>
              </w:rPr>
              <w:t>-4646</w:t>
            </w:r>
          </w:p>
        </w:tc>
        <w:tc>
          <w:tcPr>
            <w:tcW w:w="1843"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CellMar>
            <w:top w:w="0" w:type="dxa"/>
            <w:left w:w="108" w:type="dxa"/>
            <w:bottom w:w="0" w:type="dxa"/>
            <w:right w:w="108" w:type="dxa"/>
          </w:tblCellMar>
        </w:tblPrEx>
        <w:trPr>
          <w:trHeight w:val="285" w:hRule="atLeast"/>
        </w:trPr>
        <w:tc>
          <w:tcPr>
            <w:tcW w:w="134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利润总额</w:t>
            </w:r>
          </w:p>
        </w:tc>
        <w:tc>
          <w:tcPr>
            <w:tcW w:w="2503"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仿宋_GB2312" w:hAnsi="宋体" w:eastAsia="仿宋_GB2312" w:cs="宋体"/>
                <w:color w:val="000000"/>
                <w:kern w:val="0"/>
                <w:szCs w:val="21"/>
              </w:rPr>
            </w:pPr>
            <w:r>
              <w:rPr>
                <w:rFonts w:hint="eastAsia" w:ascii="仿宋_GB2312" w:hAnsi="宋体" w:eastAsia="仿宋_GB2312" w:cs="仿宋_GB2312"/>
                <w:i w:val="0"/>
                <w:iCs w:val="0"/>
                <w:color w:val="000000"/>
                <w:kern w:val="0"/>
                <w:sz w:val="21"/>
                <w:szCs w:val="21"/>
                <w:u w:val="none"/>
                <w:lang w:val="en-US" w:eastAsia="zh-CN" w:bidi="ar"/>
              </w:rPr>
              <w:t>182</w:t>
            </w:r>
          </w:p>
        </w:tc>
        <w:tc>
          <w:tcPr>
            <w:tcW w:w="2551" w:type="dxa"/>
            <w:tcBorders>
              <w:top w:val="nil"/>
              <w:left w:val="nil"/>
              <w:bottom w:val="single" w:color="auto" w:sz="8" w:space="0"/>
              <w:right w:val="single" w:color="auto" w:sz="8" w:space="0"/>
            </w:tcBorders>
            <w:shd w:val="clear" w:color="auto" w:fill="auto"/>
            <w:vAlign w:val="bottom"/>
          </w:tcPr>
          <w:p>
            <w:pPr>
              <w:keepNext w:val="0"/>
              <w:keepLines w:val="0"/>
              <w:widowControl/>
              <w:suppressLineNumbers w:val="0"/>
              <w:jc w:val="right"/>
              <w:textAlignment w:val="bottom"/>
              <w:rPr>
                <w:rFonts w:ascii="仿宋_GB2312" w:hAnsi="宋体" w:eastAsia="仿宋_GB2312" w:cs="宋体"/>
                <w:color w:val="000000"/>
                <w:kern w:val="0"/>
                <w:szCs w:val="21"/>
              </w:rPr>
            </w:pPr>
            <w:r>
              <w:rPr>
                <w:rFonts w:hint="eastAsia" w:ascii="仿宋_GB2312" w:hAnsi="宋体" w:eastAsia="仿宋_GB2312" w:cs="仿宋_GB2312"/>
                <w:i w:val="0"/>
                <w:iCs w:val="0"/>
                <w:color w:val="000000"/>
                <w:kern w:val="0"/>
                <w:sz w:val="21"/>
                <w:szCs w:val="21"/>
                <w:u w:val="none"/>
                <w:lang w:val="en-US" w:eastAsia="zh-CN" w:bidi="ar"/>
              </w:rPr>
              <w:t>-5299</w:t>
            </w:r>
          </w:p>
        </w:tc>
        <w:tc>
          <w:tcPr>
            <w:tcW w:w="1843"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bl>
    <w:p>
      <w:pPr>
        <w:spacing w:line="520" w:lineRule="exact"/>
        <w:ind w:firstLine="643" w:firstLineChars="200"/>
        <w:rPr>
          <w:rFonts w:ascii="仿宋" w:hAnsi="仿宋" w:eastAsia="仿宋"/>
          <w:b/>
          <w:sz w:val="32"/>
          <w:szCs w:val="32"/>
        </w:rPr>
      </w:pPr>
    </w:p>
    <w:p>
      <w:pPr>
        <w:spacing w:line="520" w:lineRule="exact"/>
        <w:ind w:firstLine="643" w:firstLineChars="200"/>
        <w:rPr>
          <w:rFonts w:ascii="仿宋" w:hAnsi="仿宋" w:eastAsia="仿宋"/>
          <w:b/>
          <w:sz w:val="32"/>
          <w:szCs w:val="32"/>
        </w:rPr>
      </w:pPr>
    </w:p>
    <w:p>
      <w:pPr>
        <w:tabs>
          <w:tab w:val="left" w:pos="7350"/>
        </w:tabs>
        <w:spacing w:beforeLines="20" w:afterLines="20" w:line="600" w:lineRule="exact"/>
        <w:ind w:firstLine="482"/>
        <w:rPr>
          <w:rFonts w:ascii="仿宋_GB2312" w:hAnsi="仿宋" w:eastAsia="仿宋_GB2312" w:cs="仿宋"/>
          <w:b/>
          <w:bCs/>
          <w:sz w:val="32"/>
          <w:szCs w:val="32"/>
        </w:rPr>
      </w:pPr>
      <w:r>
        <w:rPr>
          <w:rFonts w:hint="eastAsia" w:ascii="仿宋_GB2312" w:hAnsi="仿宋" w:eastAsia="仿宋_GB2312" w:cs="仿宋"/>
          <w:b/>
          <w:bCs/>
          <w:sz w:val="32"/>
          <w:szCs w:val="32"/>
        </w:rPr>
        <w:t>（二）报告期内资产负债情况</w:t>
      </w:r>
    </w:p>
    <w:p>
      <w:pPr>
        <w:tabs>
          <w:tab w:val="left" w:pos="7350"/>
        </w:tabs>
        <w:spacing w:beforeLines="20" w:afterLines="20" w:line="440" w:lineRule="exact"/>
        <w:ind w:firstLine="482"/>
        <w:rPr>
          <w:rFonts w:ascii="仿宋_GB2312" w:eastAsia="仿宋_GB2312" w:cs="楷体_GB2312"/>
          <w:szCs w:val="21"/>
        </w:rPr>
      </w:pPr>
      <w:r>
        <w:rPr>
          <w:rFonts w:hint="eastAsia" w:ascii="仿宋_GB2312" w:hAnsi="宋体" w:eastAsia="仿宋_GB2312" w:cs="楷体_GB2312"/>
          <w:sz w:val="24"/>
        </w:rPr>
        <w:t xml:space="preserve">                                                </w:t>
      </w:r>
      <w:r>
        <w:rPr>
          <w:rFonts w:hint="eastAsia" w:ascii="仿宋_GB2312" w:hAnsi="宋体" w:eastAsia="仿宋_GB2312" w:cs="Arial"/>
          <w:sz w:val="24"/>
        </w:rPr>
        <w:t xml:space="preserve">         </w:t>
      </w:r>
      <w:r>
        <w:rPr>
          <w:rFonts w:hint="eastAsia" w:ascii="仿宋_GB2312" w:hAnsi="宋体" w:eastAsia="仿宋_GB2312" w:cs="Arial"/>
          <w:szCs w:val="21"/>
        </w:rPr>
        <w:t>单位：万元</w:t>
      </w:r>
    </w:p>
    <w:tbl>
      <w:tblPr>
        <w:tblStyle w:val="6"/>
        <w:tblW w:w="8237" w:type="dxa"/>
        <w:tblInd w:w="93" w:type="dxa"/>
        <w:tblLayout w:type="autofit"/>
        <w:tblCellMar>
          <w:top w:w="0" w:type="dxa"/>
          <w:left w:w="108" w:type="dxa"/>
          <w:bottom w:w="0" w:type="dxa"/>
          <w:right w:w="108" w:type="dxa"/>
        </w:tblCellMar>
      </w:tblPr>
      <w:tblGrid>
        <w:gridCol w:w="1575"/>
        <w:gridCol w:w="2268"/>
        <w:gridCol w:w="2551"/>
        <w:gridCol w:w="1843"/>
      </w:tblGrid>
      <w:tr>
        <w:tblPrEx>
          <w:tblCellMar>
            <w:top w:w="0" w:type="dxa"/>
            <w:left w:w="108" w:type="dxa"/>
            <w:bottom w:w="0" w:type="dxa"/>
            <w:right w:w="108" w:type="dxa"/>
          </w:tblCellMar>
        </w:tblPrEx>
        <w:trPr>
          <w:trHeight w:val="555" w:hRule="atLeast"/>
        </w:trPr>
        <w:tc>
          <w:tcPr>
            <w:tcW w:w="1575" w:type="dxa"/>
            <w:tcBorders>
              <w:top w:val="single" w:color="auto" w:sz="8" w:space="0"/>
              <w:left w:val="single" w:color="auto" w:sz="8" w:space="0"/>
              <w:bottom w:val="single" w:color="auto" w:sz="8" w:space="0"/>
              <w:right w:val="single" w:color="auto" w:sz="8" w:space="0"/>
            </w:tcBorders>
            <w:shd w:val="clear" w:color="auto" w:fill="auto"/>
            <w:vAlign w:val="bottom"/>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主要报表项目</w:t>
            </w:r>
          </w:p>
        </w:tc>
        <w:tc>
          <w:tcPr>
            <w:tcW w:w="2268" w:type="dxa"/>
            <w:tcBorders>
              <w:top w:val="single" w:color="auto" w:sz="8" w:space="0"/>
              <w:left w:val="nil"/>
              <w:bottom w:val="single" w:color="auto" w:sz="8" w:space="0"/>
              <w:right w:val="single" w:color="auto" w:sz="8" w:space="0"/>
            </w:tcBorders>
            <w:shd w:val="clear" w:color="auto" w:fill="auto"/>
            <w:vAlign w:val="bottom"/>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 xml:space="preserve"> 年初余额 </w:t>
            </w:r>
          </w:p>
        </w:tc>
        <w:tc>
          <w:tcPr>
            <w:tcW w:w="2551" w:type="dxa"/>
            <w:tcBorders>
              <w:top w:val="single" w:color="auto" w:sz="8" w:space="0"/>
              <w:left w:val="nil"/>
              <w:bottom w:val="single" w:color="auto" w:sz="8" w:space="0"/>
              <w:right w:val="single" w:color="auto" w:sz="8" w:space="0"/>
            </w:tcBorders>
            <w:shd w:val="clear" w:color="auto" w:fill="auto"/>
            <w:vAlign w:val="bottom"/>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 xml:space="preserve"> 期末余额 </w:t>
            </w:r>
          </w:p>
        </w:tc>
        <w:tc>
          <w:tcPr>
            <w:tcW w:w="1843" w:type="dxa"/>
            <w:tcBorders>
              <w:top w:val="single" w:color="auto" w:sz="8" w:space="0"/>
              <w:left w:val="nil"/>
              <w:bottom w:val="single" w:color="auto" w:sz="8" w:space="0"/>
              <w:right w:val="single" w:color="auto" w:sz="8" w:space="0"/>
            </w:tcBorders>
            <w:shd w:val="clear" w:color="auto" w:fill="auto"/>
            <w:vAlign w:val="bottom"/>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 xml:space="preserve">变动比率(%) </w:t>
            </w:r>
          </w:p>
        </w:tc>
      </w:tr>
      <w:tr>
        <w:tblPrEx>
          <w:tblCellMar>
            <w:top w:w="0" w:type="dxa"/>
            <w:left w:w="108" w:type="dxa"/>
            <w:bottom w:w="0" w:type="dxa"/>
            <w:right w:w="108" w:type="dxa"/>
          </w:tblCellMar>
        </w:tblPrEx>
        <w:trPr>
          <w:trHeight w:val="285" w:hRule="atLeast"/>
        </w:trPr>
        <w:tc>
          <w:tcPr>
            <w:tcW w:w="1575" w:type="dxa"/>
            <w:tcBorders>
              <w:top w:val="nil"/>
              <w:left w:val="single" w:color="auto" w:sz="8" w:space="0"/>
              <w:bottom w:val="single" w:color="auto" w:sz="8" w:space="0"/>
              <w:right w:val="single" w:color="auto" w:sz="8"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资产</w:t>
            </w:r>
          </w:p>
        </w:tc>
        <w:tc>
          <w:tcPr>
            <w:tcW w:w="2268"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i w:val="0"/>
                <w:iCs w:val="0"/>
                <w:color w:val="000000"/>
                <w:kern w:val="0"/>
                <w:sz w:val="22"/>
                <w:szCs w:val="22"/>
                <w:u w:val="none"/>
                <w:lang w:val="en-US" w:eastAsia="zh-CN" w:bidi="ar"/>
              </w:rPr>
              <w:t>174472</w:t>
            </w:r>
          </w:p>
        </w:tc>
        <w:tc>
          <w:tcPr>
            <w:tcW w:w="2551"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i w:val="0"/>
                <w:iCs w:val="0"/>
                <w:color w:val="000000"/>
                <w:kern w:val="0"/>
                <w:sz w:val="22"/>
                <w:szCs w:val="22"/>
                <w:u w:val="none"/>
                <w:lang w:val="en-US" w:eastAsia="zh-CN" w:bidi="ar"/>
              </w:rPr>
              <w:t xml:space="preserve">176325 </w:t>
            </w:r>
          </w:p>
        </w:tc>
        <w:tc>
          <w:tcPr>
            <w:tcW w:w="1843"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i w:val="0"/>
                <w:iCs w:val="0"/>
                <w:color w:val="000000"/>
                <w:kern w:val="0"/>
                <w:sz w:val="22"/>
                <w:szCs w:val="22"/>
                <w:u w:val="none"/>
                <w:lang w:val="en-US" w:eastAsia="zh-CN" w:bidi="ar"/>
              </w:rPr>
              <w:t>1.06%</w:t>
            </w:r>
          </w:p>
        </w:tc>
      </w:tr>
      <w:tr>
        <w:tblPrEx>
          <w:tblCellMar>
            <w:top w:w="0" w:type="dxa"/>
            <w:left w:w="108" w:type="dxa"/>
            <w:bottom w:w="0" w:type="dxa"/>
            <w:right w:w="108" w:type="dxa"/>
          </w:tblCellMar>
        </w:tblPrEx>
        <w:trPr>
          <w:trHeight w:val="285" w:hRule="atLeast"/>
        </w:trPr>
        <w:tc>
          <w:tcPr>
            <w:tcW w:w="1575" w:type="dxa"/>
            <w:tcBorders>
              <w:top w:val="nil"/>
              <w:left w:val="single" w:color="auto" w:sz="8" w:space="0"/>
              <w:bottom w:val="single" w:color="auto" w:sz="8" w:space="0"/>
              <w:right w:val="single" w:color="auto" w:sz="8" w:space="0"/>
            </w:tcBorders>
            <w:shd w:val="clear" w:color="auto" w:fill="auto"/>
            <w:vAlign w:val="bottom"/>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负债</w:t>
            </w:r>
          </w:p>
        </w:tc>
        <w:tc>
          <w:tcPr>
            <w:tcW w:w="2268"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i w:val="0"/>
                <w:iCs w:val="0"/>
                <w:color w:val="000000"/>
                <w:kern w:val="0"/>
                <w:sz w:val="22"/>
                <w:szCs w:val="22"/>
                <w:u w:val="none"/>
                <w:lang w:val="en-US" w:eastAsia="zh-CN" w:bidi="ar"/>
              </w:rPr>
              <w:t>2372</w:t>
            </w:r>
          </w:p>
        </w:tc>
        <w:tc>
          <w:tcPr>
            <w:tcW w:w="2551"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i w:val="0"/>
                <w:iCs w:val="0"/>
                <w:color w:val="000000"/>
                <w:kern w:val="0"/>
                <w:sz w:val="22"/>
                <w:szCs w:val="22"/>
                <w:u w:val="none"/>
                <w:lang w:val="en-US" w:eastAsia="zh-CN" w:bidi="ar"/>
              </w:rPr>
              <w:t xml:space="preserve">2190 </w:t>
            </w:r>
          </w:p>
        </w:tc>
        <w:tc>
          <w:tcPr>
            <w:tcW w:w="1843"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i w:val="0"/>
                <w:iCs w:val="0"/>
                <w:color w:val="000000"/>
                <w:kern w:val="0"/>
                <w:sz w:val="22"/>
                <w:szCs w:val="22"/>
                <w:u w:val="none"/>
                <w:lang w:val="en-US" w:eastAsia="zh-CN" w:bidi="ar"/>
              </w:rPr>
              <w:t>-7.68%</w:t>
            </w:r>
          </w:p>
        </w:tc>
      </w:tr>
      <w:tr>
        <w:tblPrEx>
          <w:tblCellMar>
            <w:top w:w="0" w:type="dxa"/>
            <w:left w:w="108" w:type="dxa"/>
            <w:bottom w:w="0" w:type="dxa"/>
            <w:right w:w="108" w:type="dxa"/>
          </w:tblCellMar>
        </w:tblPrEx>
        <w:trPr>
          <w:trHeight w:val="285" w:hRule="atLeast"/>
        </w:trPr>
        <w:tc>
          <w:tcPr>
            <w:tcW w:w="1575" w:type="dxa"/>
            <w:tcBorders>
              <w:top w:val="nil"/>
              <w:left w:val="single" w:color="auto" w:sz="8" w:space="0"/>
              <w:bottom w:val="single" w:color="auto" w:sz="8" w:space="0"/>
              <w:right w:val="single" w:color="auto" w:sz="8" w:space="0"/>
            </w:tcBorders>
            <w:shd w:val="clear" w:color="auto" w:fill="auto"/>
            <w:vAlign w:val="bottom"/>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所有者权益</w:t>
            </w:r>
          </w:p>
        </w:tc>
        <w:tc>
          <w:tcPr>
            <w:tcW w:w="2268"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i w:val="0"/>
                <w:iCs w:val="0"/>
                <w:color w:val="000000"/>
                <w:kern w:val="0"/>
                <w:sz w:val="22"/>
                <w:szCs w:val="22"/>
                <w:u w:val="none"/>
                <w:lang w:val="en-US" w:eastAsia="zh-CN" w:bidi="ar"/>
              </w:rPr>
              <w:t>172101</w:t>
            </w:r>
          </w:p>
        </w:tc>
        <w:tc>
          <w:tcPr>
            <w:tcW w:w="2551"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i w:val="0"/>
                <w:iCs w:val="0"/>
                <w:color w:val="000000"/>
                <w:kern w:val="0"/>
                <w:sz w:val="22"/>
                <w:szCs w:val="22"/>
                <w:u w:val="none"/>
                <w:lang w:val="en-US" w:eastAsia="zh-CN" w:bidi="ar"/>
              </w:rPr>
              <w:t xml:space="preserve">174135 </w:t>
            </w:r>
          </w:p>
        </w:tc>
        <w:tc>
          <w:tcPr>
            <w:tcW w:w="1843"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仿宋_GB2312" w:hAnsi="宋体" w:eastAsia="仿宋_GB2312" w:cs="宋体"/>
                <w:color w:val="000000"/>
                <w:kern w:val="0"/>
                <w:sz w:val="22"/>
                <w:szCs w:val="22"/>
              </w:rPr>
            </w:pPr>
            <w:r>
              <w:rPr>
                <w:rFonts w:hint="eastAsia" w:ascii="仿宋_GB2312" w:hAnsi="宋体" w:eastAsia="仿宋_GB2312" w:cs="仿宋_GB2312"/>
                <w:i w:val="0"/>
                <w:iCs w:val="0"/>
                <w:color w:val="000000"/>
                <w:kern w:val="0"/>
                <w:sz w:val="22"/>
                <w:szCs w:val="22"/>
                <w:u w:val="none"/>
                <w:lang w:val="en-US" w:eastAsia="zh-CN" w:bidi="ar"/>
              </w:rPr>
              <w:t>1.18%</w:t>
            </w:r>
          </w:p>
        </w:tc>
      </w:tr>
    </w:tbl>
    <w:p>
      <w:pPr>
        <w:spacing w:line="520" w:lineRule="exact"/>
        <w:ind w:firstLine="640" w:firstLineChars="200"/>
        <w:rPr>
          <w:rFonts w:ascii="仿宋" w:hAnsi="仿宋" w:eastAsia="仿宋"/>
          <w:sz w:val="32"/>
          <w:szCs w:val="32"/>
        </w:rPr>
      </w:pPr>
    </w:p>
    <w:p>
      <w:pPr>
        <w:tabs>
          <w:tab w:val="left" w:pos="7350"/>
        </w:tabs>
        <w:spacing w:beforeLines="20" w:afterLines="20" w:line="600" w:lineRule="exact"/>
        <w:ind w:firstLine="482"/>
        <w:rPr>
          <w:rFonts w:ascii="仿宋_GB2312" w:hAnsi="宋体" w:eastAsia="仿宋_GB2312" w:cs="宋体"/>
          <w:b/>
          <w:bCs/>
          <w:kern w:val="0"/>
          <w:sz w:val="32"/>
          <w:szCs w:val="32"/>
          <w:lang w:val="zh-CN"/>
        </w:rPr>
      </w:pPr>
      <w:r>
        <w:rPr>
          <w:rFonts w:hint="eastAsia" w:ascii="仿宋_GB2312" w:hAnsi="宋体" w:eastAsia="仿宋_GB2312" w:cs="宋体"/>
          <w:b/>
          <w:bCs/>
          <w:kern w:val="0"/>
          <w:sz w:val="32"/>
          <w:szCs w:val="32"/>
          <w:lang w:val="zh-CN"/>
        </w:rPr>
        <w:t>（三）国有资本保值增值情况</w:t>
      </w:r>
    </w:p>
    <w:p>
      <w:pPr>
        <w:spacing w:line="520" w:lineRule="exact"/>
        <w:ind w:firstLine="640" w:firstLineChars="200"/>
        <w:rPr>
          <w:rFonts w:ascii="仿宋" w:hAnsi="仿宋" w:eastAsia="仿宋"/>
          <w:sz w:val="32"/>
          <w:szCs w:val="32"/>
        </w:rPr>
      </w:pPr>
      <w:r>
        <w:rPr>
          <w:rFonts w:hint="eastAsia" w:ascii="仿宋" w:hAnsi="仿宋" w:eastAsia="仿宋"/>
          <w:sz w:val="32"/>
          <w:szCs w:val="32"/>
          <w:lang w:eastAsia="zh-CN"/>
        </w:rPr>
        <w:t>至</w:t>
      </w:r>
      <w:r>
        <w:rPr>
          <w:rFonts w:hint="eastAsia" w:ascii="仿宋" w:hAnsi="仿宋" w:eastAsia="仿宋"/>
          <w:sz w:val="32"/>
          <w:szCs w:val="32"/>
        </w:rPr>
        <w:t>2023年</w:t>
      </w:r>
      <w:r>
        <w:rPr>
          <w:rFonts w:hint="eastAsia" w:ascii="仿宋" w:hAnsi="仿宋" w:eastAsia="仿宋"/>
          <w:sz w:val="32"/>
          <w:szCs w:val="32"/>
          <w:lang w:val="en-US" w:eastAsia="zh-CN"/>
        </w:rPr>
        <w:t>6月</w:t>
      </w:r>
      <w:r>
        <w:rPr>
          <w:rFonts w:hint="eastAsia" w:ascii="仿宋" w:hAnsi="仿宋" w:eastAsia="仿宋"/>
          <w:sz w:val="32"/>
          <w:szCs w:val="32"/>
        </w:rPr>
        <w:t>，</w:t>
      </w:r>
      <w:r>
        <w:rPr>
          <w:rFonts w:hint="eastAsia" w:ascii="仿宋" w:hAnsi="仿宋" w:eastAsia="仿宋"/>
          <w:sz w:val="32"/>
          <w:szCs w:val="32"/>
          <w:lang w:eastAsia="zh-CN"/>
        </w:rPr>
        <w:t>投资</w:t>
      </w:r>
      <w:r>
        <w:rPr>
          <w:rFonts w:hint="eastAsia" w:ascii="仿宋" w:hAnsi="仿宋" w:eastAsia="仿宋"/>
          <w:sz w:val="32"/>
          <w:szCs w:val="32"/>
        </w:rPr>
        <w:t>公司国有资本保值增值率为101.</w:t>
      </w:r>
      <w:r>
        <w:rPr>
          <w:rFonts w:hint="eastAsia" w:ascii="仿宋" w:hAnsi="仿宋" w:eastAsia="仿宋"/>
          <w:sz w:val="32"/>
          <w:szCs w:val="32"/>
          <w:lang w:val="en-US" w:eastAsia="zh-CN"/>
        </w:rPr>
        <w:t>18</w:t>
      </w:r>
      <w:r>
        <w:rPr>
          <w:rFonts w:ascii="仿宋" w:hAnsi="仿宋" w:eastAsia="仿宋"/>
          <w:sz w:val="32"/>
          <w:szCs w:val="32"/>
        </w:rPr>
        <w:t>%</w:t>
      </w:r>
      <w:r>
        <w:rPr>
          <w:rFonts w:hint="eastAsia" w:ascii="仿宋" w:hAnsi="仿宋" w:eastAsia="仿宋"/>
          <w:sz w:val="32"/>
          <w:szCs w:val="32"/>
        </w:rPr>
        <w:t>。</w:t>
      </w:r>
    </w:p>
    <w:p>
      <w:pPr>
        <w:spacing w:before="240"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四、企业重大改制重组结果</w:t>
      </w:r>
    </w:p>
    <w:p>
      <w:pPr>
        <w:ind w:firstLine="640" w:firstLineChars="200"/>
        <w:rPr>
          <w:rFonts w:ascii="仿宋_GB2312" w:hAnsi="黑体" w:eastAsia="仿宋_GB2312" w:cs="黑体"/>
          <w:bCs/>
          <w:sz w:val="32"/>
          <w:szCs w:val="32"/>
        </w:rPr>
      </w:pPr>
      <w:r>
        <w:rPr>
          <w:rFonts w:hint="eastAsia" w:ascii="仿宋_GB2312" w:hAnsi="仿宋" w:eastAsia="仿宋_GB2312" w:cs="仿宋"/>
          <w:sz w:val="32"/>
          <w:szCs w:val="32"/>
        </w:rPr>
        <w:t>无。</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五、通过产权市场转让企业产权和企业增资等信息</w:t>
      </w:r>
    </w:p>
    <w:p>
      <w:pPr>
        <w:tabs>
          <w:tab w:val="left" w:pos="426"/>
        </w:tabs>
        <w:spacing w:line="600" w:lineRule="exact"/>
        <w:ind w:left="6" w:leftChars="3" w:firstLine="640" w:firstLineChars="200"/>
        <w:rPr>
          <w:rFonts w:ascii="宋体" w:hAnsi="宋体" w:cs="Arial"/>
          <w:b/>
          <w:sz w:val="28"/>
          <w:szCs w:val="28"/>
        </w:rPr>
      </w:pPr>
      <w:r>
        <w:rPr>
          <w:rFonts w:hint="eastAsia" w:ascii="仿宋" w:hAnsi="仿宋" w:eastAsia="仿宋" w:cs="仿宋"/>
          <w:sz w:val="32"/>
          <w:szCs w:val="32"/>
        </w:rPr>
        <w:t>无。</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六、有关部门依法要求公开的监督检查问题等整改情况、重大突发事件时态发展和应急处置情况</w:t>
      </w:r>
    </w:p>
    <w:p>
      <w:pPr>
        <w:tabs>
          <w:tab w:val="left" w:pos="426"/>
        </w:tabs>
        <w:spacing w:line="600" w:lineRule="exact"/>
        <w:ind w:left="6" w:leftChars="3" w:firstLine="640" w:firstLineChars="200"/>
        <w:rPr>
          <w:rFonts w:ascii="宋体" w:hAnsi="宋体" w:cs="Arial"/>
          <w:b/>
          <w:sz w:val="28"/>
          <w:szCs w:val="28"/>
        </w:rPr>
      </w:pPr>
      <w:r>
        <w:rPr>
          <w:rFonts w:hint="eastAsia" w:ascii="仿宋" w:hAnsi="仿宋" w:eastAsia="仿宋" w:cs="仿宋"/>
          <w:sz w:val="32"/>
          <w:szCs w:val="32"/>
        </w:rPr>
        <w:t>无。</w:t>
      </w:r>
    </w:p>
    <w:p>
      <w:pPr>
        <w:spacing w:before="240"/>
        <w:ind w:firstLine="640" w:firstLineChars="200"/>
        <w:rPr>
          <w:rFonts w:ascii="黑体" w:hAnsi="黑体" w:eastAsia="黑体" w:cs="黑体"/>
          <w:bCs/>
          <w:sz w:val="32"/>
          <w:szCs w:val="32"/>
        </w:rPr>
      </w:pPr>
      <w:r>
        <w:rPr>
          <w:rFonts w:hint="eastAsia" w:ascii="黑体" w:hAnsi="黑体" w:eastAsia="黑体" w:cs="黑体"/>
          <w:bCs/>
          <w:sz w:val="32"/>
          <w:szCs w:val="32"/>
        </w:rPr>
        <w:t>七、企业履行社会责任情况（可选填）</w:t>
      </w:r>
    </w:p>
    <w:p>
      <w:pPr>
        <w:spacing w:line="520" w:lineRule="exact"/>
        <w:ind w:firstLine="640" w:firstLineChars="200"/>
        <w:rPr>
          <w:rFonts w:hint="eastAsia" w:ascii="仿宋" w:hAnsi="仿宋" w:eastAsia="仿宋"/>
          <w:sz w:val="32"/>
          <w:szCs w:val="32"/>
        </w:rPr>
      </w:pPr>
      <w:r>
        <w:rPr>
          <w:rFonts w:hint="eastAsia" w:ascii="仿宋" w:hAnsi="仿宋" w:eastAsia="仿宋" w:cs="仿宋"/>
          <w:sz w:val="32"/>
          <w:szCs w:val="32"/>
        </w:rPr>
        <w:t>本公司认真贯彻落实党和国家及中国宝武、太钢集团决</w:t>
      </w:r>
      <w:r>
        <w:rPr>
          <w:rFonts w:hint="eastAsia" w:ascii="仿宋" w:hAnsi="仿宋" w:eastAsia="仿宋"/>
          <w:sz w:val="32"/>
          <w:szCs w:val="32"/>
        </w:rPr>
        <w:t>策部署，切实保障职工基本权益，开展“</w:t>
      </w:r>
      <w:r>
        <w:rPr>
          <w:rFonts w:hint="eastAsia" w:ascii="仿宋" w:hAnsi="仿宋" w:eastAsia="仿宋"/>
          <w:sz w:val="32"/>
          <w:szCs w:val="32"/>
          <w:lang w:eastAsia="zh-CN"/>
        </w:rPr>
        <w:t>六一儿童节</w:t>
      </w:r>
      <w:r>
        <w:rPr>
          <w:rFonts w:hint="eastAsia" w:ascii="仿宋" w:hAnsi="仿宋" w:eastAsia="仿宋"/>
          <w:sz w:val="32"/>
          <w:szCs w:val="32"/>
        </w:rPr>
        <w:t>送温暖”活动，做好困难职工和患大病职工帮扶救助，</w:t>
      </w:r>
      <w:r>
        <w:rPr>
          <w:rFonts w:hint="eastAsia" w:ascii="仿宋" w:hAnsi="仿宋" w:eastAsia="仿宋" w:cs="仿宋"/>
          <w:sz w:val="32"/>
          <w:szCs w:val="32"/>
        </w:rPr>
        <w:t>开</w:t>
      </w:r>
      <w:r>
        <w:rPr>
          <w:rFonts w:hint="eastAsia" w:ascii="仿宋" w:hAnsi="仿宋" w:eastAsia="仿宋"/>
          <w:sz w:val="32"/>
          <w:szCs w:val="32"/>
        </w:rPr>
        <w:t>展</w:t>
      </w:r>
      <w:r>
        <w:rPr>
          <w:rFonts w:hint="eastAsia" w:ascii="仿宋" w:hAnsi="仿宋" w:eastAsia="仿宋"/>
          <w:sz w:val="32"/>
          <w:szCs w:val="32"/>
          <w:lang w:eastAsia="zh-CN"/>
        </w:rPr>
        <w:t>游泳、羽毛球</w:t>
      </w:r>
      <w:r>
        <w:rPr>
          <w:rFonts w:hint="eastAsia" w:ascii="仿宋" w:hAnsi="仿宋" w:eastAsia="仿宋"/>
          <w:sz w:val="32"/>
          <w:szCs w:val="32"/>
        </w:rPr>
        <w:t>等文体活动，职工幸福感和归属感切实增强。</w:t>
      </w:r>
    </w:p>
    <w:p>
      <w:pPr>
        <w:spacing w:line="520" w:lineRule="exact"/>
        <w:ind w:firstLine="640" w:firstLineChars="200"/>
        <w:rPr>
          <w:rFonts w:hint="eastAsia" w:ascii="仿宋" w:hAnsi="仿宋" w:eastAsia="仿宋"/>
          <w:sz w:val="32"/>
          <w:szCs w:val="32"/>
        </w:rPr>
      </w:pPr>
    </w:p>
    <w:p>
      <w:pPr>
        <w:ind w:firstLine="640" w:firstLineChars="200"/>
        <w:rPr>
          <w:rFonts w:ascii="宋体"/>
          <w:sz w:val="28"/>
          <w:szCs w:val="28"/>
        </w:rPr>
      </w:pPr>
      <w:r>
        <w:rPr>
          <w:rFonts w:hint="eastAsia" w:ascii="黑体" w:hAnsi="黑体" w:eastAsia="黑体" w:cs="黑体"/>
          <w:bCs/>
          <w:sz w:val="32"/>
          <w:szCs w:val="32"/>
        </w:rPr>
        <w:t>八、其他依照法律法规应当主动公开的信息</w:t>
      </w:r>
    </w:p>
    <w:p>
      <w:pPr>
        <w:tabs>
          <w:tab w:val="left" w:pos="426"/>
        </w:tabs>
        <w:spacing w:line="600" w:lineRule="exact"/>
        <w:ind w:left="6" w:leftChars="3" w:firstLine="640" w:firstLineChars="200"/>
        <w:rPr>
          <w:rFonts w:ascii="仿宋" w:hAnsi="仿宋" w:eastAsia="仿宋" w:cs="仿宋"/>
          <w:sz w:val="32"/>
          <w:szCs w:val="32"/>
        </w:rPr>
      </w:pPr>
      <w:r>
        <w:rPr>
          <w:rFonts w:hint="eastAsia" w:ascii="仿宋" w:hAnsi="仿宋" w:eastAsia="仿宋" w:cs="仿宋"/>
          <w:sz w:val="32"/>
          <w:szCs w:val="32"/>
        </w:rPr>
        <w:t>无。</w:t>
      </w:r>
    </w:p>
    <w:p>
      <w:pPr>
        <w:tabs>
          <w:tab w:val="left" w:pos="426"/>
        </w:tabs>
        <w:spacing w:line="600" w:lineRule="exact"/>
        <w:ind w:left="6" w:leftChars="3" w:firstLine="640" w:firstLineChars="200"/>
        <w:rPr>
          <w:rFonts w:ascii="仿宋" w:hAnsi="仿宋" w:eastAsia="仿宋" w:cs="仿宋"/>
          <w:sz w:val="32"/>
          <w:szCs w:val="32"/>
        </w:rPr>
      </w:pPr>
    </w:p>
    <w:p>
      <w:pPr>
        <w:tabs>
          <w:tab w:val="left" w:pos="426"/>
        </w:tabs>
        <w:spacing w:line="600" w:lineRule="exact"/>
        <w:ind w:left="6" w:leftChars="3" w:firstLine="640" w:firstLineChars="200"/>
        <w:rPr>
          <w:rFonts w:ascii="仿宋" w:hAnsi="仿宋" w:eastAsia="仿宋" w:cs="仿宋"/>
          <w:sz w:val="32"/>
          <w:szCs w:val="32"/>
        </w:rPr>
      </w:pPr>
    </w:p>
    <w:p>
      <w:pPr>
        <w:tabs>
          <w:tab w:val="left" w:pos="426"/>
        </w:tabs>
        <w:spacing w:line="600" w:lineRule="exact"/>
        <w:ind w:left="6" w:leftChars="3" w:firstLine="640" w:firstLineChars="200"/>
        <w:rPr>
          <w:rFonts w:ascii="仿宋" w:hAnsi="仿宋" w:eastAsia="仿宋" w:cs="仿宋"/>
          <w:sz w:val="32"/>
          <w:szCs w:val="32"/>
        </w:rPr>
      </w:pPr>
    </w:p>
    <w:p>
      <w:pPr>
        <w:tabs>
          <w:tab w:val="left" w:pos="426"/>
        </w:tabs>
        <w:spacing w:line="600" w:lineRule="exact"/>
        <w:ind w:left="6" w:leftChars="3" w:firstLine="640" w:firstLineChars="200"/>
        <w:rPr>
          <w:rFonts w:ascii="仿宋" w:hAnsi="仿宋" w:eastAsia="仿宋" w:cs="仿宋"/>
          <w:sz w:val="32"/>
          <w:szCs w:val="32"/>
        </w:rPr>
      </w:pPr>
      <w:r>
        <w:rPr>
          <w:rFonts w:hint="eastAsia" w:ascii="仿宋" w:hAnsi="仿宋" w:eastAsia="仿宋" w:cs="仿宋"/>
          <w:sz w:val="32"/>
          <w:szCs w:val="32"/>
        </w:rPr>
        <w:t xml:space="preserve">                          山西太钢投资有限公司</w:t>
      </w:r>
    </w:p>
    <w:p>
      <w:pPr>
        <w:tabs>
          <w:tab w:val="left" w:pos="426"/>
        </w:tabs>
        <w:spacing w:line="600" w:lineRule="exact"/>
        <w:ind w:left="6" w:leftChars="3" w:firstLine="640" w:firstLineChars="200"/>
        <w:rPr>
          <w:rFonts w:ascii="仿宋" w:hAnsi="仿宋" w:eastAsia="仿宋" w:cs="仿宋"/>
          <w:sz w:val="32"/>
          <w:szCs w:val="32"/>
        </w:rPr>
      </w:pPr>
      <w:r>
        <w:rPr>
          <w:rFonts w:hint="eastAsia" w:ascii="仿宋" w:hAnsi="仿宋" w:eastAsia="仿宋" w:cs="仿宋"/>
          <w:sz w:val="32"/>
          <w:szCs w:val="32"/>
        </w:rPr>
        <w:t xml:space="preserve">                            2023年</w:t>
      </w:r>
      <w:r>
        <w:rPr>
          <w:rFonts w:hint="eastAsia" w:ascii="仿宋" w:hAnsi="仿宋" w:eastAsia="仿宋" w:cs="仿宋"/>
          <w:sz w:val="32"/>
          <w:szCs w:val="32"/>
          <w:lang w:val="en-US" w:eastAsia="zh-CN"/>
        </w:rPr>
        <w:t>7</w:t>
      </w:r>
      <w:r>
        <w:rPr>
          <w:rFonts w:hint="eastAsia" w:ascii="仿宋" w:hAnsi="仿宋" w:eastAsia="仿宋" w:cs="仿宋"/>
          <w:sz w:val="32"/>
          <w:szCs w:val="32"/>
        </w:rPr>
        <w:t>月</w:t>
      </w:r>
      <w:r>
        <w:rPr>
          <w:rFonts w:hint="eastAsia" w:ascii="仿宋" w:hAnsi="仿宋" w:eastAsia="仿宋" w:cs="仿宋"/>
          <w:sz w:val="32"/>
          <w:szCs w:val="32"/>
          <w:lang w:val="en-US" w:eastAsia="zh-CN"/>
        </w:rPr>
        <w:t>10</w:t>
      </w:r>
      <w:r>
        <w:rPr>
          <w:rFonts w:hint="eastAsia" w:ascii="仿宋" w:hAnsi="仿宋" w:eastAsia="仿宋" w:cs="仿宋"/>
          <w:sz w:val="32"/>
          <w:szCs w:val="32"/>
        </w:rPr>
        <w:t xml:space="preserve">日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等线">
    <w:altName w:val="Arial Unicode MS"/>
    <w:panose1 w:val="00000000000000000000"/>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mY2U2MzllYWMwY2NlMzIxYzBjOTZjNmE2Yzg3MzgifQ=="/>
  </w:docVars>
  <w:rsids>
    <w:rsidRoot w:val="00C527B2"/>
    <w:rsid w:val="00067EAB"/>
    <w:rsid w:val="00097BD0"/>
    <w:rsid w:val="000E399F"/>
    <w:rsid w:val="000F5473"/>
    <w:rsid w:val="00100CCC"/>
    <w:rsid w:val="001735C1"/>
    <w:rsid w:val="00197624"/>
    <w:rsid w:val="001B3588"/>
    <w:rsid w:val="001E171F"/>
    <w:rsid w:val="001F5F2E"/>
    <w:rsid w:val="00231F71"/>
    <w:rsid w:val="00290C22"/>
    <w:rsid w:val="00294795"/>
    <w:rsid w:val="002A0FAA"/>
    <w:rsid w:val="003662EC"/>
    <w:rsid w:val="00382188"/>
    <w:rsid w:val="003B2F33"/>
    <w:rsid w:val="003C0329"/>
    <w:rsid w:val="003D25EA"/>
    <w:rsid w:val="00403FBC"/>
    <w:rsid w:val="004120DD"/>
    <w:rsid w:val="00414B8E"/>
    <w:rsid w:val="0042286D"/>
    <w:rsid w:val="004252E7"/>
    <w:rsid w:val="0043539E"/>
    <w:rsid w:val="00444817"/>
    <w:rsid w:val="0045705F"/>
    <w:rsid w:val="004C4810"/>
    <w:rsid w:val="004D3DD9"/>
    <w:rsid w:val="004D5206"/>
    <w:rsid w:val="00512E95"/>
    <w:rsid w:val="005B2F30"/>
    <w:rsid w:val="005D7629"/>
    <w:rsid w:val="006326A6"/>
    <w:rsid w:val="006529EA"/>
    <w:rsid w:val="0067687B"/>
    <w:rsid w:val="0067689E"/>
    <w:rsid w:val="006A7288"/>
    <w:rsid w:val="00700ABD"/>
    <w:rsid w:val="0070368D"/>
    <w:rsid w:val="0070421F"/>
    <w:rsid w:val="00737CC7"/>
    <w:rsid w:val="00756C47"/>
    <w:rsid w:val="007577C8"/>
    <w:rsid w:val="00771C28"/>
    <w:rsid w:val="007A02D0"/>
    <w:rsid w:val="007A577B"/>
    <w:rsid w:val="007B7BC4"/>
    <w:rsid w:val="007D7B56"/>
    <w:rsid w:val="007F60E8"/>
    <w:rsid w:val="008305C1"/>
    <w:rsid w:val="00855AE2"/>
    <w:rsid w:val="00886490"/>
    <w:rsid w:val="00894108"/>
    <w:rsid w:val="008951AE"/>
    <w:rsid w:val="008C0DC6"/>
    <w:rsid w:val="008D73F9"/>
    <w:rsid w:val="009079C5"/>
    <w:rsid w:val="00944730"/>
    <w:rsid w:val="0096756A"/>
    <w:rsid w:val="0097165D"/>
    <w:rsid w:val="00981BC8"/>
    <w:rsid w:val="00A06A07"/>
    <w:rsid w:val="00A13A13"/>
    <w:rsid w:val="00A24E4E"/>
    <w:rsid w:val="00AB2C06"/>
    <w:rsid w:val="00B06D5A"/>
    <w:rsid w:val="00B35BA5"/>
    <w:rsid w:val="00B53288"/>
    <w:rsid w:val="00B6578E"/>
    <w:rsid w:val="00C527B2"/>
    <w:rsid w:val="00C67042"/>
    <w:rsid w:val="00CA75AB"/>
    <w:rsid w:val="00CE34E5"/>
    <w:rsid w:val="00D30E85"/>
    <w:rsid w:val="00D3373B"/>
    <w:rsid w:val="00E02B0F"/>
    <w:rsid w:val="00E06218"/>
    <w:rsid w:val="00E20551"/>
    <w:rsid w:val="00E4155F"/>
    <w:rsid w:val="00E4352C"/>
    <w:rsid w:val="00E43C9C"/>
    <w:rsid w:val="00EA7131"/>
    <w:rsid w:val="00ED7D1E"/>
    <w:rsid w:val="00F05C46"/>
    <w:rsid w:val="00F3049E"/>
    <w:rsid w:val="00F56821"/>
    <w:rsid w:val="00FC403D"/>
    <w:rsid w:val="00FD7FD7"/>
    <w:rsid w:val="00FF24DE"/>
    <w:rsid w:val="00FF6747"/>
    <w:rsid w:val="45390039"/>
    <w:rsid w:val="4C150036"/>
    <w:rsid w:val="78B52E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9"/>
    <w:qFormat/>
    <w:uiPriority w:val="99"/>
    <w:pPr>
      <w:keepNext/>
      <w:keepLines/>
      <w:spacing w:line="400" w:lineRule="exact"/>
      <w:outlineLvl w:val="0"/>
    </w:pPr>
    <w:rPr>
      <w:rFonts w:eastAsia="仿宋_GB2312"/>
      <w:b/>
      <w:bCs/>
      <w:kern w:val="44"/>
      <w:sz w:val="44"/>
      <w:szCs w:val="44"/>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9"/>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22"/>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22"/>
    </w:rPr>
  </w:style>
  <w:style w:type="table" w:styleId="7">
    <w:name w:val="Table Grid"/>
    <w:basedOn w:val="6"/>
    <w:uiPriority w:val="5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basedOn w:val="8"/>
    <w:link w:val="2"/>
    <w:uiPriority w:val="99"/>
    <w:rPr>
      <w:rFonts w:ascii="Times New Roman" w:hAnsi="Times New Roman" w:eastAsia="仿宋_GB2312" w:cs="Times New Roman"/>
      <w:b/>
      <w:bCs/>
      <w:kern w:val="44"/>
      <w:sz w:val="44"/>
      <w:szCs w:val="44"/>
    </w:rPr>
  </w:style>
  <w:style w:type="character" w:customStyle="1" w:styleId="10">
    <w:name w:val="页脚 Char"/>
    <w:link w:val="4"/>
    <w:locked/>
    <w:uiPriority w:val="99"/>
    <w:rPr>
      <w:sz w:val="18"/>
    </w:rPr>
  </w:style>
  <w:style w:type="character" w:customStyle="1" w:styleId="11">
    <w:name w:val="页眉 Char"/>
    <w:link w:val="5"/>
    <w:qFormat/>
    <w:locked/>
    <w:uiPriority w:val="99"/>
    <w:rPr>
      <w:sz w:val="18"/>
    </w:rPr>
  </w:style>
  <w:style w:type="character" w:customStyle="1" w:styleId="12">
    <w:name w:val="页眉 字符1"/>
    <w:basedOn w:val="8"/>
    <w:semiHidden/>
    <w:uiPriority w:val="99"/>
    <w:rPr>
      <w:rFonts w:ascii="Times New Roman" w:hAnsi="Times New Roman" w:eastAsia="宋体" w:cs="Times New Roman"/>
      <w:sz w:val="18"/>
      <w:szCs w:val="18"/>
    </w:rPr>
  </w:style>
  <w:style w:type="character" w:customStyle="1" w:styleId="13">
    <w:name w:val="Header Char1"/>
    <w:basedOn w:val="8"/>
    <w:semiHidden/>
    <w:uiPriority w:val="99"/>
    <w:rPr>
      <w:rFonts w:ascii="Times New Roman" w:hAnsi="Times New Roman"/>
      <w:kern w:val="2"/>
      <w:sz w:val="18"/>
      <w:szCs w:val="18"/>
    </w:rPr>
  </w:style>
  <w:style w:type="character" w:customStyle="1" w:styleId="14">
    <w:name w:val="页脚 字符1"/>
    <w:basedOn w:val="8"/>
    <w:semiHidden/>
    <w:uiPriority w:val="99"/>
    <w:rPr>
      <w:rFonts w:ascii="Times New Roman" w:hAnsi="Times New Roman" w:eastAsia="宋体" w:cs="Times New Roman"/>
      <w:sz w:val="18"/>
      <w:szCs w:val="18"/>
    </w:rPr>
  </w:style>
  <w:style w:type="character" w:customStyle="1" w:styleId="15">
    <w:name w:val="Footer Char1"/>
    <w:basedOn w:val="8"/>
    <w:semiHidden/>
    <w:uiPriority w:val="99"/>
    <w:rPr>
      <w:rFonts w:ascii="Times New Roman" w:hAnsi="Times New Roman"/>
      <w:kern w:val="2"/>
      <w:sz w:val="18"/>
      <w:szCs w:val="18"/>
    </w:rPr>
  </w:style>
  <w:style w:type="paragraph" w:customStyle="1" w:styleId="16">
    <w:name w:val="Char Char1 Char Char Char Char Char Char Char Char"/>
    <w:basedOn w:val="1"/>
    <w:uiPriority w:val="0"/>
    <w:pPr>
      <w:widowControl/>
      <w:spacing w:after="160" w:line="240" w:lineRule="exact"/>
      <w:jc w:val="left"/>
    </w:pPr>
    <w:rPr>
      <w:rFonts w:ascii="Verdana" w:hAnsi="Verdana"/>
      <w:kern w:val="0"/>
      <w:sz w:val="20"/>
      <w:szCs w:val="20"/>
      <w:lang w:eastAsia="en-US"/>
    </w:rPr>
  </w:style>
  <w:style w:type="paragraph" w:customStyle="1" w:styleId="17">
    <w:name w:val="Default"/>
    <w:uiPriority w:val="0"/>
    <w:pPr>
      <w:widowControl w:val="0"/>
      <w:autoSpaceDE w:val="0"/>
      <w:autoSpaceDN w:val="0"/>
      <w:adjustRightInd w:val="0"/>
    </w:pPr>
    <w:rPr>
      <w:rFonts w:ascii="仿宋_GB2312" w:hAnsi="Calibri" w:eastAsia="仿宋_GB2312" w:cs="仿宋_GB2312"/>
      <w:color w:val="000000"/>
      <w:kern w:val="0"/>
      <w:sz w:val="24"/>
      <w:szCs w:val="24"/>
      <w:lang w:val="en-US" w:eastAsia="zh-CN" w:bidi="ar-SA"/>
    </w:rPr>
  </w:style>
  <w:style w:type="paragraph" w:styleId="18">
    <w:name w:val="List Paragraph"/>
    <w:basedOn w:val="1"/>
    <w:qFormat/>
    <w:uiPriority w:val="34"/>
    <w:pPr>
      <w:ind w:firstLine="420" w:firstLineChars="200"/>
    </w:pPr>
  </w:style>
  <w:style w:type="character" w:customStyle="1" w:styleId="19">
    <w:name w:val="批注框文本 Char"/>
    <w:basedOn w:val="8"/>
    <w:link w:val="3"/>
    <w:semiHidden/>
    <w:uiPriority w:val="99"/>
    <w:rPr>
      <w:rFonts w:ascii="Times New Roman" w:hAnsi="Times New Roman" w:eastAsia="宋体" w:cs="Times New Roman"/>
      <w:sz w:val="18"/>
      <w:szCs w:val="18"/>
    </w:rPr>
  </w:style>
  <w:style w:type="paragraph" w:styleId="20">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962</Words>
  <Characters>1058</Characters>
  <Lines>9</Lines>
  <Paragraphs>2</Paragraphs>
  <TotalTime>5</TotalTime>
  <ScaleCrop>false</ScaleCrop>
  <LinksUpToDate>false</LinksUpToDate>
  <CharactersWithSpaces>1232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2023-04-04T01:09:00Z</dcterms:created>
  <dc:creator>武滨</dc:creator>
  <cp:lastModifiedBy>企业用户_614274495</cp:lastModifiedBy>
  <cp:lastPrinted>2021-11-15T06:10:00Z</cp:lastPrinted>
  <dcterms:modified xsi:type="dcterms:W3CDTF">2023-07-10T02:37:42Z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340E3884C1754B65A7104FD3069C4AF4_13</vt:lpwstr>
  </property>
</Properties>
</file>