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Default ContentType="application/vnd.openxmlformats-officedocument.oleObject" Extension="bin"/>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Default ContentType="image/jpeg" Extension="jpeg"/>
  <Default ContentType="image/png" Extension="png"/>
  <Override ContentType="image/x-emf" PartName="/word/media/image8.emf"/>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spacing w:line="360" w:lineRule="auto"/>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山西太钢不锈钢股份有限公司</w:t>
      </w:r>
    </w:p>
    <w:p>
      <w:pPr>
        <w:spacing w:line="360" w:lineRule="auto"/>
        <w:ind w:left="-8" w:leftChars="-3" w:right="112" w:rightChars="40" w:firstLine="4"/>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不锈钢生产线降噪减排综合治理改造项目</w:t>
      </w:r>
    </w:p>
    <w:p>
      <w:pPr>
        <w:pStyle w:val="2"/>
        <w:ind w:firstLine="560"/>
        <w:rPr>
          <w:rFonts w:ascii="Times New Roman" w:hAnsi="Times New Roman" w:cs="Times New Roman"/>
        </w:rPr>
      </w:pPr>
    </w:p>
    <w:p>
      <w:pPr>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竣工环境保护验收监测报告表</w:t>
      </w: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ind w:firstLine="848" w:firstLineChars="265"/>
        <w:rPr>
          <w:rFonts w:ascii="Times New Roman" w:hAnsi="Times New Roman" w:cs="Times New Roman"/>
          <w:color w:val="000000"/>
          <w:sz w:val="32"/>
          <w:szCs w:val="32"/>
        </w:rPr>
      </w:pPr>
      <w:r>
        <w:rPr>
          <w:rFonts w:ascii="Times New Roman" w:hAnsi="Times New Roman" w:cs="Times New Roman"/>
          <w:color w:val="000000"/>
          <w:sz w:val="32"/>
          <w:szCs w:val="32"/>
        </w:rPr>
        <w:t>建设单位:山西太钢不锈钢股份有限公司炼钢一厂</w:t>
      </w:r>
    </w:p>
    <w:p>
      <w:pPr>
        <w:ind w:firstLine="848" w:firstLineChars="265"/>
        <w:rPr>
          <w:rFonts w:ascii="Times New Roman" w:hAnsi="Times New Roman" w:cs="Times New Roman"/>
          <w:color w:val="000000"/>
          <w:sz w:val="32"/>
          <w:szCs w:val="32"/>
        </w:rPr>
      </w:pPr>
      <w:r>
        <w:rPr>
          <w:rFonts w:ascii="Times New Roman" w:hAnsi="Times New Roman" w:cs="Times New Roman"/>
          <w:color w:val="000000"/>
          <w:sz w:val="32"/>
          <w:szCs w:val="32"/>
        </w:rPr>
        <w:t>编制单位:山西太钢工程技术有限公司</w:t>
      </w:r>
    </w:p>
    <w:p>
      <w:pPr>
        <w:jc w:val="center"/>
        <w:rPr>
          <w:rFonts w:ascii="Times New Roman" w:hAnsi="Times New Roman" w:cs="Times New Roman"/>
          <w:color w:val="000000"/>
          <w:sz w:val="32"/>
          <w:szCs w:val="32"/>
        </w:rPr>
      </w:pPr>
      <w:r>
        <w:rPr>
          <w:rFonts w:ascii="Times New Roman" w:hAnsi="Times New Roman" w:cs="Times New Roman"/>
          <w:color w:val="000000"/>
          <w:sz w:val="32"/>
          <w:szCs w:val="32"/>
        </w:rPr>
        <w:t>二〇二一年十一月</w:t>
      </w:r>
    </w:p>
    <w:p>
      <w:pPr>
        <w:spacing w:before="240" w:after="240"/>
        <w:rPr>
          <w:rFonts w:ascii="Times New Roman" w:hAnsi="Times New Roman" w:cs="Times New Roman"/>
          <w:b/>
          <w:bCs/>
          <w:color w:val="000000"/>
          <w:szCs w:val="28"/>
        </w:rPr>
      </w:pPr>
      <w:r>
        <w:rPr>
          <w:rFonts w:ascii="Times New Roman" w:hAnsi="Times New Roman" w:cs="Times New Roman"/>
          <w:color w:val="000000"/>
          <w:sz w:val="32"/>
          <w:szCs w:val="32"/>
        </w:rPr>
        <w:br w:type="page"/>
      </w:r>
      <w:r>
        <w:rPr>
          <w:rFonts w:ascii="Times New Roman" w:hAnsi="Times New Roman" w:cs="Times New Roman"/>
          <w:b/>
          <w:bCs/>
          <w:color w:val="000000"/>
          <w:szCs w:val="28"/>
        </w:rPr>
        <w:t>建设单位法人代表:  魏成文</w:t>
      </w:r>
    </w:p>
    <w:p>
      <w:pPr>
        <w:spacing w:before="240" w:after="240"/>
        <w:rPr>
          <w:rFonts w:ascii="Times New Roman" w:hAnsi="Times New Roman" w:cs="Times New Roman"/>
          <w:b/>
          <w:bCs/>
          <w:color w:val="000000"/>
          <w:szCs w:val="28"/>
        </w:rPr>
      </w:pPr>
      <w:r>
        <w:rPr>
          <w:rFonts w:ascii="Times New Roman" w:hAnsi="Times New Roman" w:cs="Times New Roman"/>
          <w:b/>
          <w:bCs/>
          <w:color w:val="000000"/>
          <w:szCs w:val="28"/>
        </w:rPr>
        <w:t>编制单位法人代表:  柴志勇</w:t>
      </w:r>
    </w:p>
    <w:p>
      <w:pPr>
        <w:spacing w:before="240" w:after="240"/>
        <w:ind w:right="112" w:rightChars="40"/>
        <w:rPr>
          <w:rFonts w:ascii="Times New Roman" w:hAnsi="Times New Roman" w:cs="Times New Roman"/>
          <w:b/>
          <w:bCs/>
          <w:color w:val="000000"/>
          <w:szCs w:val="28"/>
        </w:rPr>
      </w:pPr>
      <w:r>
        <w:rPr>
          <w:rFonts w:ascii="Times New Roman" w:hAnsi="Times New Roman" w:cs="Times New Roman"/>
          <w:b/>
          <w:bCs/>
          <w:color w:val="000000"/>
          <w:szCs w:val="28"/>
        </w:rPr>
        <w:t>项  目  负 责 人:  张晓东</w:t>
      </w:r>
    </w:p>
    <w:p>
      <w:pPr>
        <w:spacing w:before="240" w:after="240"/>
        <w:rPr>
          <w:rFonts w:ascii="Times New Roman" w:hAnsi="Times New Roman" w:cs="Times New Roman"/>
          <w:b/>
          <w:bCs/>
          <w:color w:val="000000"/>
          <w:szCs w:val="28"/>
        </w:rPr>
      </w:pPr>
      <w:r>
        <w:rPr>
          <w:rFonts w:ascii="Times New Roman" w:hAnsi="Times New Roman" w:cs="Times New Roman"/>
          <w:b/>
          <w:bCs/>
          <w:color w:val="000000"/>
          <w:szCs w:val="28"/>
        </w:rPr>
        <w:t>填     表     人:  申  敏</w:t>
      </w: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pStyle w:val="2"/>
        <w:ind w:firstLine="560"/>
        <w:rPr>
          <w:rFonts w:ascii="Times New Roman" w:hAnsi="Times New Roman" w:cs="Times New Roman"/>
        </w:rPr>
      </w:pPr>
    </w:p>
    <w:p>
      <w:pPr>
        <w:rPr>
          <w:rFonts w:ascii="Times New Roman" w:hAnsi="Times New Roman" w:cs="Times New Roman"/>
        </w:rPr>
      </w:pPr>
    </w:p>
    <w:p>
      <w:pPr>
        <w:pStyle w:val="2"/>
        <w:ind w:firstLine="560"/>
        <w:rPr>
          <w:rFonts w:ascii="Times New Roman" w:hAnsi="Times New Roman" w:cs="Times New Roman"/>
        </w:rPr>
      </w:pPr>
    </w:p>
    <w:p>
      <w:pPr>
        <w:rPr>
          <w:rFonts w:ascii="Times New Roman" w:hAnsi="Times New Roman" w:cs="Times New Roman"/>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 w:val="24"/>
          <w:szCs w:val="24"/>
        </w:rPr>
        <w:sectPr>
          <w:footerReference r:id="rId4" w:type="default"/>
          <w:pgSz w:w="11906" w:h="16838"/>
          <w:pgMar w:top="1440" w:right="1800" w:bottom="1440" w:left="1800" w:header="708" w:footer="708" w:gutter="0"/>
          <w:pgNumType w:start="1"/>
          <w:cols w:space="720" w:num="1"/>
          <w:titlePg/>
          <w:docGrid w:linePitch="360" w:charSpace="0"/>
        </w:sectPr>
      </w:pPr>
    </w:p>
    <w:p>
      <w:pPr>
        <w:rPr>
          <w:rFonts w:ascii="Times New Roman" w:hAnsi="Times New Roman" w:cs="Times New Roman"/>
          <w:color w:val="000000"/>
          <w:sz w:val="24"/>
          <w:szCs w:val="24"/>
        </w:rPr>
      </w:pPr>
      <w:r>
        <w:rPr>
          <w:rFonts w:ascii="Times New Roman" w:hAnsi="Times New Roman" w:cs="Times New Roman"/>
          <w:color w:val="000000"/>
          <w:sz w:val="24"/>
          <w:szCs w:val="24"/>
        </w:rPr>
        <w:t>建设单位：山西太钢不锈钢股份</w:t>
      </w:r>
    </w:p>
    <w:p>
      <w:pPr>
        <w:ind w:firstLine="1200" w:firstLineChars="500"/>
        <w:rPr>
          <w:rFonts w:ascii="Times New Roman" w:hAnsi="Times New Roman" w:cs="Times New Roman"/>
          <w:color w:val="000000"/>
          <w:sz w:val="24"/>
          <w:szCs w:val="24"/>
        </w:rPr>
      </w:pPr>
      <w:r>
        <w:rPr>
          <w:rFonts w:ascii="Times New Roman" w:hAnsi="Times New Roman" w:cs="Times New Roman"/>
          <w:color w:val="000000"/>
          <w:sz w:val="24"/>
          <w:szCs w:val="24"/>
        </w:rPr>
        <w:t>有限公司炼钢一厂（盖章）</w:t>
      </w:r>
    </w:p>
    <w:p>
      <w:pPr>
        <w:ind w:right="-608" w:rightChars="-217"/>
        <w:rPr>
          <w:rFonts w:ascii="Times New Roman" w:hAnsi="Times New Roman" w:cs="Times New Roman"/>
          <w:color w:val="000000"/>
          <w:sz w:val="24"/>
          <w:szCs w:val="24"/>
        </w:rPr>
      </w:pPr>
      <w:r>
        <w:rPr>
          <w:rFonts w:ascii="Times New Roman" w:hAnsi="Times New Roman" w:cs="Times New Roman"/>
          <w:color w:val="000000"/>
          <w:sz w:val="24"/>
          <w:szCs w:val="24"/>
        </w:rPr>
        <w:t>电    话：</w:t>
      </w:r>
      <w:r>
        <w:rPr>
          <w:rFonts w:hint="eastAsia" w:ascii="Times New Roman" w:hAnsi="Times New Roman" w:cs="Times New Roman"/>
          <w:color w:val="000000"/>
          <w:sz w:val="24"/>
          <w:szCs w:val="24"/>
        </w:rPr>
        <w:t>13994261208</w:t>
      </w:r>
    </w:p>
    <w:p>
      <w:pPr>
        <w:rPr>
          <w:rFonts w:ascii="Times New Roman" w:hAnsi="Times New Roman" w:cs="Times New Roman"/>
          <w:color w:val="000000"/>
          <w:sz w:val="24"/>
          <w:szCs w:val="24"/>
        </w:rPr>
      </w:pPr>
      <w:r>
        <w:rPr>
          <w:rFonts w:ascii="Times New Roman" w:hAnsi="Times New Roman" w:cs="Times New Roman"/>
          <w:color w:val="000000"/>
          <w:sz w:val="24"/>
          <w:szCs w:val="24"/>
        </w:rPr>
        <w:t>传    真：</w:t>
      </w:r>
      <w:r>
        <w:rPr>
          <w:rFonts w:hint="eastAsia" w:ascii="Times New Roman" w:hAnsi="Times New Roman" w:cs="Times New Roman"/>
          <w:color w:val="000000"/>
          <w:sz w:val="24"/>
          <w:szCs w:val="24"/>
        </w:rPr>
        <w:t>-</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邮    编：030002</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地    址：山西省太原市尖草坪2号</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编制单位：山西太钢工程技术</w:t>
      </w:r>
    </w:p>
    <w:p>
      <w:pPr>
        <w:ind w:firstLine="1200" w:firstLineChars="500"/>
        <w:rPr>
          <w:rFonts w:ascii="Times New Roman" w:hAnsi="Times New Roman" w:cs="Times New Roman"/>
          <w:color w:val="000000"/>
          <w:sz w:val="24"/>
          <w:szCs w:val="24"/>
        </w:rPr>
      </w:pPr>
      <w:r>
        <w:rPr>
          <w:rFonts w:ascii="Times New Roman" w:hAnsi="Times New Roman" w:cs="Times New Roman"/>
          <w:color w:val="000000"/>
          <w:sz w:val="24"/>
          <w:szCs w:val="24"/>
        </w:rPr>
        <w:t>有限公司  （盖章）</w:t>
      </w:r>
    </w:p>
    <w:p>
      <w:pPr>
        <w:rPr>
          <w:rFonts w:ascii="Times New Roman" w:hAnsi="Times New Roman" w:cs="Times New Roman"/>
          <w:color w:val="000000"/>
          <w:sz w:val="24"/>
          <w:szCs w:val="24"/>
        </w:rPr>
      </w:pPr>
      <w:r>
        <w:rPr>
          <w:rFonts w:ascii="Times New Roman" w:hAnsi="Times New Roman" w:cs="Times New Roman"/>
          <w:color w:val="000000"/>
          <w:sz w:val="24"/>
          <w:szCs w:val="24"/>
        </w:rPr>
        <w:t>电    话：0351-2135566</w:t>
      </w:r>
    </w:p>
    <w:p>
      <w:pPr>
        <w:rPr>
          <w:rFonts w:ascii="Times New Roman" w:hAnsi="Times New Roman" w:cs="Times New Roman"/>
          <w:color w:val="000000"/>
          <w:sz w:val="24"/>
          <w:szCs w:val="24"/>
        </w:rPr>
      </w:pPr>
      <w:r>
        <w:rPr>
          <w:rFonts w:ascii="Times New Roman" w:hAnsi="Times New Roman" w:cs="Times New Roman"/>
          <w:color w:val="000000"/>
          <w:sz w:val="24"/>
          <w:szCs w:val="24"/>
        </w:rPr>
        <w:t>传    真：0351-2135566</w:t>
      </w:r>
    </w:p>
    <w:p>
      <w:pPr>
        <w:rPr>
          <w:rFonts w:ascii="Times New Roman" w:hAnsi="Times New Roman" w:cs="Times New Roman"/>
          <w:color w:val="000000"/>
          <w:sz w:val="24"/>
          <w:szCs w:val="24"/>
        </w:rPr>
      </w:pPr>
      <w:r>
        <w:rPr>
          <w:rFonts w:ascii="Times New Roman" w:hAnsi="Times New Roman" w:cs="Times New Roman"/>
          <w:color w:val="000000"/>
          <w:sz w:val="24"/>
          <w:szCs w:val="24"/>
        </w:rPr>
        <w:t>邮    编：030009</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地    址：太原市胜利街327号</w:t>
      </w:r>
    </w:p>
    <w:p>
      <w:pPr>
        <w:ind w:left="1596" w:leftChars="570"/>
        <w:rPr>
          <w:rFonts w:ascii="Times New Roman" w:hAnsi="Times New Roman" w:cs="Times New Roman"/>
          <w:color w:val="000000"/>
          <w:sz w:val="24"/>
          <w:szCs w:val="24"/>
        </w:rPr>
        <w:sectPr>
          <w:type w:val="continuous"/>
          <w:pgSz w:w="11906" w:h="16838"/>
          <w:pgMar w:top="1440" w:right="1800" w:bottom="1440" w:left="1800" w:header="708" w:footer="708" w:gutter="0"/>
          <w:pgNumType w:start="1"/>
          <w:cols w:space="720" w:num="2"/>
          <w:titlePg/>
          <w:docGrid w:linePitch="360" w:charSpace="0"/>
        </w:sectPr>
      </w:pPr>
    </w:p>
    <w:p>
      <w:pPr>
        <w:ind w:left="1596" w:leftChars="570"/>
        <w:rPr>
          <w:rFonts w:ascii="Times New Roman" w:hAnsi="Times New Roman" w:cs="Times New Roman"/>
          <w:color w:val="000000"/>
          <w:sz w:val="24"/>
          <w:szCs w:val="24"/>
        </w:rPr>
      </w:pPr>
    </w:p>
    <w:p>
      <w:pPr>
        <w:rPr>
          <w:rFonts w:ascii="Times New Roman" w:hAnsi="Times New Roman" w:cs="Times New Roman"/>
          <w:color w:val="000000"/>
          <w:szCs w:val="28"/>
        </w:rPr>
        <w:sectPr>
          <w:type w:val="continuous"/>
          <w:pgSz w:w="11906" w:h="16838"/>
          <w:pgMar w:top="1440" w:right="1800" w:bottom="1440" w:left="1800" w:header="708" w:footer="708" w:gutter="0"/>
          <w:pgNumType w:start="1"/>
          <w:cols w:space="720" w:num="1"/>
          <w:titlePg/>
          <w:docGrid w:linePitch="360" w:charSpace="0"/>
        </w:sectPr>
      </w:pPr>
    </w:p>
    <w:p>
      <w:pPr>
        <w:jc w:val="center"/>
        <w:rPr>
          <w:rFonts w:ascii="Times New Roman" w:hAnsi="Times New Roman" w:cs="Times New Roman"/>
          <w:b/>
          <w:bCs/>
          <w:sz w:val="32"/>
          <w:szCs w:val="24"/>
        </w:rPr>
      </w:pPr>
      <w:r>
        <w:rPr>
          <w:rFonts w:ascii="Times New Roman" w:hAnsi="Times New Roman" w:cs="Times New Roman"/>
          <w:b/>
          <w:bCs/>
          <w:sz w:val="32"/>
          <w:szCs w:val="24"/>
        </w:rPr>
        <w:t>竣工图片</w:t>
      </w:r>
    </w:p>
    <w:p>
      <w:pPr>
        <w:pStyle w:val="2"/>
        <w:ind w:firstLine="560"/>
        <w:rPr>
          <w:rFonts w:ascii="Times New Roman" w:hAnsi="Times New Roman" w:cs="Times New Roman"/>
        </w:rPr>
      </w:pPr>
    </w:p>
    <w:tbl>
      <w:tblPr>
        <w:tblStyle w:val="22"/>
        <w:tblW w:w="9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5"/>
        <w:gridCol w:w="4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6" w:hRule="atLeast"/>
          <w:jc w:val="center"/>
        </w:trPr>
        <w:tc>
          <w:tcPr>
            <w:tcW w:w="4535" w:type="dxa"/>
            <w:vAlign w:val="top"/>
          </w:tcPr>
          <w:p>
            <w:pPr>
              <w:pStyle w:val="2"/>
              <w:ind w:firstLine="0" w:firstLineChars="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21" o:spid="_x0000_s1028" type="#_x0000_t75" style="position:absolute;left:0;margin-left:8.25pt;margin-top:25.15pt;height:264.6pt;width:198.45pt;rotation:0f;z-index:-251657216;" o:ole="f" fillcolor="#FFFFFF" filled="f" o:preferrelative="t" stroked="f" coordorigin="0,0" coordsize="21600,21600">
                  <v:fill on="f" color2="#FFFFFF" focus="0%"/>
                  <v:imagedata gain="65536f" blacklevel="0f" gamma="0" o:title="" r:id="rId9"/>
                  <o:lock v:ext="edit" position="f" selection="f" grouping="f" rotation="f" cropping="f" text="f" aspectratio="t"/>
                </v:shape>
              </w:pict>
            </w:r>
          </w:p>
        </w:tc>
        <w:tc>
          <w:tcPr>
            <w:tcW w:w="4535" w:type="dxa"/>
            <w:vAlign w:val="top"/>
          </w:tcPr>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22" o:spid="_x0000_s1029" type="#_x0000_t75" style="position:absolute;left:0;margin-left:9.4pt;margin-top:25pt;height:264.6pt;width:198.45pt;rotation:0f;z-index:-251656192;"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pStyle w:val="2"/>
              <w:ind w:firstLine="0" w:firstLineChars="0"/>
              <w:jc w:val="center"/>
              <w:rPr>
                <w:rFonts w:ascii="Times New Roman" w:hAnsi="Times New Roman" w:cs="Times New Roman"/>
              </w:rPr>
            </w:pPr>
            <w:r>
              <w:rPr>
                <w:rFonts w:ascii="Times New Roman" w:hAnsi="Times New Roman" w:cs="Times New Roman"/>
              </w:rPr>
              <w:t>附图1  合金熔化炉及封闭室</w:t>
            </w:r>
          </w:p>
        </w:tc>
        <w:tc>
          <w:tcPr>
            <w:tcW w:w="4535" w:type="dxa"/>
            <w:vAlign w:val="top"/>
          </w:tcPr>
          <w:p>
            <w:pPr>
              <w:pStyle w:val="2"/>
              <w:ind w:firstLine="0" w:firstLineChars="0"/>
              <w:jc w:val="center"/>
              <w:rPr>
                <w:rFonts w:ascii="Times New Roman" w:hAnsi="Times New Roman" w:cs="Times New Roman"/>
              </w:rPr>
            </w:pPr>
            <w:r>
              <w:rPr>
                <w:rFonts w:ascii="Times New Roman" w:hAnsi="Times New Roman" w:cs="Times New Roman"/>
              </w:rPr>
              <w:t>附图2  合金熔化炉移动集尘罩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2" w:hRule="atLeast"/>
          <w:jc w:val="center"/>
        </w:trPr>
        <w:tc>
          <w:tcPr>
            <w:tcW w:w="4535" w:type="dxa"/>
            <w:vAlign w:val="top"/>
          </w:tcPr>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23" o:spid="_x0000_s1030" type="#_x0000_t75" style="position:absolute;left:0;margin-left:5.5pt;margin-top:28.45pt;height:155.25pt;width:206.95pt;rotation:0f;z-index:-251655168;"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p>
        </w:tc>
        <w:tc>
          <w:tcPr>
            <w:tcW w:w="4535" w:type="dxa"/>
            <w:vAlign w:val="top"/>
          </w:tcPr>
          <w:p>
            <w:pPr>
              <w:pStyle w:val="2"/>
              <w:ind w:firstLine="560"/>
              <w:rPr>
                <w:rFonts w:ascii="Times New Roman" w:hAnsi="Times New Roman" w:cs="Times New Roman"/>
              </w:rPr>
            </w:pPr>
            <w:r>
              <w:rPr>
                <w:rFonts w:ascii="等线" w:hAnsi="等线" w:eastAsia="宋体" w:cs="黑体"/>
                <w:kern w:val="2"/>
                <w:sz w:val="28"/>
                <w:szCs w:val="22"/>
                <w:lang w:val="en-US" w:eastAsia="zh-CN" w:bidi="ar-SA"/>
              </w:rPr>
              <w:pict>
                <v:shape id="图片 24" o:spid="_x0000_s1031" type="#_x0000_t75" style="position:absolute;left:0;margin-left:2.95pt;margin-top:26.1pt;height:157.35pt;width:209.75pt;mso-wrap-distance-bottom:0pt;mso-wrap-distance-top:0pt;rotation:0f;z-index:-251654144;" o:ole="f" fillcolor="#FFFFFF" filled="f" o:preferrelative="t" stroked="f" coordorigin="0,0" coordsize="21600,21600">
                  <v:fill on="f" color2="#FFFFFF" focus="0%"/>
                  <v:imagedata gain="65536f" blacklevel="0f" gamma="0" o:title="" r:id="rId12"/>
                  <o:lock v:ext="edit" position="f" selection="f" grouping="f" rotation="f" cropping="f" text="f" aspectratio="t"/>
                  <w10:wrap type="topAndBottom"/>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pStyle w:val="2"/>
              <w:ind w:firstLine="0" w:firstLineChars="0"/>
              <w:jc w:val="center"/>
              <w:rPr>
                <w:rFonts w:ascii="Times New Roman" w:hAnsi="Times New Roman" w:cs="Times New Roman"/>
              </w:rPr>
            </w:pPr>
            <w:r>
              <w:rPr>
                <w:rFonts w:ascii="Times New Roman" w:hAnsi="Times New Roman" w:cs="Times New Roman"/>
              </w:rPr>
              <w:t>附图3  延长厂房</w:t>
            </w:r>
          </w:p>
        </w:tc>
        <w:tc>
          <w:tcPr>
            <w:tcW w:w="4535" w:type="dxa"/>
            <w:vAlign w:val="top"/>
          </w:tcPr>
          <w:p>
            <w:pPr>
              <w:pStyle w:val="2"/>
              <w:ind w:firstLine="0" w:firstLineChars="0"/>
              <w:jc w:val="center"/>
              <w:rPr>
                <w:rFonts w:ascii="Times New Roman" w:hAnsi="Times New Roman" w:cs="Times New Roman"/>
              </w:rPr>
            </w:pPr>
            <w:r>
              <w:rPr>
                <w:rFonts w:ascii="Times New Roman" w:hAnsi="Times New Roman" w:cs="Times New Roman"/>
              </w:rPr>
              <w:t xml:space="preserve">附图4  </w:t>
            </w:r>
            <w:r>
              <w:rPr>
                <w:rFonts w:hint="eastAsia" w:ascii="Times New Roman" w:hAnsi="Times New Roman" w:cs="Times New Roman"/>
              </w:rPr>
              <w:t>拆炉站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6" w:hRule="atLeast"/>
          <w:jc w:val="center"/>
        </w:trPr>
        <w:tc>
          <w:tcPr>
            <w:tcW w:w="4535" w:type="dxa"/>
            <w:vAlign w:val="top"/>
          </w:tcPr>
          <w:p>
            <w:pPr>
              <w:pStyle w:val="2"/>
              <w:ind w:firstLine="0" w:firstLineChars="0"/>
              <w:jc w:val="center"/>
              <w:rPr>
                <w:rFonts w:ascii="Times New Roman" w:hAnsi="Times New Roman" w:cs="Times New Roman"/>
              </w:rPr>
            </w:pPr>
            <w:r>
              <w:rPr>
                <w:rFonts w:ascii="等线" w:hAnsi="等线" w:eastAsia="宋体" w:cs="黑体"/>
                <w:kern w:val="2"/>
                <w:sz w:val="28"/>
                <w:szCs w:val="22"/>
                <w:lang w:val="en-US" w:eastAsia="zh-CN" w:bidi="ar-SA"/>
              </w:rPr>
              <w:pict>
                <v:shape id="图片 9" o:spid="_x0000_s1032" type="#_x0000_t75" style="position:absolute;left:0;margin-left:7pt;margin-top:48.75pt;height:148.75pt;width:198.45pt;mso-wrap-distance-bottom:0pt;mso-wrap-distance-top:0pt;rotation:0f;z-index:251695104;" o:ole="f" fillcolor="#FFFFFF" filled="f" o:preferrelative="t" stroked="f" coordorigin="0,0" coordsize="21600,21600">
                  <v:fill on="f" color2="#FFFFFF" focus="0%"/>
                  <v:imagedata gain="65536f" blacklevel="0f" gamma="0" o:title="" r:id="rId13"/>
                  <o:lock v:ext="edit" position="f" selection="f" grouping="f" rotation="f" cropping="f" text="f" aspectratio="t"/>
                  <w10:wrap type="topAndBottom"/>
                </v:shape>
              </w:pict>
            </w:r>
          </w:p>
        </w:tc>
        <w:tc>
          <w:tcPr>
            <w:tcW w:w="4535" w:type="dxa"/>
            <w:vAlign w:val="top"/>
          </w:tcPr>
          <w:p>
            <w:pPr>
              <w:pStyle w:val="2"/>
              <w:ind w:firstLine="0" w:firstLineChars="0"/>
              <w:rPr>
                <w:rFonts w:ascii="Times New Roman" w:hAnsi="Times New Roman" w:cs="Times New Roman"/>
              </w:rPr>
            </w:pPr>
            <w:r>
              <w:rPr>
                <w:rFonts w:ascii="等线" w:hAnsi="等线" w:eastAsia="宋体" w:cs="黑体"/>
                <w:kern w:val="2"/>
                <w:sz w:val="28"/>
                <w:szCs w:val="22"/>
                <w:lang w:val="en-US" w:eastAsia="zh-CN" w:bidi="ar-SA"/>
              </w:rPr>
              <w:pict>
                <v:shape id="图片 11" o:spid="_x0000_s1033" type="#_x0000_t75" style="position:absolute;left:0;margin-left:24.7pt;margin-top:9.25pt;height:226.85pt;width:170.05pt;rotation:0f;z-index:251696128;" o:ole="f" fillcolor="#FFFFFF" filled="f" o:preferrelative="t" stroked="f" coordorigin="0,0" coordsize="21600,21600">
                  <v:fill on="f" color2="#FFFFFF" focus="0%"/>
                  <v:imagedata gain="65536f" blacklevel="0f" gamma="0" o:title="" r:id="rId14"/>
                  <o:lock v:ext="edit" position="f" selection="f" grouping="f" rotation="f" cropping="f" text="f" aspectratio="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35" w:type="dxa"/>
            <w:vAlign w:val="top"/>
          </w:tcPr>
          <w:p>
            <w:pPr>
              <w:pStyle w:val="2"/>
              <w:ind w:firstLine="0" w:firstLineChars="0"/>
              <w:jc w:val="center"/>
              <w:rPr>
                <w:rFonts w:ascii="Times New Roman" w:hAnsi="Times New Roman" w:cs="Times New Roman"/>
              </w:rPr>
            </w:pPr>
            <w:r>
              <w:rPr>
                <w:rFonts w:hint="eastAsia" w:ascii="Times New Roman" w:hAnsi="Times New Roman" w:cs="Times New Roman"/>
              </w:rPr>
              <w:t>附图5</w:t>
            </w:r>
            <w:r>
              <w:rPr>
                <w:rFonts w:ascii="Times New Roman" w:hAnsi="Times New Roman" w:cs="Times New Roman"/>
              </w:rPr>
              <w:t xml:space="preserve">  </w:t>
            </w:r>
            <w:r>
              <w:rPr>
                <w:rFonts w:hint="eastAsia" w:ascii="Times New Roman" w:hAnsi="Times New Roman" w:cs="Times New Roman"/>
              </w:rPr>
              <w:t>除尘器风机电机隔音间</w:t>
            </w:r>
          </w:p>
        </w:tc>
        <w:tc>
          <w:tcPr>
            <w:tcW w:w="4535" w:type="dxa"/>
            <w:vAlign w:val="top"/>
          </w:tcPr>
          <w:p>
            <w:pPr>
              <w:pStyle w:val="2"/>
              <w:ind w:firstLine="0" w:firstLineChars="0"/>
              <w:jc w:val="center"/>
              <w:rPr>
                <w:rFonts w:ascii="Times New Roman" w:hAnsi="Times New Roman" w:cs="Times New Roman"/>
              </w:rPr>
            </w:pPr>
            <w:r>
              <w:rPr>
                <w:rFonts w:hint="eastAsia" w:ascii="Times New Roman" w:hAnsi="Times New Roman" w:cs="Times New Roman"/>
              </w:rPr>
              <w:t>附图6</w:t>
            </w:r>
            <w:r>
              <w:rPr>
                <w:rFonts w:ascii="Times New Roman" w:hAnsi="Times New Roman" w:cs="Times New Roman"/>
              </w:rPr>
              <w:t xml:space="preserve">  </w:t>
            </w:r>
            <w:r>
              <w:rPr>
                <w:rFonts w:hint="eastAsia" w:ascii="Times New Roman" w:hAnsi="Times New Roman" w:cs="Times New Roman"/>
              </w:rPr>
              <w:t>排气筒</w:t>
            </w:r>
          </w:p>
        </w:tc>
      </w:tr>
    </w:tbl>
    <w:p>
      <w:pPr>
        <w:pStyle w:val="2"/>
        <w:ind w:firstLine="560"/>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jc w:val="center"/>
        <w:rPr>
          <w:rFonts w:ascii="Times New Roman" w:hAnsi="Times New Roman" w:cs="Times New Roman"/>
          <w:b/>
        </w:rPr>
      </w:pPr>
      <w:r>
        <w:rPr>
          <w:rFonts w:ascii="Times New Roman" w:hAnsi="Times New Roman" w:cs="Times New Roman"/>
          <w:b/>
          <w:bCs/>
          <w:sz w:val="30"/>
          <w:szCs w:val="30"/>
        </w:rPr>
        <w:t>目录</w:t>
      </w:r>
      <w:r>
        <w:rPr>
          <w:rFonts w:ascii="Times New Roman" w:hAnsi="Times New Roman" w:cs="Times New Roman"/>
        </w:rPr>
        <w:fldChar w:fldCharType="begin"/>
      </w:r>
      <w:r>
        <w:rPr>
          <w:rFonts w:ascii="Times New Roman" w:hAnsi="Times New Roman" w:cs="Times New Roman"/>
        </w:rPr>
        <w:instrText xml:space="preserve">TOC \o "1-2" \h \u </w:instrText>
      </w:r>
      <w:r>
        <w:rPr>
          <w:rFonts w:ascii="Times New Roman" w:hAnsi="Times New Roman" w:cs="Times New Roman"/>
        </w:rPr>
        <w:fldChar w:fldCharType="separate"/>
      </w:r>
    </w:p>
    <w:p>
      <w:pPr>
        <w:pStyle w:val="17"/>
        <w:tabs>
          <w:tab w:val="right" w:leader="dot" w:pos="8306"/>
        </w:tabs>
        <w:rPr>
          <w:rFonts w:ascii="Times New Roman" w:hAnsi="Times New Roman" w:cs="Times New Roman"/>
        </w:rPr>
      </w:pPr>
      <w:r>
        <w:fldChar w:fldCharType="begin"/>
      </w:r>
      <w:r>
        <w:instrText xml:space="preserve">HYPERLINK  \l "_Toc20980" </w:instrText>
      </w:r>
      <w:r>
        <w:fldChar w:fldCharType="separate"/>
      </w:r>
      <w:r>
        <w:rPr>
          <w:rFonts w:ascii="Times New Roman" w:hAnsi="Times New Roman" w:cs="Times New Roman"/>
        </w:rPr>
        <w:t>1 项目概况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_Toc20980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"_Toc5068" </w:instrText>
      </w:r>
      <w:r>
        <w:fldChar w:fldCharType="separate"/>
      </w:r>
      <w:r>
        <w:rPr>
          <w:rFonts w:ascii="Times New Roman" w:hAnsi="Times New Roman" w:cs="Times New Roman"/>
        </w:rPr>
        <w:t>1.1 项目基本情况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_Toc5068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"_Toc28859" </w:instrText>
      </w:r>
      <w:r>
        <w:fldChar w:fldCharType="separate"/>
      </w:r>
      <w:r>
        <w:rPr>
          <w:rFonts w:ascii="Times New Roman" w:hAnsi="Times New Roman" w:cs="Times New Roman"/>
        </w:rPr>
        <w:t>1.2 验收工作由来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_Toc28859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"_Toc29816" </w:instrText>
      </w:r>
      <w:r>
        <w:fldChar w:fldCharType="separate"/>
      </w:r>
      <w:r>
        <w:rPr>
          <w:rFonts w:ascii="Times New Roman" w:hAnsi="Times New Roman" w:cs="Times New Roman"/>
        </w:rPr>
        <w:t>1.3 验收工作的组织与启动时间</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_Toc29816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"_Toc21462" </w:instrText>
      </w:r>
      <w:r>
        <w:fldChar w:fldCharType="separate"/>
      </w:r>
      <w:r>
        <w:rPr>
          <w:rFonts w:ascii="Times New Roman" w:hAnsi="Times New Roman" w:cs="Times New Roman"/>
        </w:rPr>
        <w:t>1.4 验收范围与内容</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_Toc21462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"_Toc1898" </w:instrText>
      </w:r>
      <w:r>
        <w:fldChar w:fldCharType="separate"/>
      </w:r>
      <w:r>
        <w:rPr>
          <w:rFonts w:ascii="Times New Roman" w:hAnsi="Times New Roman" w:cs="Times New Roman"/>
        </w:rPr>
        <w:t>1.5 验收监测及验收报告形成过程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_Toc1898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"_Toc849" </w:instrText>
      </w:r>
      <w:r>
        <w:fldChar w:fldCharType="separate"/>
      </w:r>
      <w:r>
        <w:rPr>
          <w:rFonts w:ascii="Times New Roman" w:hAnsi="Times New Roman" w:cs="Times New Roman"/>
        </w:rPr>
        <w:t>2 验收依据</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_Toc849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"_Toc26789" </w:instrText>
      </w:r>
      <w:r>
        <w:fldChar w:fldCharType="separate"/>
      </w:r>
      <w:r>
        <w:rPr>
          <w:rFonts w:ascii="Times New Roman" w:hAnsi="Times New Roman" w:cs="Times New Roman"/>
        </w:rPr>
        <w:t>2.1 建设项目环境保护相关法律、法规和规章制度</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_Toc26789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"_Toc5822" </w:instrText>
      </w:r>
      <w:r>
        <w:fldChar w:fldCharType="separate"/>
      </w:r>
      <w:r>
        <w:rPr>
          <w:rFonts w:ascii="Times New Roman" w:hAnsi="Times New Roman" w:cs="Times New Roman"/>
        </w:rPr>
        <w:t>2.2 建设项目竣工环境保护验收技术规范</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_Toc5822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"_Toc30368" </w:instrText>
      </w:r>
      <w:r>
        <w:fldChar w:fldCharType="separate"/>
      </w:r>
      <w:r>
        <w:rPr>
          <w:rFonts w:ascii="Times New Roman" w:hAnsi="Times New Roman" w:cs="Times New Roman"/>
        </w:rPr>
        <w:t>2.3 建设项目环境影响报告书及其审批部门审批决定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_Toc30368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"_Toc19235" </w:instrText>
      </w:r>
      <w:r>
        <w:fldChar w:fldCharType="separate"/>
      </w:r>
      <w:r>
        <w:rPr>
          <w:rFonts w:ascii="Times New Roman" w:hAnsi="Times New Roman" w:cs="Times New Roman"/>
        </w:rPr>
        <w:t>2.4 其他相关文件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_Toc19235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"_Toc6415" </w:instrText>
      </w:r>
      <w:r>
        <w:fldChar w:fldCharType="separate"/>
      </w:r>
      <w:r>
        <w:rPr>
          <w:rFonts w:ascii="Times New Roman" w:hAnsi="Times New Roman" w:cs="Times New Roman"/>
        </w:rPr>
        <w:t>3 项目建设情况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_Toc6415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"_Toc5407" </w:instrText>
      </w:r>
      <w:r>
        <w:fldChar w:fldCharType="separate"/>
      </w:r>
      <w:r>
        <w:rPr>
          <w:rFonts w:ascii="Times New Roman" w:hAnsi="Times New Roman" w:cs="Times New Roman"/>
        </w:rPr>
        <w:t>3.1 地理位置及平面布置</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_Toc5407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"_Toc22246" </w:instrText>
      </w:r>
      <w:r>
        <w:fldChar w:fldCharType="separate"/>
      </w:r>
      <w:r>
        <w:rPr>
          <w:rFonts w:ascii="Times New Roman" w:hAnsi="Times New Roman" w:cs="Times New Roman"/>
        </w:rPr>
        <w:t>3.2 建设内容</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_Toc22246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"_Toc31069" </w:instrText>
      </w:r>
      <w:r>
        <w:fldChar w:fldCharType="separate"/>
      </w:r>
      <w:r>
        <w:rPr>
          <w:rFonts w:ascii="Times New Roman" w:hAnsi="Times New Roman" w:cs="Times New Roman"/>
        </w:rPr>
        <w:t>3.3 主要原辅材料及燃料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_Toc31069 \h </w:instrText>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"_Toc32133" </w:instrText>
      </w:r>
      <w:r>
        <w:fldChar w:fldCharType="separate"/>
      </w:r>
      <w:r>
        <w:rPr>
          <w:rFonts w:ascii="Times New Roman" w:hAnsi="Times New Roman" w:cs="Times New Roman"/>
        </w:rPr>
        <w:t>3.4 水源及水平衡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_Toc32133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"_Toc1431" </w:instrText>
      </w:r>
      <w:r>
        <w:fldChar w:fldCharType="separate"/>
      </w:r>
      <w:r>
        <w:rPr>
          <w:rFonts w:ascii="Times New Roman" w:hAnsi="Times New Roman" w:cs="Times New Roman"/>
        </w:rPr>
        <w:t>3.5 生产工艺</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_Toc1431 \h </w:instrText>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"_Toc27181" </w:instrText>
      </w:r>
      <w:r>
        <w:fldChar w:fldCharType="separate"/>
      </w:r>
      <w:r>
        <w:rPr>
          <w:rFonts w:ascii="Times New Roman" w:hAnsi="Times New Roman" w:cs="Times New Roman"/>
        </w:rPr>
        <w:t>3.6 项目变动情况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_Toc27181 \h </w:instrText>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"_Toc22197" </w:instrText>
      </w:r>
      <w:r>
        <w:fldChar w:fldCharType="separate"/>
      </w:r>
      <w:r>
        <w:rPr>
          <w:rFonts w:ascii="Times New Roman" w:hAnsi="Times New Roman" w:cs="Times New Roman"/>
        </w:rPr>
        <w:t>4 环境保护设施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_Toc22197 \h </w:instrText>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"_Toc20525" </w:instrText>
      </w:r>
      <w:r>
        <w:fldChar w:fldCharType="separate"/>
      </w:r>
      <w:r>
        <w:rPr>
          <w:rFonts w:ascii="Times New Roman" w:hAnsi="Times New Roman" w:cs="Times New Roman"/>
        </w:rPr>
        <w:t>4.1 污染物治理/处置设施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_Toc20525 \h </w:instrText>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"_Toc15559" </w:instrText>
      </w:r>
      <w:r>
        <w:fldChar w:fldCharType="separate"/>
      </w:r>
      <w:r>
        <w:rPr>
          <w:rFonts w:ascii="Times New Roman" w:hAnsi="Times New Roman" w:cs="Times New Roman"/>
        </w:rPr>
        <w:t>4.2 其他环境保护设施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_Toc15559 \h </w:instrText>
      </w:r>
      <w:r>
        <w:rPr>
          <w:rFonts w:ascii="Times New Roman" w:hAnsi="Times New Roman" w:cs="Times New Roman"/>
        </w:rPr>
        <w:fldChar w:fldCharType="separate"/>
      </w:r>
      <w:r>
        <w:rPr>
          <w:rFonts w:ascii="Times New Roman" w:hAnsi="Times New Roman" w:cs="Times New Roman"/>
        </w:rPr>
        <w:t>31</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"_Toc26984" </w:instrText>
      </w:r>
      <w:r>
        <w:fldChar w:fldCharType="separate"/>
      </w:r>
      <w:r>
        <w:rPr>
          <w:rFonts w:ascii="Times New Roman" w:hAnsi="Times New Roman" w:cs="Times New Roman"/>
        </w:rPr>
        <w:t>4.3 环保设施投资及“三同时”落实情况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_Toc26984 \h </w:instrText>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"_Toc21481" </w:instrText>
      </w:r>
      <w:r>
        <w:fldChar w:fldCharType="separate"/>
      </w:r>
      <w:r>
        <w:rPr>
          <w:rFonts w:ascii="Times New Roman" w:hAnsi="Times New Roman" w:cs="Times New Roman"/>
        </w:rPr>
        <w:t>5 环境影响报告书主要结论与建议及其审批部门审批决定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_Toc21481 \h </w:instrText>
      </w:r>
      <w:r>
        <w:rPr>
          <w:rFonts w:ascii="Times New Roman" w:hAnsi="Times New Roman" w:cs="Times New Roman"/>
        </w:rPr>
        <w:fldChar w:fldCharType="separate"/>
      </w:r>
      <w:r>
        <w:rPr>
          <w:rFonts w:ascii="Times New Roman" w:hAnsi="Times New Roman" w:cs="Times New Roman"/>
        </w:rPr>
        <w:t>39</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"_Toc11302" </w:instrText>
      </w:r>
      <w:r>
        <w:fldChar w:fldCharType="separate"/>
      </w:r>
      <w:r>
        <w:rPr>
          <w:rFonts w:ascii="Times New Roman" w:hAnsi="Times New Roman" w:cs="Times New Roman"/>
        </w:rPr>
        <w:t>5.1 环境影响报告书主要结论与建议</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_Toc11302 \h </w:instrText>
      </w:r>
      <w:r>
        <w:rPr>
          <w:rFonts w:ascii="Times New Roman" w:hAnsi="Times New Roman" w:cs="Times New Roman"/>
        </w:rPr>
        <w:fldChar w:fldCharType="separate"/>
      </w:r>
      <w:r>
        <w:rPr>
          <w:rFonts w:ascii="Times New Roman" w:hAnsi="Times New Roman" w:cs="Times New Roman"/>
        </w:rPr>
        <w:t>39</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"_Toc24929" </w:instrText>
      </w:r>
      <w:r>
        <w:fldChar w:fldCharType="separate"/>
      </w:r>
      <w:r>
        <w:rPr>
          <w:rFonts w:ascii="Times New Roman" w:hAnsi="Times New Roman" w:cs="Times New Roman"/>
        </w:rPr>
        <w:t>5.2 审批部门审批决定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_Toc24929 \h </w:instrText>
      </w:r>
      <w:r>
        <w:rPr>
          <w:rFonts w:ascii="Times New Roman" w:hAnsi="Times New Roman" w:cs="Times New Roman"/>
        </w:rPr>
        <w:fldChar w:fldCharType="separate"/>
      </w:r>
      <w:r>
        <w:rPr>
          <w:rFonts w:ascii="Times New Roman" w:hAnsi="Times New Roman" w:cs="Times New Roman"/>
        </w:rPr>
        <w:t>41</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"_Toc14411" </w:instrText>
      </w:r>
      <w:r>
        <w:fldChar w:fldCharType="separate"/>
      </w:r>
      <w:r>
        <w:rPr>
          <w:rFonts w:ascii="Times New Roman" w:hAnsi="Times New Roman" w:cs="Times New Roman"/>
        </w:rPr>
        <w:t>6  验收执行标准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_Toc14411 \h </w:instrText>
      </w:r>
      <w:r>
        <w:rPr>
          <w:rFonts w:ascii="Times New Roman" w:hAnsi="Times New Roman" w:cs="Times New Roman"/>
        </w:rPr>
        <w:fldChar w:fldCharType="separate"/>
      </w:r>
      <w:r>
        <w:rPr>
          <w:rFonts w:ascii="Times New Roman" w:hAnsi="Times New Roman" w:cs="Times New Roman"/>
        </w:rPr>
        <w:t>43</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"_Toc32361" </w:instrText>
      </w:r>
      <w:r>
        <w:fldChar w:fldCharType="separate"/>
      </w:r>
      <w:r>
        <w:rPr>
          <w:rFonts w:ascii="Times New Roman" w:hAnsi="Times New Roman" w:cs="Times New Roman"/>
        </w:rPr>
        <w:t>6.1 环境质量标准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_Toc32361 \h </w:instrText>
      </w:r>
      <w:r>
        <w:rPr>
          <w:rFonts w:ascii="Times New Roman" w:hAnsi="Times New Roman" w:cs="Times New Roman"/>
        </w:rPr>
        <w:fldChar w:fldCharType="separate"/>
      </w:r>
      <w:r>
        <w:rPr>
          <w:rFonts w:ascii="Times New Roman" w:hAnsi="Times New Roman" w:cs="Times New Roman"/>
        </w:rPr>
        <w:t>43</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"_Toc32619" </w:instrText>
      </w:r>
      <w:r>
        <w:fldChar w:fldCharType="separate"/>
      </w:r>
      <w:r>
        <w:rPr>
          <w:rFonts w:ascii="Times New Roman" w:hAnsi="Times New Roman" w:cs="Times New Roman"/>
        </w:rPr>
        <w:t>6.2 污染物排放标准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_Toc32619 \h </w:instrText>
      </w:r>
      <w:r>
        <w:rPr>
          <w:rFonts w:ascii="Times New Roman" w:hAnsi="Times New Roman" w:cs="Times New Roman"/>
        </w:rPr>
        <w:fldChar w:fldCharType="separate"/>
      </w:r>
      <w:r>
        <w:rPr>
          <w:rFonts w:ascii="Times New Roman" w:hAnsi="Times New Roman" w:cs="Times New Roman"/>
        </w:rPr>
        <w:t>44</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"_Toc9858" </w:instrText>
      </w:r>
      <w:r>
        <w:fldChar w:fldCharType="separate"/>
      </w:r>
      <w:r>
        <w:rPr>
          <w:rFonts w:ascii="Times New Roman" w:hAnsi="Times New Roman" w:cs="Times New Roman"/>
        </w:rPr>
        <w:t>7 验收监测内容</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_Toc9858 \h </w:instrText>
      </w:r>
      <w:r>
        <w:rPr>
          <w:rFonts w:ascii="Times New Roman" w:hAnsi="Times New Roman" w:cs="Times New Roman"/>
        </w:rPr>
        <w:fldChar w:fldCharType="separate"/>
      </w:r>
      <w:r>
        <w:rPr>
          <w:rFonts w:ascii="Times New Roman" w:hAnsi="Times New Roman" w:cs="Times New Roman"/>
        </w:rPr>
        <w:t>45</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"_Toc1619" </w:instrText>
      </w:r>
      <w:r>
        <w:fldChar w:fldCharType="separate"/>
      </w:r>
      <w:r>
        <w:rPr>
          <w:rFonts w:ascii="Times New Roman" w:hAnsi="Times New Roman" w:cs="Times New Roman"/>
        </w:rPr>
        <w:t>7.1 废气</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_Toc1619 \h </w:instrText>
      </w:r>
      <w:r>
        <w:rPr>
          <w:rFonts w:ascii="Times New Roman" w:hAnsi="Times New Roman" w:cs="Times New Roman"/>
        </w:rPr>
        <w:fldChar w:fldCharType="separate"/>
      </w:r>
      <w:r>
        <w:rPr>
          <w:rFonts w:ascii="Times New Roman" w:hAnsi="Times New Roman" w:cs="Times New Roman"/>
        </w:rPr>
        <w:t>45</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"_Toc11600" </w:instrText>
      </w:r>
      <w:r>
        <w:fldChar w:fldCharType="separate"/>
      </w:r>
      <w:r>
        <w:rPr>
          <w:rFonts w:ascii="Times New Roman" w:hAnsi="Times New Roman" w:cs="Times New Roman"/>
        </w:rPr>
        <w:t>7.2 厂界噪声监测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_Toc11600 \h </w:instrText>
      </w:r>
      <w:r>
        <w:rPr>
          <w:rFonts w:ascii="Times New Roman" w:hAnsi="Times New Roman" w:cs="Times New Roman"/>
        </w:rPr>
        <w:fldChar w:fldCharType="separate"/>
      </w:r>
      <w:r>
        <w:rPr>
          <w:rFonts w:ascii="Times New Roman" w:hAnsi="Times New Roman" w:cs="Times New Roman"/>
        </w:rPr>
        <w:t>45</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"_Toc21499" </w:instrText>
      </w:r>
      <w:r>
        <w:fldChar w:fldCharType="separate"/>
      </w:r>
      <w:r>
        <w:rPr>
          <w:rFonts w:ascii="Times New Roman" w:hAnsi="Times New Roman" w:cs="Times New Roman"/>
        </w:rPr>
        <w:t>8 质量保证和质量控制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_Toc21499 \h </w:instrText>
      </w:r>
      <w:r>
        <w:rPr>
          <w:rFonts w:ascii="Times New Roman" w:hAnsi="Times New Roman" w:cs="Times New Roman"/>
        </w:rPr>
        <w:fldChar w:fldCharType="separate"/>
      </w:r>
      <w:r>
        <w:rPr>
          <w:rFonts w:ascii="Times New Roman" w:hAnsi="Times New Roman" w:cs="Times New Roman"/>
        </w:rPr>
        <w:t>47</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"_Toc67" </w:instrText>
      </w:r>
      <w:r>
        <w:fldChar w:fldCharType="separate"/>
      </w:r>
      <w:r>
        <w:rPr>
          <w:rFonts w:ascii="Times New Roman" w:hAnsi="Times New Roman" w:cs="Times New Roman"/>
        </w:rPr>
        <w:t>8.1 监测分析方法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_Toc67 \h </w:instrText>
      </w:r>
      <w:r>
        <w:rPr>
          <w:rFonts w:ascii="Times New Roman" w:hAnsi="Times New Roman" w:cs="Times New Roman"/>
        </w:rPr>
        <w:fldChar w:fldCharType="separate"/>
      </w:r>
      <w:r>
        <w:rPr>
          <w:rFonts w:ascii="Times New Roman" w:hAnsi="Times New Roman" w:cs="Times New Roman"/>
        </w:rPr>
        <w:t>47</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"_Toc262" </w:instrText>
      </w:r>
      <w:r>
        <w:fldChar w:fldCharType="separate"/>
      </w:r>
      <w:r>
        <w:rPr>
          <w:rFonts w:ascii="Times New Roman" w:hAnsi="Times New Roman" w:cs="Times New Roman"/>
        </w:rPr>
        <w:t>8.2 监测仪器</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_Toc262 \h </w:instrText>
      </w:r>
      <w:r>
        <w:rPr>
          <w:rFonts w:ascii="Times New Roman" w:hAnsi="Times New Roman" w:cs="Times New Roman"/>
        </w:rPr>
        <w:fldChar w:fldCharType="separate"/>
      </w:r>
      <w:r>
        <w:rPr>
          <w:rFonts w:ascii="Times New Roman" w:hAnsi="Times New Roman" w:cs="Times New Roman"/>
        </w:rPr>
        <w:t>48</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"_Toc31385" </w:instrText>
      </w:r>
      <w:r>
        <w:fldChar w:fldCharType="separate"/>
      </w:r>
      <w:r>
        <w:rPr>
          <w:rFonts w:ascii="Times New Roman" w:hAnsi="Times New Roman" w:cs="Times New Roman"/>
        </w:rPr>
        <w:t>8.3 人员能力</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_Toc31385 \h </w:instrText>
      </w:r>
      <w:r>
        <w:rPr>
          <w:rFonts w:ascii="Times New Roman" w:hAnsi="Times New Roman" w:cs="Times New Roman"/>
        </w:rPr>
        <w:fldChar w:fldCharType="separate"/>
      </w:r>
      <w:r>
        <w:rPr>
          <w:rFonts w:ascii="Times New Roman" w:hAnsi="Times New Roman" w:cs="Times New Roman"/>
        </w:rPr>
        <w:t>48</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"_Toc13367" </w:instrText>
      </w:r>
      <w:r>
        <w:fldChar w:fldCharType="separate"/>
      </w:r>
      <w:r>
        <w:rPr>
          <w:rFonts w:ascii="Times New Roman" w:hAnsi="Times New Roman" w:cs="Times New Roman"/>
        </w:rPr>
        <w:t>8.4 气体监测分析过程中的质量保证和质量控制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_Toc13367 \h </w:instrText>
      </w:r>
      <w:r>
        <w:rPr>
          <w:rFonts w:ascii="Times New Roman" w:hAnsi="Times New Roman" w:cs="Times New Roman"/>
        </w:rPr>
        <w:fldChar w:fldCharType="separate"/>
      </w:r>
      <w:r>
        <w:rPr>
          <w:rFonts w:ascii="Times New Roman" w:hAnsi="Times New Roman" w:cs="Times New Roman"/>
        </w:rPr>
        <w:t>49</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"_Toc1675" </w:instrText>
      </w:r>
      <w:r>
        <w:fldChar w:fldCharType="separate"/>
      </w:r>
      <w:r>
        <w:rPr>
          <w:rFonts w:ascii="Times New Roman" w:hAnsi="Times New Roman" w:cs="Times New Roman"/>
        </w:rPr>
        <w:t>8.5 噪声监测分析过程中的质量保证和质量控制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_Toc1675 \h </w:instrText>
      </w:r>
      <w:r>
        <w:rPr>
          <w:rFonts w:ascii="Times New Roman" w:hAnsi="Times New Roman" w:cs="Times New Roman"/>
        </w:rPr>
        <w:fldChar w:fldCharType="separate"/>
      </w:r>
      <w:r>
        <w:rPr>
          <w:rFonts w:ascii="Times New Roman" w:hAnsi="Times New Roman" w:cs="Times New Roman"/>
        </w:rPr>
        <w:t>51</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"_Toc31612" </w:instrText>
      </w:r>
      <w:r>
        <w:fldChar w:fldCharType="separate"/>
      </w:r>
      <w:r>
        <w:rPr>
          <w:rFonts w:ascii="Times New Roman" w:hAnsi="Times New Roman" w:cs="Times New Roman"/>
        </w:rPr>
        <w:t>9 验收监测结果</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_Toc31612 \h </w:instrText>
      </w:r>
      <w:r>
        <w:rPr>
          <w:rFonts w:ascii="Times New Roman" w:hAnsi="Times New Roman" w:cs="Times New Roman"/>
        </w:rPr>
        <w:fldChar w:fldCharType="separate"/>
      </w:r>
      <w:r>
        <w:rPr>
          <w:rFonts w:ascii="Times New Roman" w:hAnsi="Times New Roman" w:cs="Times New Roman"/>
        </w:rPr>
        <w:t>52</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"_Toc23696" </w:instrText>
      </w:r>
      <w:r>
        <w:fldChar w:fldCharType="separate"/>
      </w:r>
      <w:r>
        <w:rPr>
          <w:rFonts w:ascii="Times New Roman" w:hAnsi="Times New Roman" w:cs="Times New Roman"/>
        </w:rPr>
        <w:t>9.1 生产工况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_Toc23696 \h </w:instrText>
      </w:r>
      <w:r>
        <w:rPr>
          <w:rFonts w:ascii="Times New Roman" w:hAnsi="Times New Roman" w:cs="Times New Roman"/>
        </w:rPr>
        <w:fldChar w:fldCharType="separate"/>
      </w:r>
      <w:r>
        <w:rPr>
          <w:rFonts w:ascii="Times New Roman" w:hAnsi="Times New Roman" w:cs="Times New Roman"/>
        </w:rPr>
        <w:t>52</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"_Toc11915" </w:instrText>
      </w:r>
      <w:r>
        <w:fldChar w:fldCharType="separate"/>
      </w:r>
      <w:r>
        <w:rPr>
          <w:rFonts w:ascii="Times New Roman" w:hAnsi="Times New Roman" w:cs="Times New Roman"/>
        </w:rPr>
        <w:t>9.2 环保设施调试运行效果</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_Toc11915 \h </w:instrText>
      </w:r>
      <w:r>
        <w:rPr>
          <w:rFonts w:ascii="Times New Roman" w:hAnsi="Times New Roman" w:cs="Times New Roman"/>
        </w:rPr>
        <w:fldChar w:fldCharType="separate"/>
      </w:r>
      <w:r>
        <w:rPr>
          <w:rFonts w:ascii="Times New Roman" w:hAnsi="Times New Roman" w:cs="Times New Roman"/>
        </w:rPr>
        <w:t>52</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"_Toc31271" </w:instrText>
      </w:r>
      <w:r>
        <w:fldChar w:fldCharType="separate"/>
      </w:r>
      <w:r>
        <w:rPr>
          <w:rFonts w:ascii="Times New Roman" w:hAnsi="Times New Roman" w:cs="Times New Roman"/>
        </w:rPr>
        <w:t>10 验收监测结论</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_Toc31271 \h </w:instrText>
      </w:r>
      <w:r>
        <w:rPr>
          <w:rFonts w:ascii="Times New Roman" w:hAnsi="Times New Roman" w:cs="Times New Roman"/>
        </w:rPr>
        <w:fldChar w:fldCharType="separate"/>
      </w:r>
      <w:r>
        <w:rPr>
          <w:rFonts w:ascii="Times New Roman" w:hAnsi="Times New Roman" w:cs="Times New Roman"/>
        </w:rPr>
        <w:t>59</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"_Toc12062" </w:instrText>
      </w:r>
      <w:r>
        <w:fldChar w:fldCharType="separate"/>
      </w:r>
      <w:r>
        <w:rPr>
          <w:rFonts w:ascii="Times New Roman" w:hAnsi="Times New Roman" w:cs="Times New Roman"/>
        </w:rPr>
        <w:t>10.1 环保设施调试运行效果</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_Toc12062 \h </w:instrText>
      </w:r>
      <w:r>
        <w:rPr>
          <w:rFonts w:ascii="Times New Roman" w:hAnsi="Times New Roman" w:cs="Times New Roman"/>
        </w:rPr>
        <w:fldChar w:fldCharType="separate"/>
      </w:r>
      <w:r>
        <w:rPr>
          <w:rFonts w:ascii="Times New Roman" w:hAnsi="Times New Roman" w:cs="Times New Roman"/>
        </w:rPr>
        <w:t>59</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r>
        <w:fldChar w:fldCharType="begin"/>
      </w:r>
      <w:r>
        <w:instrText xml:space="preserve">HYPERLINK  \l "_Toc29574" </w:instrText>
      </w:r>
      <w:r>
        <w:fldChar w:fldCharType="separate"/>
      </w:r>
      <w:r>
        <w:rPr>
          <w:rFonts w:ascii="Times New Roman" w:hAnsi="Times New Roman" w:cs="Times New Roman"/>
        </w:rPr>
        <w:t>10.2 工程建设对环境的影响</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_Toc29574 \h </w:instrText>
      </w:r>
      <w:r>
        <w:rPr>
          <w:rFonts w:ascii="Times New Roman" w:hAnsi="Times New Roman" w:cs="Times New Roman"/>
        </w:rPr>
        <w:fldChar w:fldCharType="separate"/>
      </w:r>
      <w:r>
        <w:rPr>
          <w:rFonts w:ascii="Times New Roman" w:hAnsi="Times New Roman" w:cs="Times New Roman"/>
        </w:rPr>
        <w:t>60</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"_Toc15440" </w:instrText>
      </w:r>
      <w:r>
        <w:fldChar w:fldCharType="separate"/>
      </w:r>
      <w:r>
        <w:rPr>
          <w:rFonts w:ascii="Times New Roman" w:hAnsi="Times New Roman" w:cs="Times New Roman"/>
        </w:rPr>
        <w:t>11 建设项目竣工环境保护“三同时”验收登记表</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_Toc15440 \h </w:instrText>
      </w:r>
      <w:r>
        <w:rPr>
          <w:rFonts w:ascii="Times New Roman" w:hAnsi="Times New Roman" w:cs="Times New Roman"/>
        </w:rPr>
        <w:fldChar w:fldCharType="separate"/>
      </w:r>
      <w:r>
        <w:rPr>
          <w:rFonts w:ascii="Times New Roman" w:hAnsi="Times New Roman" w:cs="Times New Roman"/>
        </w:rPr>
        <w:t>61</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"_Toc8220" </w:instrText>
      </w:r>
      <w:r>
        <w:fldChar w:fldCharType="separate"/>
      </w:r>
      <w:r>
        <w:rPr>
          <w:rFonts w:ascii="Times New Roman" w:hAnsi="Times New Roman" w:cs="Times New Roman"/>
        </w:rPr>
        <w:t>附图</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_Toc8220 \h </w:instrText>
      </w:r>
      <w:r>
        <w:rPr>
          <w:rFonts w:ascii="Times New Roman" w:hAnsi="Times New Roman" w:cs="Times New Roman"/>
        </w:rPr>
        <w:fldChar w:fldCharType="separate"/>
      </w:r>
      <w:r>
        <w:rPr>
          <w:rFonts w:ascii="Times New Roman" w:hAnsi="Times New Roman" w:cs="Times New Roman"/>
        </w:rPr>
        <w:t>62</w:t>
      </w:r>
      <w:r>
        <w:rPr>
          <w:rFonts w:ascii="Times New Roman" w:hAnsi="Times New Roman" w:cs="Times New Roman"/>
        </w:rPr>
        <w:fldChar w:fldCharType="end"/>
      </w:r>
      <w:r>
        <w:fldChar w:fldCharType="end"/>
      </w:r>
    </w:p>
    <w:p>
      <w:pPr>
        <w:pStyle w:val="17"/>
        <w:tabs>
          <w:tab w:val="right" w:leader="dot" w:pos="8306"/>
        </w:tabs>
        <w:rPr>
          <w:rFonts w:ascii="Times New Roman" w:hAnsi="Times New Roman" w:cs="Times New Roman"/>
        </w:rPr>
      </w:pPr>
      <w:r>
        <w:fldChar w:fldCharType="begin"/>
      </w:r>
      <w:r>
        <w:instrText xml:space="preserve">HYPERLINK  \l "_Toc4081" </w:instrText>
      </w:r>
      <w:r>
        <w:fldChar w:fldCharType="separate"/>
      </w:r>
      <w:r>
        <w:rPr>
          <w:rFonts w:ascii="Times New Roman" w:hAnsi="Times New Roman" w:cs="Times New Roman"/>
        </w:rPr>
        <w:t>附件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_Toc4081 \h </w:instrText>
      </w:r>
      <w:r>
        <w:rPr>
          <w:rFonts w:ascii="Times New Roman" w:hAnsi="Times New Roman" w:cs="Times New Roman"/>
        </w:rPr>
        <w:fldChar w:fldCharType="separate"/>
      </w:r>
      <w:r>
        <w:rPr>
          <w:rFonts w:ascii="Times New Roman" w:hAnsi="Times New Roman" w:cs="Times New Roman"/>
        </w:rPr>
        <w:t>65</w:t>
      </w:r>
      <w:r>
        <w:rPr>
          <w:rFonts w:ascii="Times New Roman" w:hAnsi="Times New Roman" w:cs="Times New Roman"/>
        </w:rPr>
        <w:fldChar w:fldCharType="end"/>
      </w:r>
      <w:r>
        <w:fldChar w:fldCharType="end"/>
      </w:r>
    </w:p>
    <w:p>
      <w:pPr>
        <w:pStyle w:val="18"/>
        <w:tabs>
          <w:tab w:val="right" w:leader="dot" w:pos="8306"/>
        </w:tabs>
        <w:ind w:left="560"/>
        <w:rPr>
          <w:rFonts w:ascii="Times New Roman" w:hAnsi="Times New Roman" w:cs="Times New Roman"/>
        </w:rPr>
      </w:pPr>
    </w:p>
    <w:p>
      <w:pPr>
        <w:jc w:val="center"/>
        <w:rPr>
          <w:rFonts w:ascii="Times New Roman" w:hAnsi="Times New Roman" w:cs="Times New Roman"/>
        </w:r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r>
        <w:rPr>
          <w:rFonts w:ascii="Times New Roman" w:hAnsi="Times New Roman" w:cs="Times New Roman"/>
          <w:b/>
        </w:rPr>
        <w:fldChar w:fldCharType="end"/>
      </w:r>
    </w:p>
    <w:p>
      <w:pPr>
        <w:pStyle w:val="3"/>
        <w:rPr>
          <w:rFonts w:ascii="Times New Roman" w:hAnsi="Times New Roman" w:cs="Times New Roman"/>
        </w:rPr>
      </w:pPr>
      <w:bookmarkStart w:id="0" w:name="_Toc20980"/>
      <w:r>
        <w:rPr>
          <w:rFonts w:ascii="Times New Roman" w:hAnsi="Times New Roman" w:cs="Times New Roman"/>
        </w:rPr>
        <w:t>1 项目概况</w:t>
      </w:r>
      <w:bookmarkEnd w:id="0"/>
    </w:p>
    <w:p>
      <w:pPr>
        <w:pStyle w:val="4"/>
        <w:rPr>
          <w:rFonts w:ascii="Times New Roman" w:hAnsi="Times New Roman" w:cs="Times New Roman"/>
        </w:rPr>
      </w:pPr>
      <w:bookmarkStart w:id="1" w:name="_Toc5068"/>
      <w:r>
        <w:rPr>
          <w:rFonts w:ascii="Times New Roman" w:hAnsi="Times New Roman" w:cs="Times New Roman"/>
        </w:rPr>
        <w:t>1.1 项目基本情况</w:t>
      </w:r>
      <w:bookmarkEnd w:id="1"/>
    </w:p>
    <w:p>
      <w:pPr>
        <w:ind w:firstLine="560" w:firstLineChars="200"/>
        <w:rPr>
          <w:rFonts w:ascii="Times New Roman" w:hAnsi="Times New Roman" w:cs="Times New Roman"/>
        </w:rPr>
      </w:pPr>
      <w:r>
        <w:rPr>
          <w:rFonts w:ascii="Times New Roman" w:hAnsi="Times New Roman" w:cs="Times New Roman"/>
        </w:rPr>
        <w:t>项目名称：山西太钢不锈钢股份有限公司不锈钢生产线降噪减排综合治理改造项目</w:t>
      </w:r>
    </w:p>
    <w:p>
      <w:pPr>
        <w:ind w:firstLine="560" w:firstLineChars="200"/>
        <w:rPr>
          <w:rFonts w:ascii="Times New Roman" w:hAnsi="Times New Roman" w:cs="Times New Roman"/>
        </w:rPr>
      </w:pPr>
      <w:r>
        <w:rPr>
          <w:rFonts w:ascii="Times New Roman" w:hAnsi="Times New Roman" w:cs="Times New Roman"/>
        </w:rPr>
        <w:t>建设性质：技改</w:t>
      </w:r>
    </w:p>
    <w:p>
      <w:pPr>
        <w:ind w:firstLine="560" w:firstLineChars="200"/>
        <w:rPr>
          <w:rFonts w:ascii="Times New Roman" w:hAnsi="Times New Roman" w:cs="Times New Roman"/>
        </w:rPr>
      </w:pPr>
      <w:r>
        <w:rPr>
          <w:rFonts w:ascii="Times New Roman" w:hAnsi="Times New Roman" w:cs="Times New Roman"/>
        </w:rPr>
        <w:t>建设单位：山西太钢不锈钢股份有限公司</w:t>
      </w:r>
    </w:p>
    <w:p>
      <w:pPr>
        <w:ind w:firstLine="560" w:firstLineChars="200"/>
        <w:rPr>
          <w:rFonts w:ascii="Times New Roman" w:hAnsi="Times New Roman" w:cs="Times New Roman"/>
        </w:rPr>
      </w:pPr>
      <w:r>
        <w:rPr>
          <w:rFonts w:ascii="Times New Roman" w:hAnsi="Times New Roman" w:cs="Times New Roman"/>
        </w:rPr>
        <w:t>建设地点：项目选址位于现有太钢不锈钢股份有限公司厂区内，在现有炼钢一厂不锈钢生产线冶炼车间的电炉跨内进行改造，项目区东邻连铸线、南面为绿化带区域，西靠90t电炉的原料车间，区域占地面积约为2281m²，场地内地势平坦，其地理坐标为北纬37°40′11.87″，东经112°42′22.96″。</w:t>
      </w:r>
    </w:p>
    <w:p>
      <w:pPr>
        <w:ind w:firstLine="560" w:firstLineChars="200"/>
        <w:rPr>
          <w:rFonts w:ascii="Times New Roman" w:hAnsi="Times New Roman" w:cs="Times New Roman"/>
        </w:rPr>
      </w:pPr>
      <w:r>
        <w:rPr>
          <w:rFonts w:ascii="Times New Roman" w:hAnsi="Times New Roman" w:cs="Times New Roman"/>
        </w:rPr>
        <w:t>环境影响报告书编制单位：山西清源环境咨询有限公司</w:t>
      </w:r>
    </w:p>
    <w:p>
      <w:pPr>
        <w:ind w:firstLine="560" w:firstLineChars="200"/>
        <w:rPr>
          <w:rFonts w:ascii="Times New Roman" w:hAnsi="Times New Roman" w:cs="Times New Roman"/>
        </w:rPr>
      </w:pPr>
      <w:r>
        <w:rPr>
          <w:rFonts w:ascii="Times New Roman" w:hAnsi="Times New Roman" w:cs="Times New Roman"/>
        </w:rPr>
        <w:t>环境影响报告书完成时间：2019年1月20日</w:t>
      </w:r>
    </w:p>
    <w:p>
      <w:pPr>
        <w:ind w:firstLine="560" w:firstLineChars="200"/>
        <w:rPr>
          <w:rFonts w:ascii="Times New Roman" w:hAnsi="Times New Roman" w:cs="Times New Roman"/>
          <w:highlight w:val="none"/>
        </w:rPr>
      </w:pPr>
      <w:r>
        <w:rPr>
          <w:rFonts w:ascii="Times New Roman" w:hAnsi="Times New Roman" w:cs="Times New Roman"/>
        </w:rPr>
        <w:t>环境影响报告书审批</w:t>
      </w:r>
      <w:r>
        <w:rPr>
          <w:rFonts w:ascii="Times New Roman" w:hAnsi="Times New Roman" w:cs="Times New Roman"/>
          <w:highlight w:val="none"/>
        </w:rPr>
        <w:t>部门：太原市环境保护局尖草坪分局</w:t>
      </w:r>
    </w:p>
    <w:p>
      <w:pPr>
        <w:ind w:firstLine="560" w:firstLineChars="200"/>
        <w:rPr>
          <w:rFonts w:ascii="Times New Roman" w:hAnsi="Times New Roman" w:cs="Times New Roman"/>
          <w:highlight w:val="none"/>
        </w:rPr>
      </w:pPr>
      <w:r>
        <w:rPr>
          <w:rFonts w:ascii="Times New Roman" w:hAnsi="Times New Roman" w:cs="Times New Roman"/>
          <w:highlight w:val="none"/>
        </w:rPr>
        <w:t>环境影响报告书审批时间与文号：2019年2月25日，并环尖审批</w:t>
      </w:r>
      <w:r>
        <w:rPr>
          <w:rFonts w:ascii="Cambria" w:hAnsi="Cambria" w:cs="Cambria"/>
          <w:highlight w:val="none"/>
        </w:rPr>
        <w:t>⟮</w:t>
      </w:r>
      <w:r>
        <w:rPr>
          <w:rFonts w:ascii="Times New Roman" w:hAnsi="Times New Roman" w:cs="Times New Roman"/>
          <w:highlight w:val="none"/>
        </w:rPr>
        <w:t>2019</w:t>
      </w:r>
      <w:r>
        <w:rPr>
          <w:rFonts w:ascii="Cambria" w:hAnsi="Cambria" w:cs="Cambria"/>
          <w:highlight w:val="none"/>
        </w:rPr>
        <w:t>⟯</w:t>
      </w:r>
      <w:r>
        <w:rPr>
          <w:rFonts w:ascii="Times New Roman" w:hAnsi="Times New Roman" w:cs="Times New Roman"/>
          <w:highlight w:val="none"/>
        </w:rPr>
        <w:t>第01号</w:t>
      </w:r>
    </w:p>
    <w:p>
      <w:pPr>
        <w:ind w:firstLine="560" w:firstLineChars="200"/>
        <w:rPr>
          <w:rFonts w:ascii="Times New Roman" w:hAnsi="Times New Roman" w:cs="Times New Roman"/>
          <w:highlight w:val="none"/>
        </w:rPr>
      </w:pPr>
      <w:r>
        <w:rPr>
          <w:rFonts w:ascii="Times New Roman" w:hAnsi="Times New Roman" w:cs="Times New Roman"/>
          <w:highlight w:val="none"/>
        </w:rPr>
        <w:t>项目开工时间：2019年3月</w:t>
      </w:r>
    </w:p>
    <w:p>
      <w:pPr>
        <w:ind w:firstLine="560" w:firstLineChars="200"/>
        <w:rPr>
          <w:rFonts w:ascii="Times New Roman" w:hAnsi="Times New Roman" w:cs="Times New Roman"/>
          <w:highlight w:val="none"/>
        </w:rPr>
      </w:pPr>
      <w:r>
        <w:rPr>
          <w:rFonts w:ascii="Times New Roman" w:hAnsi="Times New Roman" w:cs="Times New Roman"/>
          <w:highlight w:val="none"/>
        </w:rPr>
        <w:t>项目竣工时间：2021年</w:t>
      </w:r>
      <w:r>
        <w:rPr>
          <w:rFonts w:hint="eastAsia" w:ascii="Times New Roman" w:hAnsi="Times New Roman" w:cs="Times New Roman"/>
          <w:highlight w:val="none"/>
          <w:lang w:val="en-US" w:eastAsia="zh-CN"/>
        </w:rPr>
        <w:t>4</w:t>
      </w:r>
      <w:r>
        <w:rPr>
          <w:rFonts w:ascii="Times New Roman" w:hAnsi="Times New Roman" w:cs="Times New Roman"/>
          <w:highlight w:val="none"/>
        </w:rPr>
        <w:t>月</w:t>
      </w:r>
    </w:p>
    <w:p>
      <w:pPr>
        <w:ind w:firstLine="560" w:firstLineChars="200"/>
        <w:rPr>
          <w:rFonts w:ascii="Times New Roman" w:hAnsi="Times New Roman" w:cs="Times New Roman"/>
          <w:highlight w:val="none"/>
        </w:rPr>
      </w:pPr>
      <w:r>
        <w:rPr>
          <w:rFonts w:ascii="Times New Roman" w:hAnsi="Times New Roman" w:cs="Times New Roman"/>
          <w:highlight w:val="none"/>
        </w:rPr>
        <w:t>项目调试时间：2021年</w:t>
      </w:r>
      <w:r>
        <w:rPr>
          <w:rFonts w:hint="eastAsia" w:ascii="Times New Roman" w:hAnsi="Times New Roman" w:cs="Times New Roman"/>
          <w:highlight w:val="none"/>
          <w:lang w:val="en-US" w:eastAsia="zh-CN"/>
        </w:rPr>
        <w:t>5</w:t>
      </w:r>
      <w:r>
        <w:rPr>
          <w:rFonts w:ascii="Times New Roman" w:hAnsi="Times New Roman" w:cs="Times New Roman"/>
          <w:highlight w:val="none"/>
        </w:rPr>
        <w:t>月</w:t>
      </w:r>
    </w:p>
    <w:p>
      <w:pPr>
        <w:ind w:firstLine="560" w:firstLineChars="200"/>
        <w:rPr>
          <w:rFonts w:ascii="Times New Roman" w:hAnsi="Times New Roman" w:cs="Times New Roman"/>
          <w:highlight w:val="none"/>
        </w:rPr>
      </w:pPr>
      <w:r>
        <w:rPr>
          <w:rFonts w:ascii="Times New Roman" w:hAnsi="Times New Roman" w:cs="Times New Roman"/>
          <w:highlight w:val="none"/>
        </w:rPr>
        <w:t>申领排污许可证情况：</w:t>
      </w:r>
      <w:r>
        <w:rPr>
          <w:rFonts w:hint="eastAsia" w:ascii="Times New Roman" w:hAnsi="Times New Roman" w:cs="Times New Roman"/>
          <w:highlight w:val="none"/>
        </w:rPr>
        <w:t>2020年10月31日，</w:t>
      </w:r>
      <w:r>
        <w:rPr>
          <w:rFonts w:ascii="Times New Roman" w:hAnsi="Times New Roman" w:cs="Times New Roman"/>
          <w:highlight w:val="none"/>
        </w:rPr>
        <w:t>山西太钢不锈钢股份有限公司</w:t>
      </w:r>
      <w:r>
        <w:rPr>
          <w:rFonts w:hint="eastAsia" w:ascii="Times New Roman" w:hAnsi="Times New Roman" w:cs="Times New Roman"/>
          <w:highlight w:val="none"/>
        </w:rPr>
        <w:t>申领了排污许可证。由于法人变更，</w:t>
      </w:r>
      <w:r>
        <w:rPr>
          <w:rFonts w:ascii="Times New Roman" w:hAnsi="Times New Roman" w:cs="Times New Roman"/>
          <w:highlight w:val="none"/>
        </w:rPr>
        <w:t>山西太钢不锈钢股份有限公司</w:t>
      </w:r>
      <w:r>
        <w:rPr>
          <w:rFonts w:hint="eastAsia" w:ascii="Times New Roman" w:hAnsi="Times New Roman" w:cs="Times New Roman"/>
          <w:highlight w:val="none"/>
        </w:rPr>
        <w:t>于</w:t>
      </w:r>
      <w:r>
        <w:rPr>
          <w:rFonts w:ascii="Times New Roman" w:hAnsi="Times New Roman" w:cs="Times New Roman"/>
          <w:highlight w:val="none"/>
        </w:rPr>
        <w:t>202</w:t>
      </w:r>
      <w:r>
        <w:rPr>
          <w:rFonts w:hint="eastAsia" w:ascii="Times New Roman" w:hAnsi="Times New Roman" w:cs="Times New Roman"/>
          <w:highlight w:val="none"/>
        </w:rPr>
        <w:t>1</w:t>
      </w:r>
      <w:r>
        <w:rPr>
          <w:rFonts w:ascii="Times New Roman" w:hAnsi="Times New Roman" w:cs="Times New Roman"/>
          <w:highlight w:val="none"/>
        </w:rPr>
        <w:t>年</w:t>
      </w:r>
      <w:r>
        <w:rPr>
          <w:rFonts w:hint="eastAsia" w:ascii="Times New Roman" w:hAnsi="Times New Roman" w:cs="Times New Roman"/>
          <w:highlight w:val="none"/>
        </w:rPr>
        <w:t>11</w:t>
      </w:r>
      <w:r>
        <w:rPr>
          <w:rFonts w:ascii="Times New Roman" w:hAnsi="Times New Roman" w:cs="Times New Roman"/>
          <w:highlight w:val="none"/>
        </w:rPr>
        <w:t>月</w:t>
      </w:r>
      <w:r>
        <w:rPr>
          <w:rFonts w:hint="eastAsia" w:ascii="Times New Roman" w:hAnsi="Times New Roman" w:cs="Times New Roman"/>
          <w:highlight w:val="none"/>
        </w:rPr>
        <w:t>09</w:t>
      </w:r>
      <w:r>
        <w:rPr>
          <w:rFonts w:ascii="Times New Roman" w:hAnsi="Times New Roman" w:cs="Times New Roman"/>
          <w:highlight w:val="none"/>
        </w:rPr>
        <w:t>日</w:t>
      </w:r>
      <w:r>
        <w:rPr>
          <w:rFonts w:hint="eastAsia" w:ascii="Times New Roman" w:hAnsi="Times New Roman" w:cs="Times New Roman"/>
          <w:highlight w:val="none"/>
        </w:rPr>
        <w:t>更换</w:t>
      </w:r>
      <w:r>
        <w:rPr>
          <w:rFonts w:ascii="Times New Roman" w:hAnsi="Times New Roman" w:cs="Times New Roman"/>
          <w:highlight w:val="none"/>
        </w:rPr>
        <w:t>了排污许可证，排污许可证证书编号：91140000701011888X001P，有效期限：自20</w:t>
      </w:r>
      <w:r>
        <w:rPr>
          <w:rFonts w:hint="eastAsia" w:ascii="Times New Roman" w:hAnsi="Times New Roman" w:cs="Times New Roman"/>
          <w:highlight w:val="none"/>
        </w:rPr>
        <w:t>21</w:t>
      </w:r>
      <w:r>
        <w:rPr>
          <w:rFonts w:ascii="Times New Roman" w:hAnsi="Times New Roman" w:cs="Times New Roman"/>
          <w:highlight w:val="none"/>
        </w:rPr>
        <w:t>年</w:t>
      </w:r>
      <w:r>
        <w:rPr>
          <w:rFonts w:hint="eastAsia" w:ascii="Times New Roman" w:hAnsi="Times New Roman" w:cs="Times New Roman"/>
          <w:highlight w:val="none"/>
        </w:rPr>
        <w:t>11</w:t>
      </w:r>
      <w:r>
        <w:rPr>
          <w:rFonts w:ascii="Times New Roman" w:hAnsi="Times New Roman" w:cs="Times New Roman"/>
          <w:highlight w:val="none"/>
        </w:rPr>
        <w:t>月</w:t>
      </w:r>
      <w:r>
        <w:rPr>
          <w:rFonts w:hint="eastAsia" w:ascii="Times New Roman" w:hAnsi="Times New Roman" w:cs="Times New Roman"/>
          <w:highlight w:val="none"/>
        </w:rPr>
        <w:t>09</w:t>
      </w:r>
      <w:r>
        <w:rPr>
          <w:rFonts w:ascii="Times New Roman" w:hAnsi="Times New Roman" w:cs="Times New Roman"/>
          <w:highlight w:val="none"/>
        </w:rPr>
        <w:t>日至202</w:t>
      </w:r>
      <w:r>
        <w:rPr>
          <w:rFonts w:hint="eastAsia" w:ascii="Times New Roman" w:hAnsi="Times New Roman" w:cs="Times New Roman"/>
          <w:highlight w:val="none"/>
        </w:rPr>
        <w:t>6</w:t>
      </w:r>
      <w:r>
        <w:rPr>
          <w:rFonts w:ascii="Times New Roman" w:hAnsi="Times New Roman" w:cs="Times New Roman"/>
          <w:highlight w:val="none"/>
        </w:rPr>
        <w:t>年</w:t>
      </w:r>
      <w:r>
        <w:rPr>
          <w:rFonts w:hint="eastAsia" w:ascii="Times New Roman" w:hAnsi="Times New Roman" w:cs="Times New Roman"/>
          <w:highlight w:val="none"/>
        </w:rPr>
        <w:t>11</w:t>
      </w:r>
      <w:r>
        <w:rPr>
          <w:rFonts w:ascii="Times New Roman" w:hAnsi="Times New Roman" w:cs="Times New Roman"/>
          <w:highlight w:val="none"/>
        </w:rPr>
        <w:t>月</w:t>
      </w:r>
      <w:r>
        <w:rPr>
          <w:rFonts w:hint="eastAsia" w:ascii="Times New Roman" w:hAnsi="Times New Roman" w:cs="Times New Roman"/>
          <w:highlight w:val="none"/>
        </w:rPr>
        <w:t>08</w:t>
      </w:r>
      <w:r>
        <w:rPr>
          <w:rFonts w:ascii="Times New Roman" w:hAnsi="Times New Roman" w:cs="Times New Roman"/>
          <w:highlight w:val="none"/>
        </w:rPr>
        <w:t>日止。</w:t>
      </w:r>
    </w:p>
    <w:p>
      <w:pPr>
        <w:pStyle w:val="4"/>
        <w:rPr>
          <w:rFonts w:ascii="Times New Roman" w:hAnsi="Times New Roman" w:cs="Times New Roman"/>
          <w:highlight w:val="none"/>
        </w:rPr>
      </w:pPr>
      <w:bookmarkStart w:id="2" w:name="_Toc28859"/>
      <w:r>
        <w:rPr>
          <w:rFonts w:ascii="Times New Roman" w:hAnsi="Times New Roman" w:cs="Times New Roman"/>
          <w:highlight w:val="none"/>
        </w:rPr>
        <w:t>1.2 验收工作由来</w:t>
      </w:r>
      <w:bookmarkEnd w:id="2"/>
    </w:p>
    <w:p>
      <w:pPr>
        <w:ind w:firstLine="560" w:firstLineChars="200"/>
        <w:rPr>
          <w:rFonts w:ascii="Times New Roman" w:hAnsi="Times New Roman" w:cs="Times New Roman"/>
          <w:highlight w:val="none"/>
        </w:rPr>
      </w:pPr>
      <w:r>
        <w:rPr>
          <w:rFonts w:ascii="Times New Roman" w:hAnsi="Times New Roman" w:cs="Times New Roman"/>
          <w:highlight w:val="none"/>
        </w:rPr>
        <w:t>2021年</w:t>
      </w:r>
      <w:r>
        <w:rPr>
          <w:rFonts w:hint="eastAsia" w:ascii="Times New Roman" w:hAnsi="Times New Roman" w:cs="Times New Roman"/>
          <w:highlight w:val="none"/>
          <w:lang w:val="en-US" w:eastAsia="zh-CN"/>
        </w:rPr>
        <w:t>4</w:t>
      </w:r>
      <w:r>
        <w:rPr>
          <w:rFonts w:ascii="Times New Roman" w:hAnsi="Times New Roman" w:cs="Times New Roman"/>
          <w:highlight w:val="none"/>
        </w:rPr>
        <w:t>月，本项目建设完成，按照中华人民共和国国务院令第682号《国务院关于修改〈建设项目环境保护管理条例〉的决定》（2017年10月1日）和中华人民共和国环境保护部国环规环评[2017]4号《建设项目竣工环境保护验收暂行办法》（2017年11月22日）及晋环许可函[2018]39号“关于做好建设项目环境保护管理相关工作的通知”的有关规定和要求，2021年9月，山西太钢不锈钢股份有限公司启动竣工环境保护验收监测工作。</w:t>
      </w:r>
    </w:p>
    <w:p>
      <w:pPr>
        <w:pStyle w:val="4"/>
        <w:rPr>
          <w:rFonts w:ascii="Times New Roman" w:hAnsi="Times New Roman" w:cs="Times New Roman"/>
          <w:highlight w:val="none"/>
        </w:rPr>
      </w:pPr>
      <w:bookmarkStart w:id="3" w:name="_Toc29816"/>
      <w:r>
        <w:rPr>
          <w:rFonts w:ascii="Times New Roman" w:hAnsi="Times New Roman" w:cs="Times New Roman"/>
          <w:highlight w:val="none"/>
        </w:rPr>
        <w:t>1.3 验收工作的组织与启动时间</w:t>
      </w:r>
      <w:bookmarkEnd w:id="3"/>
    </w:p>
    <w:p>
      <w:pPr>
        <w:ind w:firstLine="560" w:firstLineChars="200"/>
        <w:rPr>
          <w:rFonts w:ascii="Times New Roman" w:hAnsi="Times New Roman" w:cs="Times New Roman"/>
          <w:highlight w:val="none"/>
        </w:rPr>
      </w:pPr>
      <w:r>
        <w:rPr>
          <w:rFonts w:ascii="Times New Roman" w:hAnsi="Times New Roman" w:cs="Times New Roman"/>
          <w:highlight w:val="none"/>
        </w:rPr>
        <w:t>2021年9月，山西太钢不锈钢股份有限公司委托山西太钢工程技术有限公司进行“山西太钢不锈钢股份有限公司不锈钢生产线降噪减排综合治理改造项目”的验收工作。山西太钢工程技术有限公司成立验收工作小组，并委托山西太钢环境监测有限公司和上海金艺检测技术有限公司进行验收监测。</w:t>
      </w:r>
    </w:p>
    <w:p>
      <w:pPr>
        <w:pStyle w:val="4"/>
        <w:rPr>
          <w:rFonts w:ascii="Times New Roman" w:hAnsi="Times New Roman" w:cs="Times New Roman"/>
          <w:highlight w:val="none"/>
        </w:rPr>
      </w:pPr>
      <w:bookmarkStart w:id="4" w:name="_Toc21462"/>
      <w:r>
        <w:rPr>
          <w:rFonts w:ascii="Times New Roman" w:hAnsi="Times New Roman" w:cs="Times New Roman"/>
          <w:highlight w:val="none"/>
        </w:rPr>
        <w:t>1.4 验收范围与内容</w:t>
      </w:r>
      <w:bookmarkEnd w:id="4"/>
    </w:p>
    <w:p>
      <w:pPr>
        <w:ind w:firstLine="560" w:firstLineChars="200"/>
        <w:rPr>
          <w:rFonts w:ascii="Times New Roman" w:hAnsi="Times New Roman" w:cs="Times New Roman"/>
          <w:highlight w:val="none"/>
        </w:rPr>
      </w:pPr>
      <w:r>
        <w:rPr>
          <w:rFonts w:ascii="Times New Roman" w:hAnsi="Times New Roman" w:cs="Times New Roman"/>
          <w:highlight w:val="none"/>
        </w:rPr>
        <w:t>根据2019年1月编制完成的《山西太钢不锈钢股份有限公司不锈钢生产线降噪减排综合治理改造项目环境影响评价报告书》及其批复，本次验收范围与内容如下：</w:t>
      </w:r>
    </w:p>
    <w:p>
      <w:pPr>
        <w:ind w:firstLine="560" w:firstLineChars="200"/>
        <w:rPr>
          <w:rFonts w:ascii="Times New Roman" w:hAnsi="Times New Roman" w:cs="Times New Roman"/>
          <w:highlight w:val="none"/>
        </w:rPr>
      </w:pPr>
      <w:r>
        <w:rPr>
          <w:rFonts w:ascii="Times New Roman" w:hAnsi="Times New Roman" w:cs="Times New Roman"/>
          <w:highlight w:val="none"/>
        </w:rPr>
        <w:t>（1）配套1套30t合金熔化装置。</w:t>
      </w:r>
    </w:p>
    <w:p>
      <w:pPr>
        <w:ind w:firstLine="560" w:firstLineChars="200"/>
        <w:rPr>
          <w:rFonts w:ascii="Times New Roman" w:hAnsi="Times New Roman" w:cs="Times New Roman"/>
          <w:highlight w:val="none"/>
        </w:rPr>
      </w:pPr>
      <w:r>
        <w:rPr>
          <w:rFonts w:ascii="Times New Roman" w:hAnsi="Times New Roman" w:cs="Times New Roman"/>
          <w:highlight w:val="none"/>
        </w:rPr>
        <w:t>（2）改造现有90t电炉120万m³/h的布袋除尘器，风量增加至150万m³/h，扩容除尘器箱体，新增过滤面积为24715m²，将现有500g涤纶针刺毡更换为550g超细纤维滤料，电炉和合金熔化装置产生的废气经改造扩容后的除尘器处理，经2个排气筒排放，排放浓度低于10mg/Nm³。</w:t>
      </w:r>
    </w:p>
    <w:p>
      <w:pPr>
        <w:ind w:firstLine="560" w:firstLineChars="200"/>
        <w:rPr>
          <w:rFonts w:ascii="Times New Roman" w:hAnsi="Times New Roman" w:cs="Times New Roman"/>
          <w:highlight w:val="none"/>
        </w:rPr>
      </w:pPr>
      <w:r>
        <w:rPr>
          <w:rFonts w:ascii="Times New Roman" w:hAnsi="Times New Roman" w:cs="Times New Roman"/>
          <w:highlight w:val="none"/>
        </w:rPr>
        <w:t>（3）对新建车间墙面及屋面全部采用吸声材料进行隔音降噪，除尘器电机采用隔声间全封闭，风机采用岩棉包扎、基础减振措施进行降噪，排放筒增设消声器。</w:t>
      </w:r>
    </w:p>
    <w:p>
      <w:pPr>
        <w:pStyle w:val="4"/>
        <w:rPr>
          <w:rFonts w:ascii="Times New Roman" w:hAnsi="Times New Roman" w:cs="Times New Roman"/>
          <w:highlight w:val="none"/>
        </w:rPr>
      </w:pPr>
      <w:bookmarkStart w:id="5" w:name="_Toc1898"/>
      <w:r>
        <w:rPr>
          <w:rFonts w:ascii="Times New Roman" w:hAnsi="Times New Roman" w:cs="Times New Roman"/>
          <w:highlight w:val="none"/>
        </w:rPr>
        <w:t>1.5 验收监测及验收报告形成过程</w:t>
      </w:r>
      <w:bookmarkEnd w:id="5"/>
    </w:p>
    <w:p>
      <w:pPr>
        <w:ind w:firstLine="560" w:firstLineChars="200"/>
        <w:rPr>
          <w:rFonts w:ascii="Times New Roman" w:hAnsi="Times New Roman" w:cs="Times New Roman"/>
        </w:rPr>
      </w:pPr>
      <w:r>
        <w:rPr>
          <w:rFonts w:ascii="Times New Roman" w:hAnsi="Times New Roman" w:cs="Times New Roman"/>
          <w:highlight w:val="none"/>
        </w:rPr>
        <w:t>山西太钢工程技术有限公司于2021年</w:t>
      </w:r>
      <w:r>
        <w:rPr>
          <w:rFonts w:hint="eastAsia" w:ascii="Times New Roman" w:hAnsi="Times New Roman" w:cs="Times New Roman"/>
          <w:highlight w:val="none"/>
          <w:lang w:val="en-US" w:eastAsia="zh-CN"/>
        </w:rPr>
        <w:t>6</w:t>
      </w:r>
      <w:r>
        <w:rPr>
          <w:rFonts w:ascii="Times New Roman" w:hAnsi="Times New Roman" w:cs="Times New Roman"/>
          <w:highlight w:val="none"/>
        </w:rPr>
        <w:t>月编制了</w:t>
      </w:r>
      <w:r>
        <w:rPr>
          <w:rFonts w:ascii="Times New Roman" w:hAnsi="Times New Roman" w:cs="Times New Roman"/>
        </w:rPr>
        <w:t>《山西太钢不锈钢股份有限公司不锈钢生产线降噪减排综合治理改造项目竣工环境保护验收监测方案》，委托山西太钢环境监测有限公司和上海金艺检测技术有限公司进行验收监测工作。</w:t>
      </w:r>
    </w:p>
    <w:p>
      <w:pPr>
        <w:ind w:firstLine="560" w:firstLineChars="200"/>
        <w:rPr>
          <w:rFonts w:ascii="Times New Roman" w:hAnsi="Times New Roman" w:cs="Times New Roman"/>
        </w:rPr>
      </w:pPr>
      <w:r>
        <w:rPr>
          <w:rFonts w:ascii="Times New Roman" w:hAnsi="Times New Roman" w:cs="Times New Roman"/>
        </w:rPr>
        <w:t>2021年9月7日-8日，山西太钢环境监测有限公司对该项目产生和排放的颗粒物、氟化物进行了监测，2021年9月11日-14日上海金艺检测技术有限公司对该项目产生和排放的二噁英进行了监测，并出具了监测数据报告。</w:t>
      </w:r>
    </w:p>
    <w:p>
      <w:pPr>
        <w:ind w:firstLine="560" w:firstLineChars="200"/>
        <w:rPr>
          <w:rFonts w:ascii="Times New Roman" w:hAnsi="Times New Roman" w:cs="Times New Roman"/>
        </w:rPr>
      </w:pPr>
      <w:r>
        <w:rPr>
          <w:rFonts w:ascii="Times New Roman" w:hAnsi="Times New Roman" w:cs="Times New Roman"/>
        </w:rPr>
        <w:t>根据中华人民共和国国务院令第682号《国务院关于修改〈建设项目环境保护管理条例〉的决定》（2017年10月1日）、中华人民共和国环境保护部国环规环评[2017]4号《建设项目竣工环境保护验收暂行办法》（2017年11月22日）、晋环许可函[2018]39号“关于做好建设项目环境保护管理相关工作的通知”的有关规定和要求，按照《建设项目竣工环境保护验收技术指南 污染影响类》的相关要求，并结合山西太钢环境监测有限公司和上海金艺检测技术有限公司出具的监测数据报告，山西太钢工程技术有限公司组织编制了《山西太钢不锈钢股份有限公司不锈钢生产线降噪减排综合治理改造项目竣工环境保护验收监测报告》，作为自主验收依据。</w:t>
      </w:r>
    </w:p>
    <w:p>
      <w:pPr>
        <w:rPr>
          <w:rFonts w:ascii="Times New Roman" w:hAnsi="Times New Roman" w:cs="Times New Roman"/>
        </w:rPr>
      </w:pPr>
    </w:p>
    <w:p>
      <w:pPr>
        <w:pStyle w:val="3"/>
        <w:rPr>
          <w:rFonts w:ascii="Times New Roman" w:hAnsi="Times New Roman" w:cs="Times New Roman"/>
        </w:rPr>
        <w:sectPr>
          <w:footerReference r:id="rId7" w:type="default"/>
          <w:pgSz w:w="11906" w:h="16838"/>
          <w:pgMar w:top="1440" w:right="1800" w:bottom="1440" w:left="1800" w:header="851" w:footer="992" w:gutter="0"/>
          <w:pgNumType w:start="1"/>
          <w:cols w:space="720" w:num="1"/>
          <w:docGrid w:type="lines" w:linePitch="312" w:charSpace="0"/>
        </w:sectPr>
      </w:pPr>
    </w:p>
    <w:p>
      <w:pPr>
        <w:pStyle w:val="3"/>
        <w:rPr>
          <w:rFonts w:ascii="Times New Roman" w:hAnsi="Times New Roman" w:cs="Times New Roman"/>
        </w:rPr>
      </w:pPr>
      <w:bookmarkStart w:id="6" w:name="_Toc849"/>
      <w:r>
        <w:rPr>
          <w:rFonts w:ascii="Times New Roman" w:hAnsi="Times New Roman" w:cs="Times New Roman"/>
        </w:rPr>
        <w:t>2 验收依据</w:t>
      </w:r>
      <w:bookmarkEnd w:id="6"/>
    </w:p>
    <w:p>
      <w:pPr>
        <w:pStyle w:val="4"/>
        <w:rPr>
          <w:rFonts w:ascii="Times New Roman" w:hAnsi="Times New Roman" w:cs="Times New Roman"/>
        </w:rPr>
      </w:pPr>
      <w:bookmarkStart w:id="7" w:name="_Toc26789"/>
      <w:r>
        <w:rPr>
          <w:rFonts w:ascii="Times New Roman" w:hAnsi="Times New Roman" w:cs="Times New Roman"/>
        </w:rPr>
        <w:t>2.1 建设项目环境保护相关法律、法规和规章制度</w:t>
      </w:r>
      <w:bookmarkEnd w:id="7"/>
    </w:p>
    <w:p>
      <w:pPr>
        <w:ind w:firstLine="560" w:firstLineChars="200"/>
        <w:rPr>
          <w:rFonts w:ascii="Times New Roman" w:hAnsi="Times New Roman" w:cs="Times New Roman"/>
        </w:rPr>
      </w:pPr>
      <w:r>
        <w:rPr>
          <w:rFonts w:ascii="Times New Roman" w:hAnsi="Times New Roman" w:cs="Times New Roman"/>
        </w:rPr>
        <w:t>1、《中华人民共和国环境保护法》（2015年1月1日实施）；</w:t>
      </w:r>
    </w:p>
    <w:p>
      <w:pPr>
        <w:ind w:firstLine="560" w:firstLineChars="200"/>
        <w:rPr>
          <w:rFonts w:ascii="Times New Roman" w:hAnsi="Times New Roman" w:cs="Times New Roman"/>
        </w:rPr>
      </w:pPr>
      <w:r>
        <w:rPr>
          <w:rFonts w:ascii="Times New Roman" w:hAnsi="Times New Roman" w:cs="Times New Roman"/>
        </w:rPr>
        <w:t>2、《中华人民共和国环境影响评价法》（2018年12月29日实施）；</w:t>
      </w:r>
    </w:p>
    <w:p>
      <w:pPr>
        <w:ind w:firstLine="560" w:firstLineChars="200"/>
        <w:rPr>
          <w:rFonts w:ascii="Times New Roman" w:hAnsi="Times New Roman" w:cs="Times New Roman"/>
        </w:rPr>
      </w:pPr>
      <w:r>
        <w:rPr>
          <w:rFonts w:ascii="Times New Roman" w:hAnsi="Times New Roman" w:cs="Times New Roman"/>
        </w:rPr>
        <w:t>3、《中华人民共和国清洁生产促进法》（2012年7月1日实施）；</w:t>
      </w:r>
    </w:p>
    <w:p>
      <w:pPr>
        <w:ind w:firstLine="560" w:firstLineChars="200"/>
        <w:rPr>
          <w:rFonts w:ascii="Times New Roman" w:hAnsi="Times New Roman" w:cs="Times New Roman"/>
        </w:rPr>
      </w:pPr>
      <w:r>
        <w:rPr>
          <w:rFonts w:ascii="Times New Roman" w:hAnsi="Times New Roman" w:cs="Times New Roman"/>
        </w:rPr>
        <w:t>4、《中华人民共和国大气污染防治法》（2018年10月26日实施）；</w:t>
      </w:r>
    </w:p>
    <w:p>
      <w:pPr>
        <w:ind w:firstLine="560" w:firstLineChars="200"/>
        <w:rPr>
          <w:rFonts w:ascii="Times New Roman" w:hAnsi="Times New Roman" w:cs="Times New Roman"/>
        </w:rPr>
      </w:pPr>
      <w:r>
        <w:rPr>
          <w:rFonts w:ascii="Times New Roman" w:hAnsi="Times New Roman" w:cs="Times New Roman"/>
        </w:rPr>
        <w:t>5、《中华人民共和国水污染防治法》(2018年1月1日实施)；</w:t>
      </w:r>
    </w:p>
    <w:p>
      <w:pPr>
        <w:ind w:firstLine="560" w:firstLineChars="200"/>
        <w:rPr>
          <w:rFonts w:ascii="Times New Roman" w:hAnsi="Times New Roman" w:cs="Times New Roman"/>
        </w:rPr>
      </w:pPr>
      <w:r>
        <w:rPr>
          <w:rFonts w:ascii="Times New Roman" w:hAnsi="Times New Roman" w:cs="Times New Roman"/>
        </w:rPr>
        <w:t>6、《中华人民共和国固体废物污染环境防治法》（2020年9月1日实施）；</w:t>
      </w:r>
    </w:p>
    <w:p>
      <w:pPr>
        <w:ind w:firstLine="560" w:firstLineChars="200"/>
        <w:rPr>
          <w:rFonts w:ascii="Times New Roman" w:hAnsi="Times New Roman" w:cs="Times New Roman"/>
        </w:rPr>
      </w:pPr>
      <w:r>
        <w:rPr>
          <w:rFonts w:ascii="Times New Roman" w:hAnsi="Times New Roman" w:cs="Times New Roman"/>
        </w:rPr>
        <w:t>7、《中华人民共和国环境噪声污染防治法》（2018年12月29日实施）；</w:t>
      </w:r>
    </w:p>
    <w:p>
      <w:pPr>
        <w:ind w:firstLine="560" w:firstLineChars="200"/>
        <w:rPr>
          <w:rFonts w:ascii="Times New Roman" w:hAnsi="Times New Roman" w:cs="Times New Roman"/>
        </w:rPr>
      </w:pPr>
      <w:r>
        <w:rPr>
          <w:rFonts w:ascii="Times New Roman" w:hAnsi="Times New Roman" w:cs="Times New Roman"/>
        </w:rPr>
        <w:t>8、《建设项目环境保护管理条例》（2017年10月1日实施）；</w:t>
      </w:r>
    </w:p>
    <w:p>
      <w:pPr>
        <w:ind w:firstLine="560" w:firstLineChars="200"/>
        <w:rPr>
          <w:rFonts w:ascii="Times New Roman" w:hAnsi="Times New Roman" w:cs="Times New Roman"/>
        </w:rPr>
      </w:pPr>
      <w:r>
        <w:rPr>
          <w:rFonts w:ascii="Times New Roman" w:hAnsi="Times New Roman" w:cs="Times New Roman"/>
        </w:rPr>
        <w:t>9、《山西省环境保护条例》（2017年3月1日）；</w:t>
      </w:r>
    </w:p>
    <w:p>
      <w:pPr>
        <w:ind w:firstLine="560" w:firstLineChars="200"/>
        <w:rPr>
          <w:rFonts w:ascii="Times New Roman" w:hAnsi="Times New Roman" w:cs="Times New Roman"/>
        </w:rPr>
      </w:pPr>
      <w:r>
        <w:rPr>
          <w:rFonts w:ascii="Times New Roman" w:hAnsi="Times New Roman" w:cs="Times New Roman"/>
        </w:rPr>
        <w:t>10、《山西省泉域水资源保护条例》（2010年11月26日）。</w:t>
      </w:r>
    </w:p>
    <w:p>
      <w:pPr>
        <w:pStyle w:val="4"/>
        <w:rPr>
          <w:rFonts w:ascii="Times New Roman" w:hAnsi="Times New Roman" w:cs="Times New Roman"/>
        </w:rPr>
      </w:pPr>
      <w:bookmarkStart w:id="8" w:name="_Toc5822"/>
      <w:r>
        <w:rPr>
          <w:rFonts w:ascii="Times New Roman" w:hAnsi="Times New Roman" w:cs="Times New Roman"/>
        </w:rPr>
        <w:t>2.2 建设项目竣工环境保护验收技术规范</w:t>
      </w:r>
      <w:bookmarkEnd w:id="8"/>
    </w:p>
    <w:p>
      <w:pPr>
        <w:ind w:firstLine="560" w:firstLineChars="200"/>
        <w:rPr>
          <w:rFonts w:ascii="Times New Roman" w:hAnsi="Times New Roman" w:cs="Times New Roman"/>
        </w:rPr>
      </w:pPr>
      <w:r>
        <w:rPr>
          <w:rFonts w:ascii="Times New Roman" w:hAnsi="Times New Roman" w:cs="Times New Roman"/>
        </w:rPr>
        <w:t>1、《建设项目竣工环境保护验收暂行办法》（国环规环评[2017]4号，2017年11月22日）；</w:t>
      </w:r>
    </w:p>
    <w:p>
      <w:pPr>
        <w:ind w:firstLine="560" w:firstLineChars="200"/>
        <w:rPr>
          <w:rFonts w:ascii="Times New Roman" w:hAnsi="Times New Roman" w:cs="Times New Roman"/>
        </w:rPr>
      </w:pPr>
      <w:r>
        <w:rPr>
          <w:rFonts w:ascii="Times New Roman" w:hAnsi="Times New Roman" w:cs="Times New Roman"/>
        </w:rPr>
        <w:t>2、《建设项目竣工环境保护验收技术指南 污染影响类》（生态环境保护部公告2018年第9号，2018年5月15日）；</w:t>
      </w:r>
    </w:p>
    <w:p>
      <w:pPr>
        <w:ind w:firstLine="560" w:firstLineChars="200"/>
        <w:rPr>
          <w:rFonts w:ascii="Times New Roman" w:hAnsi="Times New Roman" w:cs="Times New Roman"/>
        </w:rPr>
      </w:pPr>
      <w:r>
        <w:rPr>
          <w:rFonts w:ascii="Times New Roman" w:hAnsi="Times New Roman" w:cs="Times New Roman"/>
        </w:rPr>
        <w:t>3、《建设项目竣工环境保护设施验收技术规范  钢铁工业》（HJ404-2021）；</w:t>
      </w:r>
    </w:p>
    <w:p>
      <w:pPr>
        <w:ind w:firstLine="560" w:firstLineChars="200"/>
        <w:rPr>
          <w:rFonts w:ascii="Times New Roman" w:hAnsi="Times New Roman" w:cs="Times New Roman"/>
        </w:rPr>
      </w:pPr>
      <w:r>
        <w:rPr>
          <w:rFonts w:ascii="Times New Roman" w:hAnsi="Times New Roman" w:cs="Times New Roman"/>
        </w:rPr>
        <w:t>4、《山西省钢铁工业大气污染物排放标准》（DB14/2249-2020）；</w:t>
      </w:r>
    </w:p>
    <w:p>
      <w:pPr>
        <w:ind w:firstLine="560" w:firstLineChars="200"/>
        <w:rPr>
          <w:rFonts w:ascii="Times New Roman" w:hAnsi="Times New Roman" w:cs="Times New Roman"/>
        </w:rPr>
      </w:pPr>
      <w:r>
        <w:rPr>
          <w:rFonts w:ascii="Times New Roman" w:hAnsi="Times New Roman" w:cs="Times New Roman"/>
        </w:rPr>
        <w:t>5、《工业企业厂界环境噪声排放标准》（GB12348-2008）；</w:t>
      </w:r>
    </w:p>
    <w:p>
      <w:pPr>
        <w:ind w:firstLine="560" w:firstLineChars="200"/>
        <w:rPr>
          <w:rFonts w:ascii="Times New Roman" w:hAnsi="Times New Roman" w:cs="Times New Roman"/>
        </w:rPr>
      </w:pPr>
      <w:r>
        <w:rPr>
          <w:rFonts w:ascii="Times New Roman" w:hAnsi="Times New Roman" w:cs="Times New Roman"/>
        </w:rPr>
        <w:t>6、《一般工业固体废物贮存、处置场污染控制标准》（GB 18599-2020）；</w:t>
      </w:r>
    </w:p>
    <w:p>
      <w:pPr>
        <w:ind w:firstLine="560" w:firstLineChars="200"/>
        <w:rPr>
          <w:rFonts w:ascii="Times New Roman" w:hAnsi="Times New Roman" w:cs="Times New Roman"/>
        </w:rPr>
      </w:pPr>
      <w:r>
        <w:rPr>
          <w:rFonts w:ascii="Times New Roman" w:hAnsi="Times New Roman" w:cs="Times New Roman"/>
        </w:rPr>
        <w:t>7、《危险废物贮存污染控制标准》（GB18597-2001）和环保部公告2013年第36号修改单。</w:t>
      </w:r>
    </w:p>
    <w:p>
      <w:pPr>
        <w:pStyle w:val="4"/>
        <w:rPr>
          <w:rFonts w:ascii="Times New Roman" w:hAnsi="Times New Roman" w:cs="Times New Roman"/>
        </w:rPr>
      </w:pPr>
      <w:bookmarkStart w:id="9" w:name="_Toc30368"/>
      <w:r>
        <w:rPr>
          <w:rFonts w:ascii="Times New Roman" w:hAnsi="Times New Roman" w:cs="Times New Roman"/>
        </w:rPr>
        <w:t>2.3 建设项目环境影响报告书及其审批部门审批决定</w:t>
      </w:r>
      <w:bookmarkEnd w:id="9"/>
    </w:p>
    <w:p>
      <w:pPr>
        <w:ind w:firstLine="560" w:firstLineChars="200"/>
        <w:rPr>
          <w:rFonts w:ascii="Times New Roman" w:hAnsi="Times New Roman" w:cs="Times New Roman"/>
        </w:rPr>
      </w:pPr>
      <w:r>
        <w:rPr>
          <w:rFonts w:ascii="Times New Roman" w:hAnsi="Times New Roman" w:cs="Times New Roman"/>
        </w:rPr>
        <w:t>1、《山西太钢不锈钢股份有限公司不锈钢生产线降噪减排综合治理改造项目环境影响报告书》（山西清源环境咨询有限公司，2019年1月）；</w:t>
      </w:r>
    </w:p>
    <w:p>
      <w:pPr>
        <w:ind w:firstLine="560" w:firstLineChars="200"/>
        <w:rPr>
          <w:rFonts w:ascii="Times New Roman" w:hAnsi="Times New Roman" w:cs="Times New Roman"/>
        </w:rPr>
      </w:pPr>
      <w:r>
        <w:rPr>
          <w:rFonts w:ascii="Times New Roman" w:hAnsi="Times New Roman" w:cs="Times New Roman"/>
        </w:rPr>
        <w:t>2、《关于山西太钢不锈钢股份有限公司不锈钢生产线降噪减排综合治理改造项目环境影响报告书的批复》（太原市环境保护局尖草坪分局，2019年2月25日，并环尖审批[2019]第01号）。</w:t>
      </w:r>
    </w:p>
    <w:p>
      <w:pPr>
        <w:pStyle w:val="4"/>
        <w:rPr>
          <w:rFonts w:ascii="Times New Roman" w:hAnsi="Times New Roman" w:cs="Times New Roman"/>
        </w:rPr>
      </w:pPr>
      <w:bookmarkStart w:id="10" w:name="_Toc19235"/>
      <w:r>
        <w:rPr>
          <w:rFonts w:ascii="Times New Roman" w:hAnsi="Times New Roman" w:cs="Times New Roman"/>
        </w:rPr>
        <w:t>2.4 其他相关文件</w:t>
      </w:r>
      <w:bookmarkEnd w:id="10"/>
    </w:p>
    <w:p>
      <w:pPr>
        <w:ind w:firstLine="560" w:firstLineChars="200"/>
        <w:rPr>
          <w:rFonts w:ascii="Times New Roman" w:hAnsi="Times New Roman" w:cs="Times New Roman"/>
        </w:rPr>
      </w:pPr>
      <w:r>
        <w:rPr>
          <w:rFonts w:ascii="Times New Roman" w:hAnsi="Times New Roman" w:cs="Times New Roman"/>
        </w:rPr>
        <w:t>1、《山西太钢不锈钢股份有限公司不锈钢生产线降噪减排综合治理改造项目备案》（太原市尖草坪区经济和信息化局，2018年5月15日，草坪经信备字[2018]9号）；</w:t>
      </w:r>
    </w:p>
    <w:p>
      <w:pPr>
        <w:ind w:firstLine="560" w:firstLineChars="200"/>
        <w:rPr>
          <w:rFonts w:ascii="Times New Roman" w:hAnsi="Times New Roman" w:cs="Times New Roman"/>
        </w:rPr>
      </w:pPr>
      <w:r>
        <w:rPr>
          <w:rFonts w:ascii="Times New Roman" w:hAnsi="Times New Roman" w:cs="Times New Roman"/>
        </w:rPr>
        <w:t>2、排污许可证证书编号：91140000701011888X001P，单位名称：山西太钢不锈钢股份有限公司，有效期限：自202</w:t>
      </w:r>
      <w:r>
        <w:rPr>
          <w:rFonts w:hint="eastAsia" w:ascii="Times New Roman" w:hAnsi="Times New Roman" w:cs="Times New Roman"/>
        </w:rPr>
        <w:t>1</w:t>
      </w:r>
      <w:r>
        <w:rPr>
          <w:rFonts w:ascii="Times New Roman" w:hAnsi="Times New Roman" w:cs="Times New Roman"/>
        </w:rPr>
        <w:t>年1</w:t>
      </w:r>
      <w:r>
        <w:rPr>
          <w:rFonts w:hint="eastAsia" w:ascii="Times New Roman" w:hAnsi="Times New Roman" w:cs="Times New Roman"/>
        </w:rPr>
        <w:t>1</w:t>
      </w:r>
      <w:r>
        <w:rPr>
          <w:rFonts w:ascii="Times New Roman" w:hAnsi="Times New Roman" w:cs="Times New Roman"/>
        </w:rPr>
        <w:t>月</w:t>
      </w:r>
      <w:r>
        <w:rPr>
          <w:rFonts w:hint="eastAsia" w:ascii="Times New Roman" w:hAnsi="Times New Roman" w:cs="Times New Roman"/>
        </w:rPr>
        <w:t>09</w:t>
      </w:r>
      <w:r>
        <w:rPr>
          <w:rFonts w:ascii="Times New Roman" w:hAnsi="Times New Roman" w:cs="Times New Roman"/>
        </w:rPr>
        <w:t>日至202</w:t>
      </w:r>
      <w:r>
        <w:rPr>
          <w:rFonts w:hint="eastAsia" w:ascii="Times New Roman" w:hAnsi="Times New Roman" w:cs="Times New Roman"/>
        </w:rPr>
        <w:t>6</w:t>
      </w:r>
      <w:r>
        <w:rPr>
          <w:rFonts w:ascii="Times New Roman" w:hAnsi="Times New Roman" w:cs="Times New Roman"/>
        </w:rPr>
        <w:t>年</w:t>
      </w:r>
      <w:r>
        <w:rPr>
          <w:rFonts w:hint="eastAsia" w:ascii="Times New Roman" w:hAnsi="Times New Roman" w:cs="Times New Roman"/>
        </w:rPr>
        <w:t>11</w:t>
      </w:r>
      <w:r>
        <w:rPr>
          <w:rFonts w:ascii="Times New Roman" w:hAnsi="Times New Roman" w:cs="Times New Roman"/>
        </w:rPr>
        <w:t>月</w:t>
      </w:r>
      <w:r>
        <w:rPr>
          <w:rFonts w:hint="eastAsia" w:ascii="Times New Roman" w:hAnsi="Times New Roman" w:cs="Times New Roman"/>
        </w:rPr>
        <w:t>08</w:t>
      </w:r>
      <w:r>
        <w:rPr>
          <w:rFonts w:ascii="Times New Roman" w:hAnsi="Times New Roman" w:cs="Times New Roman"/>
        </w:rPr>
        <w:t>日止。</w:t>
      </w:r>
    </w:p>
    <w:p>
      <w:pPr>
        <w:ind w:firstLine="560" w:firstLineChars="200"/>
        <w:rPr>
          <w:rFonts w:ascii="Times New Roman" w:hAnsi="Times New Roman" w:cs="Times New Roman"/>
        </w:rPr>
      </w:pPr>
    </w:p>
    <w:p>
      <w:pPr>
        <w:ind w:firstLine="560" w:firstLineChars="200"/>
        <w:rPr>
          <w:rFonts w:ascii="Times New Roman" w:hAnsi="Times New Roman" w:cs="Times New Roman"/>
        </w:rPr>
      </w:pP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11" w:name="_Toc6415"/>
      <w:r>
        <w:rPr>
          <w:rFonts w:ascii="Times New Roman" w:hAnsi="Times New Roman" w:cs="Times New Roman"/>
        </w:rPr>
        <w:t>3 项目建设情况</w:t>
      </w:r>
      <w:bookmarkEnd w:id="11"/>
    </w:p>
    <w:p>
      <w:pPr>
        <w:pStyle w:val="4"/>
        <w:rPr>
          <w:rFonts w:ascii="Times New Roman" w:hAnsi="Times New Roman" w:cs="Times New Roman"/>
        </w:rPr>
      </w:pPr>
      <w:bookmarkStart w:id="12" w:name="_Toc5407"/>
      <w:r>
        <w:rPr>
          <w:rFonts w:ascii="Times New Roman" w:hAnsi="Times New Roman" w:cs="Times New Roman"/>
        </w:rPr>
        <w:t>3.1 地理位置及平面布置</w:t>
      </w:r>
      <w:bookmarkEnd w:id="12"/>
    </w:p>
    <w:p>
      <w:pPr>
        <w:pStyle w:val="5"/>
        <w:rPr>
          <w:rFonts w:ascii="Times New Roman" w:hAnsi="Times New Roman" w:cs="Times New Roman"/>
        </w:rPr>
      </w:pPr>
      <w:r>
        <w:rPr>
          <w:rFonts w:ascii="Times New Roman" w:hAnsi="Times New Roman" w:cs="Times New Roman"/>
        </w:rPr>
        <w:t>3.1.1、地理位置</w:t>
      </w:r>
    </w:p>
    <w:p>
      <w:pPr>
        <w:ind w:firstLine="560" w:firstLineChars="200"/>
        <w:rPr>
          <w:rFonts w:ascii="Times New Roman" w:hAnsi="Times New Roman" w:cs="Times New Roman"/>
        </w:rPr>
      </w:pPr>
      <w:r>
        <w:rPr>
          <w:rFonts w:ascii="Times New Roman" w:hAnsi="Times New Roman" w:cs="Times New Roman"/>
        </w:rPr>
        <w:t>本项目位于山西省太原市尖草坪区太钢不锈钢股份有限公司厂区内。</w:t>
      </w:r>
    </w:p>
    <w:p>
      <w:pPr>
        <w:ind w:firstLine="560" w:firstLineChars="200"/>
        <w:rPr>
          <w:rFonts w:ascii="Times New Roman" w:hAnsi="Times New Roman" w:cs="Times New Roman"/>
        </w:rPr>
      </w:pPr>
      <w:r>
        <w:rPr>
          <w:rFonts w:ascii="Times New Roman" w:hAnsi="Times New Roman" w:cs="Times New Roman"/>
        </w:rPr>
        <w:t>太原市是山西省的省会城市，位于省境中央，地理坐标为北纬37°27′～38°25′，东经111°09′～113°09′，市区海拔高度810m。本市地处南北同蒲铁路和石太铁路的交汇处，是全省政治、经济、文化中心，也是全国主要的重工业城市之一。全市总面积6909km²。太原市辖清徐、阳曲、娄烦3县及古交市，市区设迎泽、杏花岭、万柏林、小店、尖草坪和晋源6个区。</w:t>
      </w:r>
    </w:p>
    <w:p>
      <w:pPr>
        <w:ind w:firstLine="560" w:firstLineChars="200"/>
        <w:rPr>
          <w:rFonts w:ascii="Times New Roman" w:hAnsi="Times New Roman" w:cs="Times New Roman"/>
        </w:rPr>
      </w:pPr>
      <w:r>
        <w:rPr>
          <w:rFonts w:ascii="Times New Roman" w:hAnsi="Times New Roman" w:cs="Times New Roman"/>
        </w:rPr>
        <w:t>太钢不锈钢股份有限公司位于太原市北部的尖草坪区，处于太原盆地的北端，为太原市市区的上风向和汾河太原段的上游。东靠恒山路和太原北站枢纽第V分场；西侧是大同路，南邻市区中涧河区域，北与太原北站枢纽第VI车场(汾</w:t>
      </w:r>
      <w:bookmarkStart w:id="66" w:name="_GoBack"/>
      <w:bookmarkEnd w:id="66"/>
      <w:r>
        <w:rPr>
          <w:rFonts w:ascii="Times New Roman" w:hAnsi="Times New Roman" w:cs="Times New Roman"/>
        </w:rPr>
        <w:t>河站)相连。太钢厂区南北长约5km，中部东西宽约2km，总占地面积为891hm²。处于汾河东岸一级阶地上，地面绝对标高在793.00-800.45m之间，场地内西北略低，东南略高，地形较平坦。</w:t>
      </w:r>
    </w:p>
    <w:p>
      <w:pPr>
        <w:ind w:firstLine="560" w:firstLineChars="200"/>
        <w:rPr>
          <w:rFonts w:ascii="Times New Roman" w:hAnsi="Times New Roman" w:cs="Times New Roman"/>
        </w:rPr>
      </w:pPr>
      <w:r>
        <w:rPr>
          <w:rFonts w:ascii="Times New Roman" w:hAnsi="Times New Roman" w:cs="Times New Roman"/>
        </w:rPr>
        <w:t>本项目地理位置图详见附图一。</w:t>
      </w:r>
    </w:p>
    <w:p>
      <w:pPr>
        <w:pStyle w:val="5"/>
        <w:rPr>
          <w:rFonts w:ascii="Times New Roman" w:hAnsi="Times New Roman" w:cs="Times New Roman"/>
        </w:rPr>
      </w:pPr>
      <w:r>
        <w:rPr>
          <w:rFonts w:ascii="Times New Roman" w:hAnsi="Times New Roman" w:cs="Times New Roman"/>
        </w:rPr>
        <w:t>3.1.2、平面布置</w:t>
      </w:r>
    </w:p>
    <w:p>
      <w:pPr>
        <w:ind w:firstLine="560" w:firstLineChars="200"/>
        <w:rPr>
          <w:rFonts w:ascii="Times New Roman" w:hAnsi="Times New Roman" w:cs="Times New Roman"/>
        </w:rPr>
      </w:pPr>
      <w:r>
        <w:rPr>
          <w:rFonts w:ascii="Times New Roman" w:hAnsi="Times New Roman" w:cs="Times New Roman"/>
        </w:rPr>
        <w:t>本项目在太钢不锈钢股份有限公司厂区内炼钢一厂电炉车间原地实施技改，炼钢一厂位于太钢厂区南部，项目区东邻连铸线，南面为绿化带区域，西靠90t电炉的原料车间。地理坐标为37°40′11.87″，东经112°42′22.96″。</w:t>
      </w:r>
    </w:p>
    <w:p>
      <w:pPr>
        <w:ind w:firstLine="560" w:firstLineChars="200"/>
        <w:rPr>
          <w:rFonts w:ascii="Times New Roman" w:hAnsi="Times New Roman" w:cs="Times New Roman"/>
        </w:rPr>
      </w:pPr>
      <w:r>
        <w:rPr>
          <w:rFonts w:ascii="Times New Roman" w:hAnsi="Times New Roman" w:cs="Times New Roman"/>
        </w:rPr>
        <w:t>本次技改将原炼钢一厂电炉冶炼车间向南延长42m，将合金熔化装置放置在90t电炉南侧，现有拆炉站移至车间南侧B柱列以东（包括移动除尘罩轨道、拆炉坑）；现有炉壳存放台移至车间南侧。电炉料篮准备区移至合金熔化装置南侧区域。新增一条由连铸跨至电炉跨的钢包过跨线，增设1台旋转过跨车，可将合金熔化装置所用空钢包运至电炉跨。新增2套钢包倾翻台位于平台出钢侧，用于合金熔化装置出钢。在车间外东侧配套建设合金熔化装置上料坑，在合金熔化装置东侧，及车间B-C跨设置高位料仓及配套上料系统，汽车翻料入坑后由大倾角皮带送入上料系统。</w:t>
      </w:r>
    </w:p>
    <w:p>
      <w:pPr>
        <w:ind w:firstLine="560" w:firstLineChars="200"/>
        <w:rPr>
          <w:rFonts w:ascii="Times New Roman" w:hAnsi="Times New Roman" w:cs="Times New Roman"/>
        </w:rPr>
      </w:pPr>
      <w:r>
        <w:rPr>
          <w:rFonts w:ascii="Times New Roman" w:hAnsi="Times New Roman" w:cs="Times New Roman"/>
        </w:rPr>
        <w:t>本项目厂区总平面布置及四邻关系见附图二，车间平面布置见附图三。</w:t>
      </w:r>
    </w:p>
    <w:p>
      <w:pPr>
        <w:pStyle w:val="4"/>
        <w:rPr>
          <w:rFonts w:ascii="Times New Roman" w:hAnsi="Times New Roman" w:cs="Times New Roman"/>
        </w:rPr>
      </w:pPr>
      <w:bookmarkStart w:id="13" w:name="_Toc22246"/>
      <w:r>
        <w:rPr>
          <w:rFonts w:ascii="Times New Roman" w:hAnsi="Times New Roman" w:cs="Times New Roman"/>
        </w:rPr>
        <w:t>3.2 建设内容</w:t>
      </w:r>
      <w:bookmarkEnd w:id="13"/>
    </w:p>
    <w:p>
      <w:pPr>
        <w:pStyle w:val="5"/>
        <w:rPr>
          <w:rFonts w:ascii="Times New Roman" w:hAnsi="Times New Roman" w:cs="Times New Roman"/>
        </w:rPr>
      </w:pPr>
      <w:r>
        <w:rPr>
          <w:rFonts w:ascii="Times New Roman" w:hAnsi="Times New Roman" w:cs="Times New Roman"/>
        </w:rPr>
        <w:t>3.2.1 项目产品</w:t>
      </w:r>
    </w:p>
    <w:p>
      <w:pPr>
        <w:ind w:firstLine="560" w:firstLineChars="200"/>
        <w:rPr>
          <w:rFonts w:ascii="Times New Roman" w:hAnsi="Times New Roman" w:cs="Times New Roman"/>
        </w:rPr>
      </w:pPr>
      <w:r>
        <w:rPr>
          <w:rFonts w:ascii="Times New Roman" w:hAnsi="Times New Roman" w:cs="Times New Roman"/>
        </w:rPr>
        <w:t>本项目不锈钢生产线产品按不同生产方式分别为方坯、板坯，其中板坯年产量为40万吨，方坯年产量为10万吨。</w:t>
      </w:r>
    </w:p>
    <w:p>
      <w:pPr>
        <w:jc w:val="center"/>
        <w:rPr>
          <w:rFonts w:ascii="Times New Roman" w:hAnsi="Times New Roman" w:cs="Times New Roman"/>
        </w:rPr>
      </w:pPr>
      <w:r>
        <w:rPr>
          <w:rFonts w:ascii="Times New Roman" w:hAnsi="Times New Roman" w:cs="Times New Roman"/>
        </w:rPr>
        <w:t>表3-1  板坯产品方案表</w:t>
      </w:r>
    </w:p>
    <w:tbl>
      <w:tblPr>
        <w:tblStyle w:val="21"/>
        <w:tblW w:w="9174" w:type="dxa"/>
        <w:jc w:val="center"/>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
      <w:tblGrid>
        <w:gridCol w:w="2659"/>
        <w:gridCol w:w="1216"/>
        <w:gridCol w:w="5299"/>
      </w:tblGrid>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钢种</w:t>
            </w:r>
          </w:p>
        </w:tc>
        <w:tc>
          <w:tcPr>
            <w:tcW w:w="1216"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产量</w:t>
            </w:r>
          </w:p>
          <w:p>
            <w:pPr>
              <w:pStyle w:val="10"/>
              <w:spacing w:line="276" w:lineRule="auto"/>
              <w:rPr>
                <w:rFonts w:ascii="Times New Roman" w:hAnsi="Times New Roman" w:eastAsia="宋体" w:cs="Times New Roman"/>
                <w:b/>
                <w:bCs/>
              </w:rPr>
            </w:pPr>
            <w:r>
              <w:rPr>
                <w:rFonts w:ascii="Times New Roman" w:hAnsi="Times New Roman" w:eastAsia="宋体" w:cs="Times New Roman"/>
                <w:b/>
                <w:bCs/>
              </w:rPr>
              <w:t>(万t/年)</w:t>
            </w:r>
          </w:p>
        </w:tc>
        <w:tc>
          <w:tcPr>
            <w:tcW w:w="5299"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典型钢种</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304系列</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SUS304、06Cr19Ni10、304、304H、0Cr18Ni9DQ、0Cr18Ni9DDQ</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1Cr18Ni9Ti</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3.6</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0Cr18Ni10Ti、1Cr18Ni9Ti、SUS321</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SUS304J1</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4.3</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SUS304J1</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301系列</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1.2</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301、301B、301S、SUS301T、1Cr17Ni7、0Cr17Ni7</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316L（00Cr17Ni14Mo2）</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5.8</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316L、00Cr17Ni14Mo2</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0Cr16Ni14、0Cr18Ni12</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0.1</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0Cr16Ni14、0Cr18Ni12</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304L</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7.7</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304L、022Cr19Ni10、X2CrNi18-9</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钟表行业用钢</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0.7</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06Cr17Ni12Mo2、316</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301L</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00Cr17Ni7、301L</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0Cr25Ni20（耐热钢）</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0Cr25Ni20、309S、253MA、TD305B、1Cr25Ni20Si2</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2205(00Cr25Ni7Mo4N)</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1.7</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S31803、S32205、S32304、S32101、S32750</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核电用钢</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1.1</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Z2CN18-10、Z2CN17-12</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水电板</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0.25</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S135、S165</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347系列</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0.1</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347H、347</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317系列</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0.75</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317L、SUS317、317</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904L</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0.1</w:t>
            </w:r>
          </w:p>
        </w:tc>
        <w:tc>
          <w:tcPr>
            <w:tcW w:w="52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904L、1.4539</w:t>
            </w:r>
          </w:p>
        </w:tc>
      </w:tr>
      <w:tr>
        <w:tblPrEx>
          <w:tblBorders>
            <w:top w:val="single" w:color="000000" w:sz="8" w:space="0"/>
            <w:left w:val="single" w:color="000000" w:sz="2" w:space="0"/>
            <w:bottom w:val="single" w:color="000000" w:sz="2" w:space="0"/>
            <w:right w:val="single" w:color="000000" w:sz="8" w:space="0"/>
            <w:insideH w:val="single" w:color="000000" w:sz="8"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265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合计</w:t>
            </w:r>
          </w:p>
        </w:tc>
        <w:tc>
          <w:tcPr>
            <w:tcW w:w="121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40</w:t>
            </w:r>
          </w:p>
        </w:tc>
        <w:tc>
          <w:tcPr>
            <w:tcW w:w="5299" w:type="dxa"/>
            <w:vAlign w:val="center"/>
          </w:tcPr>
          <w:p>
            <w:pPr>
              <w:pStyle w:val="10"/>
              <w:spacing w:line="276" w:lineRule="auto"/>
              <w:rPr>
                <w:rFonts w:ascii="Times New Roman" w:hAnsi="Times New Roman" w:eastAsia="宋体" w:cs="Times New Roman"/>
              </w:rPr>
            </w:pPr>
          </w:p>
        </w:tc>
      </w:tr>
    </w:tbl>
    <w:p>
      <w:pPr>
        <w:ind w:firstLine="480"/>
        <w:jc w:val="center"/>
        <w:rPr>
          <w:rFonts w:ascii="Times New Roman" w:hAnsi="Times New Roman" w:cs="Times New Roman"/>
        </w:rPr>
      </w:pPr>
      <w:r>
        <w:rPr>
          <w:rFonts w:ascii="Times New Roman" w:hAnsi="Times New Roman" w:cs="Times New Roman"/>
        </w:rPr>
        <w:t>表3-2  方坯产品方案表</w:t>
      </w:r>
    </w:p>
    <w:tbl>
      <w:tblPr>
        <w:tblStyle w:val="21"/>
        <w:tblW w:w="917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06"/>
        <w:gridCol w:w="1334"/>
        <w:gridCol w:w="2541"/>
        <w:gridCol w:w="2394"/>
        <w:gridCol w:w="20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序号</w:t>
            </w:r>
          </w:p>
        </w:tc>
        <w:tc>
          <w:tcPr>
            <w:tcW w:w="1334"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用途</w:t>
            </w:r>
          </w:p>
        </w:tc>
        <w:tc>
          <w:tcPr>
            <w:tcW w:w="2541"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典型钢种</w:t>
            </w:r>
          </w:p>
        </w:tc>
        <w:tc>
          <w:tcPr>
            <w:tcW w:w="2394"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品种</w:t>
            </w:r>
          </w:p>
        </w:tc>
        <w:tc>
          <w:tcPr>
            <w:tcW w:w="2099"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产量（万t/年）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1334"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线材盘条</w:t>
            </w: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304</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304系</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continue"/>
            <w:vAlign w:val="center"/>
          </w:tcPr>
          <w:p>
            <w:pPr>
              <w:pStyle w:val="10"/>
              <w:spacing w:line="276" w:lineRule="auto"/>
              <w:rPr>
                <w:rFonts w:ascii="Times New Roman" w:hAnsi="Times New Roman" w:eastAsia="宋体" w:cs="Times New Roman"/>
              </w:rPr>
            </w:pPr>
          </w:p>
        </w:tc>
        <w:tc>
          <w:tcPr>
            <w:tcW w:w="1334" w:type="dxa"/>
            <w:vMerge w:val="continue"/>
            <w:vAlign w:val="center"/>
          </w:tcPr>
          <w:p>
            <w:pPr>
              <w:pStyle w:val="10"/>
              <w:spacing w:line="276" w:lineRule="auto"/>
              <w:rPr>
                <w:rFonts w:ascii="Times New Roman" w:hAnsi="Times New Roman" w:eastAsia="宋体" w:cs="Times New Roman"/>
              </w:rPr>
            </w:pP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316</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316系</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continue"/>
            <w:vAlign w:val="center"/>
          </w:tcPr>
          <w:p>
            <w:pPr>
              <w:pStyle w:val="10"/>
              <w:spacing w:line="276" w:lineRule="auto"/>
              <w:rPr>
                <w:rFonts w:ascii="Times New Roman" w:hAnsi="Times New Roman" w:eastAsia="宋体" w:cs="Times New Roman"/>
              </w:rPr>
            </w:pPr>
          </w:p>
        </w:tc>
        <w:tc>
          <w:tcPr>
            <w:tcW w:w="1334" w:type="dxa"/>
            <w:vMerge w:val="continue"/>
            <w:vAlign w:val="center"/>
          </w:tcPr>
          <w:p>
            <w:pPr>
              <w:pStyle w:val="10"/>
              <w:spacing w:line="276" w:lineRule="auto"/>
              <w:rPr>
                <w:rFonts w:ascii="Times New Roman" w:hAnsi="Times New Roman" w:eastAsia="宋体" w:cs="Times New Roman"/>
              </w:rPr>
            </w:pP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S32205、0Cr25Ni20</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双相、耐热钢</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continue"/>
            <w:vAlign w:val="center"/>
          </w:tcPr>
          <w:p>
            <w:pPr>
              <w:pStyle w:val="10"/>
              <w:spacing w:line="276" w:lineRule="auto"/>
              <w:rPr>
                <w:rFonts w:ascii="Times New Roman" w:hAnsi="Times New Roman" w:eastAsia="宋体" w:cs="Times New Roman"/>
              </w:rPr>
            </w:pPr>
          </w:p>
        </w:tc>
        <w:tc>
          <w:tcPr>
            <w:tcW w:w="1334" w:type="dxa"/>
            <w:vMerge w:val="continue"/>
            <w:vAlign w:val="center"/>
          </w:tcPr>
          <w:p>
            <w:pPr>
              <w:pStyle w:val="10"/>
              <w:spacing w:line="276" w:lineRule="auto"/>
              <w:rPr>
                <w:rFonts w:ascii="Times New Roman" w:hAnsi="Times New Roman" w:eastAsia="宋体" w:cs="Times New Roman"/>
              </w:rPr>
            </w:pP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308、309</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焊接材料</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continue"/>
            <w:vAlign w:val="center"/>
          </w:tcPr>
          <w:p>
            <w:pPr>
              <w:pStyle w:val="10"/>
              <w:spacing w:line="276" w:lineRule="auto"/>
              <w:rPr>
                <w:rFonts w:ascii="Times New Roman" w:hAnsi="Times New Roman" w:eastAsia="宋体" w:cs="Times New Roman"/>
              </w:rPr>
            </w:pPr>
          </w:p>
        </w:tc>
        <w:tc>
          <w:tcPr>
            <w:tcW w:w="1334" w:type="dxa"/>
            <w:vMerge w:val="continue"/>
            <w:vAlign w:val="center"/>
          </w:tcPr>
          <w:p>
            <w:pPr>
              <w:pStyle w:val="10"/>
              <w:spacing w:line="276" w:lineRule="auto"/>
              <w:rPr>
                <w:rFonts w:ascii="Times New Roman" w:hAnsi="Times New Roman" w:eastAsia="宋体" w:cs="Times New Roman"/>
              </w:rPr>
            </w:pP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302HQ</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紧固件</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1334"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线材圆钢</w:t>
            </w: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304L、</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304系</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continue"/>
            <w:vAlign w:val="center"/>
          </w:tcPr>
          <w:p>
            <w:pPr>
              <w:pStyle w:val="10"/>
              <w:spacing w:line="276" w:lineRule="auto"/>
              <w:rPr>
                <w:rFonts w:ascii="Times New Roman" w:hAnsi="Times New Roman" w:eastAsia="宋体" w:cs="Times New Roman"/>
              </w:rPr>
            </w:pPr>
          </w:p>
        </w:tc>
        <w:tc>
          <w:tcPr>
            <w:tcW w:w="1334" w:type="dxa"/>
            <w:vMerge w:val="continue"/>
            <w:vAlign w:val="center"/>
          </w:tcPr>
          <w:p>
            <w:pPr>
              <w:pStyle w:val="10"/>
              <w:spacing w:line="276" w:lineRule="auto"/>
              <w:rPr>
                <w:rFonts w:ascii="Times New Roman" w:hAnsi="Times New Roman" w:eastAsia="宋体" w:cs="Times New Roman"/>
              </w:rPr>
            </w:pP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316L、</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316系</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continue"/>
            <w:vAlign w:val="center"/>
          </w:tcPr>
          <w:p>
            <w:pPr>
              <w:pStyle w:val="10"/>
              <w:spacing w:line="276" w:lineRule="auto"/>
              <w:rPr>
                <w:rFonts w:ascii="Times New Roman" w:hAnsi="Times New Roman" w:eastAsia="宋体" w:cs="Times New Roman"/>
              </w:rPr>
            </w:pPr>
          </w:p>
        </w:tc>
        <w:tc>
          <w:tcPr>
            <w:tcW w:w="1334" w:type="dxa"/>
            <w:vMerge w:val="continue"/>
            <w:vAlign w:val="center"/>
          </w:tcPr>
          <w:p>
            <w:pPr>
              <w:pStyle w:val="10"/>
              <w:spacing w:line="276" w:lineRule="auto"/>
              <w:rPr>
                <w:rFonts w:ascii="Times New Roman" w:hAnsi="Times New Roman" w:eastAsia="宋体" w:cs="Times New Roman"/>
              </w:rPr>
            </w:pP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0Cr25Ni20、S32205</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耐热、双相、核电</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continue"/>
            <w:vAlign w:val="center"/>
          </w:tcPr>
          <w:p>
            <w:pPr>
              <w:pStyle w:val="10"/>
              <w:spacing w:line="276" w:lineRule="auto"/>
              <w:rPr>
                <w:rFonts w:ascii="Times New Roman" w:hAnsi="Times New Roman" w:eastAsia="宋体" w:cs="Times New Roman"/>
              </w:rPr>
            </w:pPr>
          </w:p>
        </w:tc>
        <w:tc>
          <w:tcPr>
            <w:tcW w:w="1334" w:type="dxa"/>
            <w:vMerge w:val="continue"/>
            <w:vAlign w:val="center"/>
          </w:tcPr>
          <w:p>
            <w:pPr>
              <w:pStyle w:val="10"/>
              <w:spacing w:line="276" w:lineRule="auto"/>
              <w:rPr>
                <w:rFonts w:ascii="Times New Roman" w:hAnsi="Times New Roman" w:eastAsia="宋体" w:cs="Times New Roman"/>
              </w:rPr>
            </w:pP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06Cr18Ni11Ti</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321系</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Merge w:val="continue"/>
            <w:vAlign w:val="center"/>
          </w:tcPr>
          <w:p>
            <w:pPr>
              <w:pStyle w:val="10"/>
              <w:spacing w:line="276" w:lineRule="auto"/>
              <w:rPr>
                <w:rFonts w:ascii="Times New Roman" w:hAnsi="Times New Roman" w:eastAsia="宋体" w:cs="Times New Roman"/>
              </w:rPr>
            </w:pPr>
          </w:p>
        </w:tc>
        <w:tc>
          <w:tcPr>
            <w:tcW w:w="1334" w:type="dxa"/>
            <w:vMerge w:val="continue"/>
            <w:vAlign w:val="center"/>
          </w:tcPr>
          <w:p>
            <w:pPr>
              <w:pStyle w:val="10"/>
              <w:spacing w:line="276" w:lineRule="auto"/>
              <w:rPr>
                <w:rFonts w:ascii="Times New Roman" w:hAnsi="Times New Roman" w:eastAsia="宋体" w:cs="Times New Roman"/>
              </w:rPr>
            </w:pPr>
          </w:p>
        </w:tc>
        <w:tc>
          <w:tcPr>
            <w:tcW w:w="254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304、321、316</w:t>
            </w:r>
          </w:p>
        </w:tc>
        <w:tc>
          <w:tcPr>
            <w:tcW w:w="23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管坯</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7" w:hRule="atLeast"/>
          <w:jc w:val="center"/>
        </w:trPr>
        <w:tc>
          <w:tcPr>
            <w:tcW w:w="806" w:type="dxa"/>
            <w:vAlign w:val="center"/>
          </w:tcPr>
          <w:p>
            <w:pPr>
              <w:pStyle w:val="10"/>
              <w:spacing w:line="276" w:lineRule="auto"/>
              <w:rPr>
                <w:rFonts w:ascii="Times New Roman" w:hAnsi="Times New Roman" w:eastAsia="宋体" w:cs="Times New Roman"/>
              </w:rPr>
            </w:pPr>
          </w:p>
        </w:tc>
        <w:tc>
          <w:tcPr>
            <w:tcW w:w="6269" w:type="dxa"/>
            <w:gridSpan w:val="3"/>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合计</w:t>
            </w:r>
          </w:p>
        </w:tc>
        <w:tc>
          <w:tcPr>
            <w:tcW w:w="209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w:t>
            </w:r>
          </w:p>
        </w:tc>
      </w:tr>
    </w:tbl>
    <w:p>
      <w:pPr>
        <w:ind w:firstLine="560" w:firstLineChars="200"/>
        <w:rPr>
          <w:rFonts w:ascii="Times New Roman" w:hAnsi="Times New Roman" w:cs="Times New Roman"/>
        </w:rPr>
      </w:pPr>
    </w:p>
    <w:p>
      <w:pPr>
        <w:pStyle w:val="5"/>
        <w:rPr>
          <w:rFonts w:ascii="Times New Roman" w:hAnsi="Times New Roman" w:cs="Times New Roman"/>
        </w:rPr>
      </w:pPr>
      <w:r>
        <w:rPr>
          <w:rFonts w:ascii="Times New Roman" w:hAnsi="Times New Roman" w:cs="Times New Roman"/>
        </w:rPr>
        <w:t>3.2.2 生产规模及建设内容</w:t>
      </w:r>
    </w:p>
    <w:p>
      <w:pPr>
        <w:ind w:firstLine="560" w:firstLineChars="200"/>
        <w:rPr>
          <w:rFonts w:ascii="Times New Roman" w:hAnsi="Times New Roman" w:cs="Times New Roman"/>
        </w:rPr>
      </w:pPr>
      <w:r>
        <w:rPr>
          <w:rFonts w:ascii="Times New Roman" w:hAnsi="Times New Roman" w:cs="Times New Roman"/>
        </w:rPr>
        <w:t>生产规模：本项目技改后配套一座30t合金熔化装置来承担90t电炉熔化铬铁的工作，现有后步不锈钢冶炼工艺保持不变。技改前后产量不变，仍为年产50万吨不锈钢。</w:t>
      </w:r>
    </w:p>
    <w:p>
      <w:pPr>
        <w:ind w:firstLine="560" w:firstLineChars="200"/>
        <w:rPr>
          <w:rFonts w:ascii="Times New Roman" w:hAnsi="Times New Roman" w:cs="Times New Roman"/>
        </w:rPr>
      </w:pPr>
      <w:r>
        <w:rPr>
          <w:rFonts w:ascii="Times New Roman" w:hAnsi="Times New Roman" w:cs="Times New Roman"/>
        </w:rPr>
        <w:t>年运行时间及工作制度：本项目运行制度为年生产330天，每天3班生产，每班8小时。本项目技改后不新增职工。</w:t>
      </w:r>
    </w:p>
    <w:p>
      <w:pPr>
        <w:ind w:firstLine="560" w:firstLineChars="200"/>
        <w:rPr>
          <w:rFonts w:ascii="Times New Roman" w:hAnsi="Times New Roman" w:cs="Times New Roman"/>
        </w:rPr>
      </w:pPr>
      <w:r>
        <w:rPr>
          <w:rFonts w:ascii="Times New Roman" w:hAnsi="Times New Roman" w:cs="Times New Roman"/>
        </w:rPr>
        <w:t>建设内容：将现有电炉跨向南延长42m，将合金熔化装置</w:t>
      </w:r>
      <w:bookmarkStart w:id="14" w:name="OLE_LINK1"/>
      <w:r>
        <w:rPr>
          <w:rFonts w:ascii="Times New Roman" w:hAnsi="Times New Roman" w:cs="Times New Roman"/>
        </w:rPr>
        <w:t>放置在90t电炉南侧现有拆炉站区域</w:t>
      </w:r>
      <w:bookmarkEnd w:id="14"/>
      <w:r>
        <w:rPr>
          <w:rFonts w:ascii="Times New Roman" w:hAnsi="Times New Roman" w:cs="Times New Roman"/>
        </w:rPr>
        <w:t>，现有拆炉站移至车间南侧B柱列（包括移动除尘罩轨道、拆炉坑）。主要建设内容见下表。</w:t>
      </w:r>
    </w:p>
    <w:p>
      <w:pPr>
        <w:jc w:val="center"/>
        <w:rPr>
          <w:rFonts w:ascii="Times New Roman" w:hAnsi="Times New Roman" w:cs="Times New Roman"/>
        </w:rPr>
      </w:pPr>
      <w:r>
        <w:rPr>
          <w:rFonts w:ascii="Times New Roman" w:hAnsi="Times New Roman" w:cs="Times New Roman"/>
        </w:rPr>
        <w:t>表3-3  主要建设内容一览表</w:t>
      </w:r>
    </w:p>
    <w:tbl>
      <w:tblPr>
        <w:tblStyle w:val="21"/>
        <w:tblW w:w="103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
      <w:tblGrid>
        <w:gridCol w:w="531"/>
        <w:gridCol w:w="1307"/>
        <w:gridCol w:w="1701"/>
        <w:gridCol w:w="2977"/>
        <w:gridCol w:w="2612"/>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tblHeader/>
          <w:jc w:val="center"/>
        </w:trPr>
        <w:tc>
          <w:tcPr>
            <w:tcW w:w="3539" w:type="dxa"/>
            <w:gridSpan w:val="3"/>
            <w:tcBorders>
              <w:tl2br w:val="nil"/>
              <w:tr2bl w:val="nil"/>
            </w:tcBorders>
            <w:vAlign w:val="center"/>
          </w:tcPr>
          <w:p>
            <w:pPr>
              <w:pStyle w:val="12"/>
              <w:spacing w:line="276" w:lineRule="auto"/>
              <w:rPr>
                <w:b/>
                <w:bCs/>
                <w:sz w:val="24"/>
              </w:rPr>
            </w:pPr>
            <w:r>
              <w:rPr>
                <w:b/>
                <w:bCs/>
                <w:sz w:val="24"/>
              </w:rPr>
              <w:t>工程类别</w:t>
            </w:r>
          </w:p>
        </w:tc>
        <w:tc>
          <w:tcPr>
            <w:tcW w:w="2977" w:type="dxa"/>
            <w:tcBorders>
              <w:tl2br w:val="nil"/>
              <w:tr2bl w:val="nil"/>
            </w:tcBorders>
            <w:vAlign w:val="center"/>
          </w:tcPr>
          <w:p>
            <w:pPr>
              <w:pStyle w:val="12"/>
              <w:spacing w:line="276" w:lineRule="auto"/>
              <w:rPr>
                <w:b/>
                <w:bCs/>
                <w:sz w:val="24"/>
              </w:rPr>
            </w:pPr>
            <w:r>
              <w:rPr>
                <w:b/>
                <w:bCs/>
                <w:sz w:val="24"/>
              </w:rPr>
              <w:t>环评建设内容</w:t>
            </w:r>
          </w:p>
        </w:tc>
        <w:tc>
          <w:tcPr>
            <w:tcW w:w="2612" w:type="dxa"/>
            <w:tcBorders>
              <w:tl2br w:val="nil"/>
              <w:tr2bl w:val="nil"/>
            </w:tcBorders>
            <w:vAlign w:val="center"/>
          </w:tcPr>
          <w:p>
            <w:pPr>
              <w:pStyle w:val="12"/>
              <w:spacing w:line="276" w:lineRule="auto"/>
              <w:rPr>
                <w:b/>
                <w:bCs/>
                <w:sz w:val="24"/>
              </w:rPr>
            </w:pPr>
            <w:r>
              <w:rPr>
                <w:b/>
                <w:bCs/>
                <w:sz w:val="24"/>
              </w:rPr>
              <w:t>实际建设内容</w:t>
            </w:r>
          </w:p>
        </w:tc>
        <w:tc>
          <w:tcPr>
            <w:tcW w:w="1215" w:type="dxa"/>
            <w:tcBorders>
              <w:tl2br w:val="nil"/>
              <w:tr2bl w:val="nil"/>
            </w:tcBorders>
            <w:vAlign w:val="center"/>
          </w:tcPr>
          <w:p>
            <w:pPr>
              <w:pStyle w:val="12"/>
              <w:spacing w:line="276" w:lineRule="auto"/>
              <w:rPr>
                <w:b/>
                <w:bCs/>
                <w:sz w:val="24"/>
              </w:rPr>
            </w:pPr>
            <w:r>
              <w:rPr>
                <w:b/>
                <w:bCs/>
                <w:sz w:val="24"/>
              </w:rPr>
              <w:t>与环评一致性说明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restart"/>
            <w:tcBorders>
              <w:tl2br w:val="nil"/>
              <w:tr2bl w:val="nil"/>
            </w:tcBorders>
            <w:vAlign w:val="center"/>
          </w:tcPr>
          <w:p>
            <w:pPr>
              <w:pStyle w:val="12"/>
              <w:spacing w:line="276" w:lineRule="auto"/>
              <w:rPr>
                <w:sz w:val="24"/>
              </w:rPr>
            </w:pPr>
            <w:r>
              <w:rPr>
                <w:sz w:val="24"/>
              </w:rPr>
              <w:t>主体工程</w:t>
            </w:r>
          </w:p>
        </w:tc>
        <w:tc>
          <w:tcPr>
            <w:tcW w:w="1307" w:type="dxa"/>
            <w:vMerge w:val="restart"/>
            <w:tcBorders>
              <w:tl2br w:val="nil"/>
              <w:tr2bl w:val="nil"/>
            </w:tcBorders>
            <w:vAlign w:val="center"/>
          </w:tcPr>
          <w:p>
            <w:pPr>
              <w:pStyle w:val="12"/>
              <w:spacing w:line="276" w:lineRule="auto"/>
              <w:rPr>
                <w:sz w:val="24"/>
              </w:rPr>
            </w:pPr>
            <w:r>
              <w:rPr>
                <w:sz w:val="24"/>
              </w:rPr>
              <w:t>降噪措施</w:t>
            </w:r>
          </w:p>
        </w:tc>
        <w:tc>
          <w:tcPr>
            <w:tcW w:w="1701" w:type="dxa"/>
            <w:tcBorders>
              <w:tl2br w:val="nil"/>
              <w:tr2bl w:val="nil"/>
            </w:tcBorders>
            <w:vAlign w:val="center"/>
          </w:tcPr>
          <w:p>
            <w:pPr>
              <w:pStyle w:val="12"/>
              <w:spacing w:line="276" w:lineRule="auto"/>
              <w:rPr>
                <w:sz w:val="24"/>
              </w:rPr>
            </w:pPr>
            <w:r>
              <w:rPr>
                <w:sz w:val="24"/>
              </w:rPr>
              <w:t>电炉降噪措施</w:t>
            </w:r>
          </w:p>
        </w:tc>
        <w:tc>
          <w:tcPr>
            <w:tcW w:w="2977" w:type="dxa"/>
            <w:tcBorders>
              <w:tl2br w:val="nil"/>
              <w:tr2bl w:val="nil"/>
            </w:tcBorders>
            <w:vAlign w:val="center"/>
          </w:tcPr>
          <w:p>
            <w:pPr>
              <w:pStyle w:val="12"/>
              <w:spacing w:line="276" w:lineRule="auto"/>
              <w:jc w:val="both"/>
              <w:rPr>
                <w:sz w:val="24"/>
              </w:rPr>
            </w:pPr>
            <w:r>
              <w:rPr>
                <w:sz w:val="24"/>
              </w:rPr>
              <w:t>设置1套30t合金熔化装置及配套设施，作为不锈钢冶炼专用合金熔化装置，可</w:t>
            </w:r>
            <w:bookmarkStart w:id="15" w:name="OLE_LINK8"/>
            <w:r>
              <w:rPr>
                <w:sz w:val="24"/>
              </w:rPr>
              <w:t>实现90t电炉送电时炉内就有液态熔池，取消了电炉送电穿井阶段，实现降噪目的</w:t>
            </w:r>
            <w:bookmarkEnd w:id="15"/>
            <w:r>
              <w:rPr>
                <w:sz w:val="24"/>
              </w:rPr>
              <w:t>。</w:t>
            </w:r>
          </w:p>
        </w:tc>
        <w:tc>
          <w:tcPr>
            <w:tcW w:w="2612" w:type="dxa"/>
            <w:tcBorders>
              <w:tl2br w:val="nil"/>
              <w:tr2bl w:val="nil"/>
            </w:tcBorders>
            <w:vAlign w:val="center"/>
          </w:tcPr>
          <w:p>
            <w:pPr>
              <w:pStyle w:val="12"/>
              <w:spacing w:line="276" w:lineRule="auto"/>
              <w:jc w:val="both"/>
              <w:rPr>
                <w:sz w:val="24"/>
              </w:rPr>
            </w:pPr>
            <w:r>
              <w:rPr>
                <w:sz w:val="24"/>
              </w:rPr>
              <w:t>设置1套30t合金熔化装置及配套设施，作为不锈钢冶炼专用合金熔化装置，减少了电炉送电穿井阶段高噪音影响。</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2"/>
              <w:spacing w:line="276" w:lineRule="auto"/>
              <w:rPr>
                <w:sz w:val="24"/>
              </w:rPr>
            </w:pPr>
            <w:r>
              <w:rPr>
                <w:sz w:val="24"/>
              </w:rPr>
              <w:t>合金熔化装置</w:t>
            </w:r>
          </w:p>
        </w:tc>
        <w:tc>
          <w:tcPr>
            <w:tcW w:w="2977" w:type="dxa"/>
            <w:tcBorders>
              <w:tl2br w:val="nil"/>
              <w:tr2bl w:val="nil"/>
            </w:tcBorders>
            <w:vAlign w:val="center"/>
          </w:tcPr>
          <w:p>
            <w:pPr>
              <w:pStyle w:val="12"/>
              <w:spacing w:line="276" w:lineRule="auto"/>
              <w:jc w:val="both"/>
              <w:rPr>
                <w:sz w:val="24"/>
              </w:rPr>
            </w:pPr>
            <w:r>
              <w:rPr>
                <w:sz w:val="24"/>
              </w:rPr>
              <w:t>合金熔化装置放置在90t电炉南侧现有拆炉站区域，为一台双工位中频感应电炉，配套上料系统包括地下料仓、振动给料机、输送机、高位料仓及合金加料车等设施。</w:t>
            </w:r>
          </w:p>
        </w:tc>
        <w:tc>
          <w:tcPr>
            <w:tcW w:w="2612" w:type="dxa"/>
            <w:tcBorders>
              <w:tl2br w:val="nil"/>
              <w:tr2bl w:val="nil"/>
            </w:tcBorders>
            <w:vAlign w:val="center"/>
          </w:tcPr>
          <w:p>
            <w:pPr>
              <w:pStyle w:val="12"/>
              <w:spacing w:line="276" w:lineRule="auto"/>
              <w:jc w:val="both"/>
              <w:rPr>
                <w:sz w:val="24"/>
              </w:rPr>
            </w:pPr>
            <w:r>
              <w:rPr>
                <w:sz w:val="24"/>
              </w:rPr>
              <w:t>合金熔化装置放置在90t电炉南侧现有拆炉站区域，为一台双工位中频感应电炉，配套上料系统包括地下料仓、振动给料机、输送机、高位料仓及合金加料车等设施。</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2"/>
              <w:spacing w:line="276" w:lineRule="auto"/>
              <w:rPr>
                <w:sz w:val="24"/>
              </w:rPr>
            </w:pPr>
            <w:r>
              <w:rPr>
                <w:sz w:val="24"/>
              </w:rPr>
              <w:t>合金熔化装置本体降噪措施</w:t>
            </w:r>
          </w:p>
        </w:tc>
        <w:tc>
          <w:tcPr>
            <w:tcW w:w="2977" w:type="dxa"/>
            <w:tcBorders>
              <w:tl2br w:val="nil"/>
              <w:tr2bl w:val="nil"/>
            </w:tcBorders>
            <w:vAlign w:val="center"/>
          </w:tcPr>
          <w:p>
            <w:pPr>
              <w:pStyle w:val="12"/>
              <w:spacing w:line="276" w:lineRule="auto"/>
              <w:jc w:val="both"/>
              <w:rPr>
                <w:sz w:val="24"/>
              </w:rPr>
            </w:pPr>
            <w:r>
              <w:rPr>
                <w:sz w:val="24"/>
              </w:rPr>
              <w:t>合金熔化装置本体通过设置独立的装置本体平台、下部全封闭室、磁轭共振处理、设置盖板及排烟罩、增设旋转式降噪吸风盖等多项消音处理，根据设备厂家提供噪声情况说明，设备平台半密闭罩外1m处的声源强度小于70dB(A)。</w:t>
            </w:r>
          </w:p>
        </w:tc>
        <w:tc>
          <w:tcPr>
            <w:tcW w:w="2612" w:type="dxa"/>
            <w:tcBorders>
              <w:tl2br w:val="nil"/>
              <w:tr2bl w:val="nil"/>
            </w:tcBorders>
            <w:vAlign w:val="center"/>
          </w:tcPr>
          <w:p>
            <w:pPr>
              <w:pStyle w:val="12"/>
              <w:spacing w:line="276" w:lineRule="auto"/>
              <w:jc w:val="both"/>
              <w:rPr>
                <w:sz w:val="24"/>
              </w:rPr>
            </w:pPr>
            <w:r>
              <w:rPr>
                <w:sz w:val="24"/>
              </w:rPr>
              <w:t>合金熔化装置本体设置独立的装置本体平台、下部全封闭室、磁轭共振处理、设置盖板及排烟罩、增设旋转式降噪吸风盖等多项消音处理。</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2"/>
              <w:spacing w:line="276" w:lineRule="auto"/>
              <w:rPr>
                <w:sz w:val="24"/>
              </w:rPr>
            </w:pPr>
            <w:r>
              <w:rPr>
                <w:sz w:val="24"/>
              </w:rPr>
              <w:t>风机降噪措施</w:t>
            </w:r>
          </w:p>
        </w:tc>
        <w:tc>
          <w:tcPr>
            <w:tcW w:w="2977" w:type="dxa"/>
            <w:tcBorders>
              <w:tl2br w:val="nil"/>
              <w:tr2bl w:val="nil"/>
            </w:tcBorders>
            <w:vAlign w:val="center"/>
          </w:tcPr>
          <w:p>
            <w:pPr>
              <w:pStyle w:val="12"/>
              <w:spacing w:line="276" w:lineRule="auto"/>
              <w:jc w:val="both"/>
              <w:rPr>
                <w:sz w:val="24"/>
              </w:rPr>
            </w:pPr>
            <w:r>
              <w:rPr>
                <w:sz w:val="24"/>
              </w:rPr>
              <w:t>现有风机位置在厂房北侧，改造后位置不变。增设风机隔音房，隔音墙体材质：内侧冲孔板+130mm厚岩棉+单层压型钢板；风机隔音房建设面积为2×50m</w:t>
            </w:r>
            <w:r>
              <w:rPr>
                <w:sz w:val="24"/>
                <w:vertAlign w:val="superscript"/>
              </w:rPr>
              <w:t>2</w:t>
            </w:r>
            <w:r>
              <w:rPr>
                <w:sz w:val="24"/>
              </w:rPr>
              <w:t>。</w:t>
            </w:r>
            <w:bookmarkStart w:id="16" w:name="OLE_LINK9"/>
            <w:r>
              <w:rPr>
                <w:sz w:val="24"/>
              </w:rPr>
              <w:t>类比一钢厂料场封闭后车间噪声隔声量为23分贝。</w:t>
            </w:r>
            <w:bookmarkEnd w:id="16"/>
          </w:p>
        </w:tc>
        <w:tc>
          <w:tcPr>
            <w:tcW w:w="2612" w:type="dxa"/>
            <w:tcBorders>
              <w:tl2br w:val="nil"/>
              <w:tr2bl w:val="nil"/>
            </w:tcBorders>
            <w:vAlign w:val="center"/>
          </w:tcPr>
          <w:p>
            <w:pPr>
              <w:pStyle w:val="12"/>
              <w:spacing w:line="276" w:lineRule="auto"/>
              <w:jc w:val="both"/>
              <w:rPr>
                <w:sz w:val="24"/>
              </w:rPr>
            </w:pPr>
            <w:bookmarkStart w:id="17" w:name="_Hlk91161890"/>
            <w:r>
              <w:rPr>
                <w:sz w:val="24"/>
              </w:rPr>
              <w:t>风机位置在厂房北侧，改造后位置不变，风机采用岩棉包扎、基础减振措施进行降噪。除尘器电机采用隔声间全封闭，隔音墙体材质：内侧冲孔板+100mm厚岩棉+单层压型钢板；电机隔音房建设面积为2×20m</w:t>
            </w:r>
            <w:r>
              <w:rPr>
                <w:sz w:val="24"/>
                <w:vertAlign w:val="superscript"/>
              </w:rPr>
              <w:t>2</w:t>
            </w:r>
            <w:r>
              <w:rPr>
                <w:sz w:val="24"/>
              </w:rPr>
              <w:t>。排放筒增设消声器。</w:t>
            </w:r>
            <w:bookmarkEnd w:id="17"/>
          </w:p>
        </w:tc>
        <w:tc>
          <w:tcPr>
            <w:tcW w:w="1215" w:type="dxa"/>
            <w:tcBorders>
              <w:tl2br w:val="nil"/>
              <w:tr2bl w:val="nil"/>
            </w:tcBorders>
            <w:vAlign w:val="center"/>
          </w:tcPr>
          <w:p>
            <w:pPr>
              <w:pStyle w:val="12"/>
              <w:spacing w:line="276" w:lineRule="auto"/>
              <w:rPr>
                <w:sz w:val="24"/>
              </w:rPr>
            </w:pPr>
            <w:r>
              <w:rPr>
                <w:sz w:val="24"/>
              </w:rPr>
              <w:t>基本一致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2"/>
              <w:spacing w:line="276" w:lineRule="auto"/>
              <w:rPr>
                <w:sz w:val="24"/>
              </w:rPr>
            </w:pPr>
            <w:r>
              <w:rPr>
                <w:sz w:val="24"/>
              </w:rPr>
              <w:t>车间墙体降噪措施</w:t>
            </w:r>
          </w:p>
        </w:tc>
        <w:tc>
          <w:tcPr>
            <w:tcW w:w="2977" w:type="dxa"/>
            <w:tcBorders>
              <w:tl2br w:val="nil"/>
              <w:tr2bl w:val="nil"/>
            </w:tcBorders>
            <w:vAlign w:val="center"/>
          </w:tcPr>
          <w:p>
            <w:pPr>
              <w:pStyle w:val="12"/>
              <w:spacing w:line="276" w:lineRule="auto"/>
              <w:jc w:val="both"/>
              <w:rPr>
                <w:sz w:val="24"/>
              </w:rPr>
            </w:pPr>
            <w:r>
              <w:rPr>
                <w:sz w:val="24"/>
              </w:rPr>
              <w:t>延长车间内墙设复合隔音保温墙面，外侧0.6mm厚单层压型钢板，材质为镀铝锌板，中间130mm厚岩棉（A级燃烧性能)+钢丝网，钢丝网规格选用3.6#*40*40；内侧0.6厚冲孔压型钢板）；复合隔音保温屋面顶板0.8mm厚单层压型钢板，中间Z100*40*20*2.5 mm镀锌檩条+100mm厚岩棉，容重大于16kg；底板0.8厚楼承板，延长车间长为42m、跨度48m，延长车间不设置门窗。类比一钢厂料场封闭后车间噪声隔声量为23分贝。</w:t>
            </w:r>
          </w:p>
        </w:tc>
        <w:tc>
          <w:tcPr>
            <w:tcW w:w="2612" w:type="dxa"/>
            <w:tcBorders>
              <w:tl2br w:val="nil"/>
              <w:tr2bl w:val="nil"/>
            </w:tcBorders>
            <w:vAlign w:val="center"/>
          </w:tcPr>
          <w:p>
            <w:pPr>
              <w:pStyle w:val="12"/>
              <w:spacing w:line="276" w:lineRule="auto"/>
              <w:jc w:val="both"/>
              <w:rPr>
                <w:sz w:val="24"/>
              </w:rPr>
            </w:pPr>
            <w:r>
              <w:rPr>
                <w:sz w:val="24"/>
              </w:rPr>
              <w:t>延长车间内墙设复合隔音保温墙面，外侧0.6mm厚单层压型钢板，材质为镀铝锌板，中间130mm厚岩棉（A级燃烧性能)+钢丝网，钢丝网规格选用3.6#*40*40；内侧0.6厚冲孔压型钢板）；复合隔音保温屋面顶板0.8mm厚单层压型钢板，中间Z100*40*20*2.5mm镀锌檩条+100mm厚岩棉，容重大于16kg；底板0.8厚楼承板，延长车间长为42m、跨度48m，延长车间不设置门窗。</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1307" w:type="dxa"/>
            <w:vMerge w:val="restart"/>
            <w:tcBorders>
              <w:tl2br w:val="nil"/>
              <w:tr2bl w:val="nil"/>
            </w:tcBorders>
            <w:vAlign w:val="center"/>
          </w:tcPr>
          <w:p>
            <w:pPr>
              <w:pStyle w:val="12"/>
              <w:spacing w:line="276" w:lineRule="auto"/>
              <w:rPr>
                <w:sz w:val="24"/>
              </w:rPr>
            </w:pPr>
            <w:r>
              <w:rPr>
                <w:sz w:val="24"/>
              </w:rPr>
              <w:t>大气减排措施</w:t>
            </w:r>
          </w:p>
        </w:tc>
        <w:tc>
          <w:tcPr>
            <w:tcW w:w="1701" w:type="dxa"/>
            <w:tcBorders>
              <w:tl2br w:val="nil"/>
              <w:tr2bl w:val="nil"/>
            </w:tcBorders>
            <w:vAlign w:val="center"/>
          </w:tcPr>
          <w:p>
            <w:pPr>
              <w:pStyle w:val="12"/>
              <w:spacing w:line="276" w:lineRule="auto"/>
              <w:rPr>
                <w:sz w:val="24"/>
              </w:rPr>
            </w:pPr>
            <w:r>
              <w:rPr>
                <w:sz w:val="24"/>
              </w:rPr>
              <w:t>现有电炉除尘器改造</w:t>
            </w:r>
          </w:p>
        </w:tc>
        <w:tc>
          <w:tcPr>
            <w:tcW w:w="2977" w:type="dxa"/>
            <w:tcBorders>
              <w:tl2br w:val="nil"/>
              <w:tr2bl w:val="nil"/>
            </w:tcBorders>
            <w:vAlign w:val="center"/>
          </w:tcPr>
          <w:p>
            <w:pPr>
              <w:pStyle w:val="12"/>
              <w:spacing w:line="276" w:lineRule="auto"/>
              <w:jc w:val="both"/>
              <w:rPr>
                <w:sz w:val="24"/>
              </w:rPr>
            </w:pPr>
            <w:r>
              <w:rPr>
                <w:sz w:val="24"/>
              </w:rPr>
              <w:t>现有电炉除尘器本体部分不做改造，仅更换滤袋，将现有500g涤纶针刺毡更换为550g超细纤维滤料。</w:t>
            </w:r>
          </w:p>
        </w:tc>
        <w:tc>
          <w:tcPr>
            <w:tcW w:w="2612" w:type="dxa"/>
            <w:tcBorders>
              <w:tl2br w:val="nil"/>
              <w:tr2bl w:val="nil"/>
            </w:tcBorders>
            <w:vAlign w:val="center"/>
          </w:tcPr>
          <w:p>
            <w:pPr>
              <w:pStyle w:val="12"/>
              <w:spacing w:line="276" w:lineRule="auto"/>
              <w:jc w:val="both"/>
              <w:rPr>
                <w:sz w:val="24"/>
              </w:rPr>
            </w:pPr>
            <w:r>
              <w:rPr>
                <w:sz w:val="24"/>
              </w:rPr>
              <w:t>现有电炉除尘器本体部分不做改造，仅更换滤袋，将现有500g涤纶针刺毡更换为550g超细纤维滤料。</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2"/>
              <w:spacing w:line="276" w:lineRule="auto"/>
              <w:rPr>
                <w:sz w:val="24"/>
              </w:rPr>
            </w:pPr>
            <w:r>
              <w:rPr>
                <w:sz w:val="24"/>
              </w:rPr>
              <w:t>合金熔化装置除尘措施</w:t>
            </w:r>
          </w:p>
        </w:tc>
        <w:tc>
          <w:tcPr>
            <w:tcW w:w="2977" w:type="dxa"/>
            <w:tcBorders>
              <w:tl2br w:val="nil"/>
              <w:tr2bl w:val="nil"/>
            </w:tcBorders>
            <w:vAlign w:val="center"/>
          </w:tcPr>
          <w:p>
            <w:pPr>
              <w:pStyle w:val="12"/>
              <w:spacing w:line="276" w:lineRule="auto"/>
              <w:jc w:val="both"/>
              <w:rPr>
                <w:sz w:val="24"/>
              </w:rPr>
            </w:pPr>
            <w:r>
              <w:rPr>
                <w:sz w:val="24"/>
              </w:rPr>
              <w:t>现有电炉除尘系统风量为120万m</w:t>
            </w:r>
            <w:r>
              <w:rPr>
                <w:sz w:val="24"/>
                <w:vertAlign w:val="superscript"/>
              </w:rPr>
              <w:t>3</w:t>
            </w:r>
            <w:r>
              <w:rPr>
                <w:sz w:val="24"/>
              </w:rPr>
              <w:t>/h，配套合金熔化装置处理风量约30万m</w:t>
            </w:r>
            <w:r>
              <w:rPr>
                <w:sz w:val="24"/>
                <w:vertAlign w:val="superscript"/>
              </w:rPr>
              <w:t>3</w:t>
            </w:r>
            <w:r>
              <w:rPr>
                <w:sz w:val="24"/>
              </w:rPr>
              <w:t>/h，在现有两台电炉除尘器分别新增滤袋面积为12358m</w:t>
            </w:r>
            <w:r>
              <w:rPr>
                <w:sz w:val="24"/>
                <w:vertAlign w:val="superscript"/>
              </w:rPr>
              <w:t>2</w:t>
            </w:r>
            <w:r>
              <w:rPr>
                <w:sz w:val="24"/>
              </w:rPr>
              <w:t>，滤袋材质为160×7600超细纤维滤袋，每台除尘器单台处理风量增加至75万m</w:t>
            </w:r>
            <w:r>
              <w:rPr>
                <w:sz w:val="24"/>
                <w:vertAlign w:val="superscript"/>
              </w:rPr>
              <w:t>3</w:t>
            </w:r>
            <w:r>
              <w:rPr>
                <w:sz w:val="24"/>
              </w:rPr>
              <w:t>/h，降低除尘器过滤风速不超过0.6m/min，排放浓度控制在10mg/m</w:t>
            </w:r>
            <w:r>
              <w:rPr>
                <w:sz w:val="24"/>
                <w:vertAlign w:val="superscript"/>
              </w:rPr>
              <w:t>3</w:t>
            </w:r>
            <w:r>
              <w:rPr>
                <w:sz w:val="24"/>
              </w:rPr>
              <w:t>，合金熔化装置及辅助设施烟气与电炉烟气合并后排入除尘系统，并经现有2根排气筒排放。</w:t>
            </w:r>
          </w:p>
        </w:tc>
        <w:tc>
          <w:tcPr>
            <w:tcW w:w="2612" w:type="dxa"/>
            <w:tcBorders>
              <w:tl2br w:val="nil"/>
              <w:tr2bl w:val="nil"/>
            </w:tcBorders>
            <w:vAlign w:val="center"/>
          </w:tcPr>
          <w:p>
            <w:pPr>
              <w:pStyle w:val="12"/>
              <w:spacing w:line="276" w:lineRule="auto"/>
              <w:jc w:val="both"/>
              <w:rPr>
                <w:sz w:val="24"/>
              </w:rPr>
            </w:pPr>
            <w:r>
              <w:rPr>
                <w:sz w:val="24"/>
              </w:rPr>
              <w:t>现有电炉除尘系统风量为120万m</w:t>
            </w:r>
            <w:r>
              <w:rPr>
                <w:sz w:val="24"/>
                <w:vertAlign w:val="superscript"/>
              </w:rPr>
              <w:t>3</w:t>
            </w:r>
            <w:r>
              <w:rPr>
                <w:sz w:val="24"/>
              </w:rPr>
              <w:t>/h，配套合金熔化装置处理风量约30万m</w:t>
            </w:r>
            <w:r>
              <w:rPr>
                <w:sz w:val="24"/>
                <w:vertAlign w:val="superscript"/>
              </w:rPr>
              <w:t>3</w:t>
            </w:r>
            <w:r>
              <w:rPr>
                <w:sz w:val="24"/>
              </w:rPr>
              <w:t>/h，在现有两台电炉除尘器分别新增滤袋面积为12358m</w:t>
            </w:r>
            <w:r>
              <w:rPr>
                <w:sz w:val="24"/>
                <w:vertAlign w:val="superscript"/>
              </w:rPr>
              <w:t>2</w:t>
            </w:r>
            <w:r>
              <w:rPr>
                <w:sz w:val="24"/>
              </w:rPr>
              <w:t>，滤袋材质为160×7600超细纤维滤袋，每台除尘器单台处理风量增加至75万m</w:t>
            </w:r>
            <w:r>
              <w:rPr>
                <w:sz w:val="24"/>
                <w:vertAlign w:val="superscript"/>
              </w:rPr>
              <w:t>3</w:t>
            </w:r>
            <w:r>
              <w:rPr>
                <w:sz w:val="24"/>
              </w:rPr>
              <w:t>/h，降低除尘器过滤风速不超过0.6m/min，合金熔化装置及辅助设施烟气与电炉烟气合并后排入除尘系统，并经现有2根排气筒排放。</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restart"/>
            <w:tcBorders>
              <w:tl2br w:val="nil"/>
              <w:tr2bl w:val="nil"/>
            </w:tcBorders>
            <w:vAlign w:val="center"/>
          </w:tcPr>
          <w:p>
            <w:pPr>
              <w:pStyle w:val="12"/>
              <w:spacing w:line="276" w:lineRule="auto"/>
              <w:rPr>
                <w:sz w:val="24"/>
              </w:rPr>
            </w:pPr>
            <w:r>
              <w:rPr>
                <w:sz w:val="24"/>
              </w:rPr>
              <w:t>辅助工程</w:t>
            </w:r>
          </w:p>
        </w:tc>
        <w:tc>
          <w:tcPr>
            <w:tcW w:w="3008" w:type="dxa"/>
            <w:gridSpan w:val="2"/>
            <w:tcBorders>
              <w:tl2br w:val="nil"/>
              <w:tr2bl w:val="nil"/>
            </w:tcBorders>
            <w:vAlign w:val="center"/>
          </w:tcPr>
          <w:p>
            <w:pPr>
              <w:pStyle w:val="12"/>
              <w:spacing w:line="276" w:lineRule="auto"/>
              <w:rPr>
                <w:sz w:val="24"/>
              </w:rPr>
            </w:pPr>
            <w:r>
              <w:rPr>
                <w:sz w:val="24"/>
              </w:rPr>
              <w:t>电气室</w:t>
            </w:r>
          </w:p>
        </w:tc>
        <w:tc>
          <w:tcPr>
            <w:tcW w:w="2977" w:type="dxa"/>
            <w:tcBorders>
              <w:tl2br w:val="nil"/>
              <w:tr2bl w:val="nil"/>
            </w:tcBorders>
            <w:vAlign w:val="center"/>
          </w:tcPr>
          <w:p>
            <w:pPr>
              <w:pStyle w:val="12"/>
              <w:spacing w:line="276" w:lineRule="auto"/>
              <w:jc w:val="both"/>
              <w:rPr>
                <w:sz w:val="24"/>
              </w:rPr>
            </w:pPr>
            <w:r>
              <w:rPr>
                <w:sz w:val="24"/>
              </w:rPr>
              <w:t>位于合金熔化装置右侧，为三层结构房屋，一层为高压室，二层为MCC/PLC室，三层为主控室。各层面积为72m</w:t>
            </w:r>
            <w:r>
              <w:rPr>
                <w:sz w:val="24"/>
                <w:vertAlign w:val="superscript"/>
              </w:rPr>
              <w:t>2</w:t>
            </w:r>
            <w:r>
              <w:rPr>
                <w:sz w:val="24"/>
              </w:rPr>
              <w:t>。</w:t>
            </w:r>
          </w:p>
        </w:tc>
        <w:tc>
          <w:tcPr>
            <w:tcW w:w="2612" w:type="dxa"/>
            <w:tcBorders>
              <w:tl2br w:val="nil"/>
              <w:tr2bl w:val="nil"/>
            </w:tcBorders>
            <w:vAlign w:val="center"/>
          </w:tcPr>
          <w:p>
            <w:pPr>
              <w:pStyle w:val="12"/>
              <w:spacing w:line="276" w:lineRule="auto"/>
              <w:jc w:val="both"/>
              <w:rPr>
                <w:sz w:val="24"/>
              </w:rPr>
            </w:pPr>
            <w:r>
              <w:rPr>
                <w:sz w:val="24"/>
              </w:rPr>
              <w:t>位于合金熔化装置右侧，为三层结构房屋，一层为高压室，二层为MCC/PLC室，三层为主控室。各层面积为72m</w:t>
            </w:r>
            <w:r>
              <w:rPr>
                <w:sz w:val="24"/>
                <w:vertAlign w:val="superscript"/>
              </w:rPr>
              <w:t>2</w:t>
            </w:r>
            <w:r>
              <w:rPr>
                <w:sz w:val="24"/>
              </w:rPr>
              <w:t>。</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1307" w:type="dxa"/>
            <w:vMerge w:val="restart"/>
            <w:tcBorders>
              <w:tl2br w:val="nil"/>
              <w:tr2bl w:val="nil"/>
            </w:tcBorders>
            <w:vAlign w:val="center"/>
          </w:tcPr>
          <w:p>
            <w:pPr>
              <w:pStyle w:val="12"/>
              <w:spacing w:line="276" w:lineRule="auto"/>
              <w:rPr>
                <w:sz w:val="24"/>
              </w:rPr>
            </w:pPr>
            <w:r>
              <w:rPr>
                <w:sz w:val="24"/>
              </w:rPr>
              <w:t>冷却循环水系统</w:t>
            </w:r>
          </w:p>
        </w:tc>
        <w:tc>
          <w:tcPr>
            <w:tcW w:w="1701" w:type="dxa"/>
            <w:tcBorders>
              <w:tl2br w:val="nil"/>
              <w:tr2bl w:val="nil"/>
            </w:tcBorders>
            <w:vAlign w:val="center"/>
          </w:tcPr>
          <w:p>
            <w:pPr>
              <w:pStyle w:val="12"/>
              <w:spacing w:line="276" w:lineRule="auto"/>
              <w:rPr>
                <w:sz w:val="24"/>
              </w:rPr>
            </w:pPr>
            <w:r>
              <w:rPr>
                <w:sz w:val="24"/>
              </w:rPr>
              <w:t>装置本体冷却及电源循环冷却</w:t>
            </w:r>
          </w:p>
        </w:tc>
        <w:tc>
          <w:tcPr>
            <w:tcW w:w="2977" w:type="dxa"/>
            <w:tcBorders>
              <w:tl2br w:val="nil"/>
              <w:tr2bl w:val="nil"/>
            </w:tcBorders>
            <w:vAlign w:val="center"/>
          </w:tcPr>
          <w:p>
            <w:pPr>
              <w:pStyle w:val="12"/>
              <w:spacing w:line="276" w:lineRule="auto"/>
              <w:jc w:val="both"/>
              <w:rPr>
                <w:sz w:val="24"/>
              </w:rPr>
            </w:pPr>
            <w:r>
              <w:rPr>
                <w:sz w:val="24"/>
              </w:rPr>
              <w:t>新建综合楼内水泵房提供，利用板式换热器进行循环冷却。</w:t>
            </w:r>
          </w:p>
        </w:tc>
        <w:tc>
          <w:tcPr>
            <w:tcW w:w="2612" w:type="dxa"/>
            <w:tcBorders>
              <w:tl2br w:val="nil"/>
              <w:tr2bl w:val="nil"/>
            </w:tcBorders>
            <w:vAlign w:val="center"/>
          </w:tcPr>
          <w:p>
            <w:pPr>
              <w:pStyle w:val="12"/>
              <w:spacing w:line="276" w:lineRule="auto"/>
              <w:jc w:val="both"/>
              <w:rPr>
                <w:sz w:val="24"/>
              </w:rPr>
            </w:pPr>
            <w:r>
              <w:rPr>
                <w:sz w:val="24"/>
              </w:rPr>
              <w:t>新建综合楼内水泵房提供，利用板式换热器进行循环冷却。</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2"/>
              <w:spacing w:line="276" w:lineRule="auto"/>
              <w:rPr>
                <w:sz w:val="24"/>
              </w:rPr>
            </w:pPr>
            <w:r>
              <w:rPr>
                <w:sz w:val="24"/>
              </w:rPr>
              <w:t>风机冷却水及外循环冷却水</w:t>
            </w:r>
          </w:p>
        </w:tc>
        <w:tc>
          <w:tcPr>
            <w:tcW w:w="2977" w:type="dxa"/>
            <w:tcBorders>
              <w:tl2br w:val="nil"/>
              <w:tr2bl w:val="nil"/>
            </w:tcBorders>
            <w:vAlign w:val="center"/>
          </w:tcPr>
          <w:p>
            <w:pPr>
              <w:pStyle w:val="12"/>
              <w:spacing w:line="276" w:lineRule="auto"/>
              <w:jc w:val="both"/>
              <w:rPr>
                <w:sz w:val="24"/>
              </w:rPr>
            </w:pPr>
            <w:r>
              <w:rPr>
                <w:sz w:val="24"/>
              </w:rPr>
              <w:t>利用VOD精炼炉净循环水系统。</w:t>
            </w:r>
          </w:p>
        </w:tc>
        <w:tc>
          <w:tcPr>
            <w:tcW w:w="2612" w:type="dxa"/>
            <w:tcBorders>
              <w:tl2br w:val="nil"/>
              <w:tr2bl w:val="nil"/>
            </w:tcBorders>
            <w:vAlign w:val="center"/>
          </w:tcPr>
          <w:p>
            <w:pPr>
              <w:pStyle w:val="12"/>
              <w:spacing w:line="276" w:lineRule="auto"/>
              <w:jc w:val="both"/>
              <w:rPr>
                <w:sz w:val="24"/>
              </w:rPr>
            </w:pPr>
            <w:r>
              <w:rPr>
                <w:sz w:val="24"/>
              </w:rPr>
              <w:t>利用VOD精炼炉净循环水系统。</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restart"/>
            <w:tcBorders>
              <w:tl2br w:val="nil"/>
              <w:tr2bl w:val="nil"/>
            </w:tcBorders>
            <w:vAlign w:val="center"/>
          </w:tcPr>
          <w:p>
            <w:pPr>
              <w:pStyle w:val="12"/>
              <w:spacing w:line="276" w:lineRule="auto"/>
              <w:rPr>
                <w:sz w:val="24"/>
              </w:rPr>
            </w:pPr>
            <w:r>
              <w:rPr>
                <w:sz w:val="24"/>
              </w:rPr>
              <w:t>公用工程</w:t>
            </w:r>
          </w:p>
        </w:tc>
        <w:tc>
          <w:tcPr>
            <w:tcW w:w="3008" w:type="dxa"/>
            <w:gridSpan w:val="2"/>
            <w:tcBorders>
              <w:tl2br w:val="nil"/>
              <w:tr2bl w:val="nil"/>
            </w:tcBorders>
            <w:vAlign w:val="center"/>
          </w:tcPr>
          <w:p>
            <w:pPr>
              <w:pStyle w:val="12"/>
              <w:spacing w:line="276" w:lineRule="auto"/>
              <w:rPr>
                <w:sz w:val="24"/>
              </w:rPr>
            </w:pPr>
            <w:r>
              <w:rPr>
                <w:sz w:val="24"/>
              </w:rPr>
              <w:t>供电系统</w:t>
            </w:r>
          </w:p>
        </w:tc>
        <w:tc>
          <w:tcPr>
            <w:tcW w:w="2977" w:type="dxa"/>
            <w:tcBorders>
              <w:tl2br w:val="nil"/>
              <w:tr2bl w:val="nil"/>
            </w:tcBorders>
            <w:vAlign w:val="center"/>
          </w:tcPr>
          <w:p>
            <w:pPr>
              <w:pStyle w:val="12"/>
              <w:spacing w:line="276" w:lineRule="auto"/>
              <w:jc w:val="both"/>
              <w:rPr>
                <w:sz w:val="24"/>
              </w:rPr>
            </w:pPr>
            <w:r>
              <w:rPr>
                <w:sz w:val="24"/>
              </w:rPr>
              <w:t>太钢厂区第十二降压站提供。</w:t>
            </w:r>
          </w:p>
        </w:tc>
        <w:tc>
          <w:tcPr>
            <w:tcW w:w="2612" w:type="dxa"/>
            <w:tcBorders>
              <w:tl2br w:val="nil"/>
              <w:tr2bl w:val="nil"/>
            </w:tcBorders>
            <w:vAlign w:val="center"/>
          </w:tcPr>
          <w:p>
            <w:pPr>
              <w:pStyle w:val="12"/>
              <w:spacing w:line="276" w:lineRule="auto"/>
              <w:jc w:val="both"/>
              <w:rPr>
                <w:sz w:val="24"/>
              </w:rPr>
            </w:pPr>
            <w:r>
              <w:rPr>
                <w:sz w:val="24"/>
              </w:rPr>
              <w:t>太钢厂区第十二降压站提供。</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3008" w:type="dxa"/>
            <w:gridSpan w:val="2"/>
            <w:tcBorders>
              <w:tl2br w:val="nil"/>
              <w:tr2bl w:val="nil"/>
            </w:tcBorders>
            <w:vAlign w:val="center"/>
          </w:tcPr>
          <w:p>
            <w:pPr>
              <w:pStyle w:val="12"/>
              <w:spacing w:line="276" w:lineRule="auto"/>
              <w:rPr>
                <w:sz w:val="24"/>
              </w:rPr>
            </w:pPr>
            <w:r>
              <w:rPr>
                <w:sz w:val="24"/>
              </w:rPr>
              <w:t>供水系统</w:t>
            </w:r>
          </w:p>
        </w:tc>
        <w:tc>
          <w:tcPr>
            <w:tcW w:w="2977" w:type="dxa"/>
            <w:tcBorders>
              <w:tl2br w:val="nil"/>
              <w:tr2bl w:val="nil"/>
            </w:tcBorders>
            <w:vAlign w:val="center"/>
          </w:tcPr>
          <w:p>
            <w:pPr>
              <w:pStyle w:val="12"/>
              <w:spacing w:line="276" w:lineRule="auto"/>
              <w:jc w:val="both"/>
              <w:rPr>
                <w:sz w:val="24"/>
              </w:rPr>
            </w:pPr>
            <w:r>
              <w:rPr>
                <w:sz w:val="24"/>
              </w:rPr>
              <w:t>太钢能源动力总厂供水配套管网提供。</w:t>
            </w:r>
          </w:p>
        </w:tc>
        <w:tc>
          <w:tcPr>
            <w:tcW w:w="2612" w:type="dxa"/>
            <w:tcBorders>
              <w:tl2br w:val="nil"/>
              <w:tr2bl w:val="nil"/>
            </w:tcBorders>
            <w:vAlign w:val="center"/>
          </w:tcPr>
          <w:p>
            <w:pPr>
              <w:pStyle w:val="12"/>
              <w:spacing w:line="276" w:lineRule="auto"/>
              <w:jc w:val="both"/>
              <w:rPr>
                <w:sz w:val="24"/>
              </w:rPr>
            </w:pPr>
            <w:r>
              <w:rPr>
                <w:sz w:val="24"/>
              </w:rPr>
              <w:t>太钢能源动力总厂供水配套管网提供。</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3008" w:type="dxa"/>
            <w:gridSpan w:val="2"/>
            <w:tcBorders>
              <w:tl2br w:val="nil"/>
              <w:tr2bl w:val="nil"/>
            </w:tcBorders>
            <w:vAlign w:val="center"/>
          </w:tcPr>
          <w:p>
            <w:pPr>
              <w:pStyle w:val="12"/>
              <w:spacing w:line="276" w:lineRule="auto"/>
              <w:rPr>
                <w:sz w:val="24"/>
              </w:rPr>
            </w:pPr>
            <w:r>
              <w:rPr>
                <w:sz w:val="24"/>
              </w:rPr>
              <w:t>供气</w:t>
            </w:r>
          </w:p>
          <w:p>
            <w:pPr>
              <w:pStyle w:val="12"/>
              <w:spacing w:line="276" w:lineRule="auto"/>
              <w:rPr>
                <w:sz w:val="24"/>
              </w:rPr>
            </w:pPr>
            <w:r>
              <w:rPr>
                <w:sz w:val="24"/>
              </w:rPr>
              <w:t>系统</w:t>
            </w:r>
          </w:p>
        </w:tc>
        <w:tc>
          <w:tcPr>
            <w:tcW w:w="2977" w:type="dxa"/>
            <w:tcBorders>
              <w:tl2br w:val="nil"/>
              <w:tr2bl w:val="nil"/>
            </w:tcBorders>
            <w:vAlign w:val="center"/>
          </w:tcPr>
          <w:p>
            <w:pPr>
              <w:pStyle w:val="12"/>
              <w:spacing w:line="276" w:lineRule="auto"/>
              <w:jc w:val="both"/>
              <w:rPr>
                <w:sz w:val="24"/>
              </w:rPr>
            </w:pPr>
            <w:r>
              <w:rPr>
                <w:sz w:val="24"/>
              </w:rPr>
              <w:t>在加料跨中部设置一氧气、煤气阀门站，气体均由太钢供气管网提供，经管道输送至阀门站，并提供给各用气点。</w:t>
            </w:r>
          </w:p>
        </w:tc>
        <w:tc>
          <w:tcPr>
            <w:tcW w:w="2612" w:type="dxa"/>
            <w:tcBorders>
              <w:tl2br w:val="nil"/>
              <w:tr2bl w:val="nil"/>
            </w:tcBorders>
            <w:vAlign w:val="center"/>
          </w:tcPr>
          <w:p>
            <w:pPr>
              <w:pStyle w:val="12"/>
              <w:spacing w:line="276" w:lineRule="auto"/>
              <w:jc w:val="both"/>
              <w:rPr>
                <w:sz w:val="24"/>
              </w:rPr>
            </w:pPr>
            <w:r>
              <w:rPr>
                <w:sz w:val="24"/>
              </w:rPr>
              <w:t>在加料跨中部设置一氧气、煤气阀门站，气体均由太钢供气管网提供，经管道输送至阀门站，并提供给各用气点。</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restart"/>
            <w:tcBorders>
              <w:tl2br w:val="nil"/>
              <w:tr2bl w:val="nil"/>
            </w:tcBorders>
            <w:vAlign w:val="center"/>
          </w:tcPr>
          <w:p>
            <w:pPr>
              <w:pStyle w:val="12"/>
              <w:spacing w:line="276" w:lineRule="auto"/>
              <w:rPr>
                <w:sz w:val="24"/>
              </w:rPr>
            </w:pPr>
            <w:r>
              <w:rPr>
                <w:sz w:val="24"/>
              </w:rPr>
              <w:t>依托工程</w:t>
            </w:r>
          </w:p>
        </w:tc>
        <w:tc>
          <w:tcPr>
            <w:tcW w:w="3008" w:type="dxa"/>
            <w:gridSpan w:val="2"/>
            <w:tcBorders>
              <w:tl2br w:val="nil"/>
              <w:tr2bl w:val="nil"/>
            </w:tcBorders>
            <w:vAlign w:val="center"/>
          </w:tcPr>
          <w:p>
            <w:pPr>
              <w:pStyle w:val="12"/>
              <w:spacing w:line="276" w:lineRule="auto"/>
              <w:rPr>
                <w:sz w:val="24"/>
              </w:rPr>
            </w:pPr>
            <w:r>
              <w:rPr>
                <w:sz w:val="24"/>
              </w:rPr>
              <w:t>生产线厂房</w:t>
            </w:r>
          </w:p>
        </w:tc>
        <w:tc>
          <w:tcPr>
            <w:tcW w:w="2977" w:type="dxa"/>
            <w:tcBorders>
              <w:tl2br w:val="nil"/>
              <w:tr2bl w:val="nil"/>
            </w:tcBorders>
            <w:vAlign w:val="center"/>
          </w:tcPr>
          <w:p>
            <w:pPr>
              <w:pStyle w:val="12"/>
              <w:spacing w:line="276" w:lineRule="auto"/>
              <w:jc w:val="both"/>
              <w:rPr>
                <w:sz w:val="24"/>
              </w:rPr>
            </w:pPr>
            <w:r>
              <w:rPr>
                <w:sz w:val="24"/>
              </w:rPr>
              <w:t>依托现有电炉冶炼车间，现车间向南延长42m。</w:t>
            </w:r>
          </w:p>
        </w:tc>
        <w:tc>
          <w:tcPr>
            <w:tcW w:w="2612" w:type="dxa"/>
            <w:tcBorders>
              <w:tl2br w:val="nil"/>
              <w:tr2bl w:val="nil"/>
            </w:tcBorders>
            <w:vAlign w:val="center"/>
          </w:tcPr>
          <w:p>
            <w:pPr>
              <w:pStyle w:val="12"/>
              <w:spacing w:line="276" w:lineRule="auto"/>
              <w:jc w:val="both"/>
              <w:rPr>
                <w:sz w:val="24"/>
              </w:rPr>
            </w:pPr>
            <w:r>
              <w:rPr>
                <w:sz w:val="24"/>
              </w:rPr>
              <w:t>依托现有电炉冶炼车间，现车间向南延长42m。</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3008" w:type="dxa"/>
            <w:gridSpan w:val="2"/>
            <w:tcBorders>
              <w:tl2br w:val="nil"/>
              <w:tr2bl w:val="nil"/>
            </w:tcBorders>
            <w:vAlign w:val="center"/>
          </w:tcPr>
          <w:p>
            <w:pPr>
              <w:pStyle w:val="12"/>
              <w:spacing w:line="276" w:lineRule="auto"/>
              <w:rPr>
                <w:sz w:val="24"/>
              </w:rPr>
            </w:pPr>
            <w:r>
              <w:rPr>
                <w:sz w:val="24"/>
              </w:rPr>
              <w:t>原料库</w:t>
            </w:r>
          </w:p>
        </w:tc>
        <w:tc>
          <w:tcPr>
            <w:tcW w:w="2977" w:type="dxa"/>
            <w:tcBorders>
              <w:tl2br w:val="nil"/>
              <w:tr2bl w:val="nil"/>
            </w:tcBorders>
            <w:vAlign w:val="center"/>
          </w:tcPr>
          <w:p>
            <w:pPr>
              <w:pStyle w:val="12"/>
              <w:spacing w:line="276" w:lineRule="auto"/>
              <w:jc w:val="both"/>
              <w:rPr>
                <w:sz w:val="24"/>
              </w:rPr>
            </w:pPr>
            <w:r>
              <w:rPr>
                <w:sz w:val="24"/>
              </w:rPr>
              <w:t>依托现有原料库进行合金熔化装置合金材料的储存。</w:t>
            </w:r>
          </w:p>
        </w:tc>
        <w:tc>
          <w:tcPr>
            <w:tcW w:w="2612" w:type="dxa"/>
            <w:tcBorders>
              <w:tl2br w:val="nil"/>
              <w:tr2bl w:val="nil"/>
            </w:tcBorders>
            <w:vAlign w:val="center"/>
          </w:tcPr>
          <w:p>
            <w:pPr>
              <w:pStyle w:val="12"/>
              <w:spacing w:line="276" w:lineRule="auto"/>
              <w:jc w:val="both"/>
              <w:rPr>
                <w:sz w:val="24"/>
              </w:rPr>
            </w:pPr>
            <w:r>
              <w:rPr>
                <w:sz w:val="24"/>
              </w:rPr>
              <w:t>依托现有原料库进行合金熔化装置合金材料的储存。</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3008" w:type="dxa"/>
            <w:gridSpan w:val="2"/>
            <w:tcBorders>
              <w:tl2br w:val="nil"/>
              <w:tr2bl w:val="nil"/>
            </w:tcBorders>
            <w:vAlign w:val="center"/>
          </w:tcPr>
          <w:p>
            <w:pPr>
              <w:pStyle w:val="12"/>
              <w:spacing w:line="276" w:lineRule="auto"/>
              <w:rPr>
                <w:sz w:val="24"/>
              </w:rPr>
            </w:pPr>
            <w:r>
              <w:rPr>
                <w:sz w:val="24"/>
              </w:rPr>
              <w:t>办公生活区</w:t>
            </w:r>
          </w:p>
        </w:tc>
        <w:tc>
          <w:tcPr>
            <w:tcW w:w="2977" w:type="dxa"/>
            <w:tcBorders>
              <w:tl2br w:val="nil"/>
              <w:tr2bl w:val="nil"/>
            </w:tcBorders>
            <w:vAlign w:val="center"/>
          </w:tcPr>
          <w:p>
            <w:pPr>
              <w:pStyle w:val="12"/>
              <w:spacing w:line="276" w:lineRule="auto"/>
              <w:jc w:val="both"/>
              <w:rPr>
                <w:sz w:val="24"/>
              </w:rPr>
            </w:pPr>
            <w:r>
              <w:rPr>
                <w:sz w:val="24"/>
              </w:rPr>
              <w:t>不新增职工，依托太钢不锈钢股份有限公司已有设施。</w:t>
            </w:r>
          </w:p>
        </w:tc>
        <w:tc>
          <w:tcPr>
            <w:tcW w:w="2612" w:type="dxa"/>
            <w:tcBorders>
              <w:tl2br w:val="nil"/>
              <w:tr2bl w:val="nil"/>
            </w:tcBorders>
            <w:vAlign w:val="center"/>
          </w:tcPr>
          <w:p>
            <w:pPr>
              <w:pStyle w:val="12"/>
              <w:spacing w:line="276" w:lineRule="auto"/>
              <w:jc w:val="both"/>
              <w:rPr>
                <w:sz w:val="24"/>
              </w:rPr>
            </w:pPr>
            <w:r>
              <w:rPr>
                <w:sz w:val="24"/>
              </w:rPr>
              <w:t>不新增职工，依托太钢不锈钢股份有限公司已有设施。</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pStyle w:val="12"/>
              <w:spacing w:line="276" w:lineRule="auto"/>
              <w:rPr>
                <w:sz w:val="24"/>
              </w:rPr>
            </w:pPr>
          </w:p>
        </w:tc>
        <w:tc>
          <w:tcPr>
            <w:tcW w:w="3008" w:type="dxa"/>
            <w:gridSpan w:val="2"/>
            <w:tcBorders>
              <w:tl2br w:val="nil"/>
              <w:tr2bl w:val="nil"/>
            </w:tcBorders>
            <w:vAlign w:val="center"/>
          </w:tcPr>
          <w:p>
            <w:pPr>
              <w:pStyle w:val="12"/>
              <w:spacing w:line="276" w:lineRule="auto"/>
              <w:rPr>
                <w:sz w:val="24"/>
              </w:rPr>
            </w:pPr>
            <w:r>
              <w:rPr>
                <w:sz w:val="24"/>
              </w:rPr>
              <w:t>生活污水处理站</w:t>
            </w:r>
          </w:p>
        </w:tc>
        <w:tc>
          <w:tcPr>
            <w:tcW w:w="2977" w:type="dxa"/>
            <w:tcBorders>
              <w:tl2br w:val="nil"/>
              <w:tr2bl w:val="nil"/>
            </w:tcBorders>
            <w:vAlign w:val="center"/>
          </w:tcPr>
          <w:p>
            <w:pPr>
              <w:pStyle w:val="12"/>
              <w:spacing w:line="276" w:lineRule="auto"/>
              <w:jc w:val="both"/>
              <w:rPr>
                <w:sz w:val="24"/>
              </w:rPr>
            </w:pPr>
            <w:r>
              <w:rPr>
                <w:sz w:val="24"/>
              </w:rPr>
              <w:t>不新增职工，依托太钢不锈钢股份有限公司已有设施。</w:t>
            </w:r>
          </w:p>
        </w:tc>
        <w:tc>
          <w:tcPr>
            <w:tcW w:w="2612" w:type="dxa"/>
            <w:tcBorders>
              <w:tl2br w:val="nil"/>
              <w:tr2bl w:val="nil"/>
            </w:tcBorders>
            <w:vAlign w:val="center"/>
          </w:tcPr>
          <w:p>
            <w:pPr>
              <w:pStyle w:val="12"/>
              <w:spacing w:line="276" w:lineRule="auto"/>
              <w:jc w:val="both"/>
              <w:rPr>
                <w:sz w:val="24"/>
              </w:rPr>
            </w:pPr>
            <w:r>
              <w:rPr>
                <w:sz w:val="24"/>
              </w:rPr>
              <w:t>不新增职工，依托太钢不锈钢股份有限公司已有设施。</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restart"/>
            <w:tcBorders>
              <w:tl2br w:val="nil"/>
              <w:tr2bl w:val="nil"/>
            </w:tcBorders>
            <w:vAlign w:val="center"/>
          </w:tcPr>
          <w:p>
            <w:pPr>
              <w:pStyle w:val="12"/>
              <w:spacing w:line="276" w:lineRule="auto"/>
              <w:rPr>
                <w:sz w:val="24"/>
              </w:rPr>
            </w:pPr>
            <w:r>
              <w:rPr>
                <w:sz w:val="24"/>
              </w:rPr>
              <w:t>环保工程</w:t>
            </w:r>
          </w:p>
          <w:p>
            <w:pPr>
              <w:spacing w:line="276" w:lineRule="auto"/>
              <w:ind w:firstLine="480"/>
              <w:jc w:val="center"/>
              <w:rPr>
                <w:rFonts w:ascii="Times New Roman" w:hAnsi="Times New Roman" w:cs="Times New Roman"/>
                <w:sz w:val="24"/>
                <w:szCs w:val="24"/>
              </w:rPr>
            </w:pPr>
          </w:p>
        </w:tc>
        <w:tc>
          <w:tcPr>
            <w:tcW w:w="1307" w:type="dxa"/>
            <w:tcBorders>
              <w:tl2br w:val="nil"/>
              <w:tr2bl w:val="nil"/>
            </w:tcBorders>
            <w:vAlign w:val="center"/>
          </w:tcPr>
          <w:p>
            <w:pPr>
              <w:pStyle w:val="12"/>
              <w:spacing w:line="276" w:lineRule="auto"/>
              <w:rPr>
                <w:sz w:val="24"/>
              </w:rPr>
            </w:pPr>
            <w:r>
              <w:rPr>
                <w:sz w:val="24"/>
              </w:rPr>
              <w:t>大气污染物治理设施</w:t>
            </w:r>
          </w:p>
        </w:tc>
        <w:tc>
          <w:tcPr>
            <w:tcW w:w="1701" w:type="dxa"/>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合金熔化装置</w:t>
            </w:r>
          </w:p>
        </w:tc>
        <w:tc>
          <w:tcPr>
            <w:tcW w:w="2977"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汽车卸料地坑、料槽至1#皮带尾部、1#皮带-2#皮带落料点、2#皮带至中间料仓、称量斗、接料小车、合金熔化装置冶炼除尘、合金熔化装置出钢移动罩等产尘点均设置集气罩，集气后废气经管道输送与电炉烟气合并送至技改后除尘系统处理，并经现有2根30m高排气筒排放。</w:t>
            </w:r>
          </w:p>
        </w:tc>
        <w:tc>
          <w:tcPr>
            <w:tcW w:w="2612" w:type="dxa"/>
            <w:tcBorders>
              <w:tl2br w:val="nil"/>
              <w:tr2bl w:val="nil"/>
            </w:tcBorders>
            <w:vAlign w:val="center"/>
          </w:tcPr>
          <w:p>
            <w:pPr>
              <w:pStyle w:val="12"/>
              <w:spacing w:line="276" w:lineRule="auto"/>
              <w:jc w:val="both"/>
              <w:rPr>
                <w:sz w:val="24"/>
              </w:rPr>
            </w:pPr>
            <w:r>
              <w:rPr>
                <w:sz w:val="24"/>
              </w:rPr>
              <w:t>汽车卸料地坑、料槽至1#皮带尾部、1#皮带-2#皮带落料点、2#皮带至中间料仓、称量斗、接料小车、合金熔化装置冶炼除尘、合金熔化装置出钢移动罩等产尘点均设置集气罩，集气后废气经管道输送与电炉烟气合并送至技改后除尘系统处理，并经现有2根30m高排气筒排放。</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spacing w:line="276" w:lineRule="auto"/>
              <w:ind w:firstLine="480"/>
              <w:jc w:val="center"/>
              <w:rPr>
                <w:rFonts w:ascii="Times New Roman" w:hAnsi="Times New Roman" w:cs="Times New Roman"/>
                <w:sz w:val="24"/>
                <w:szCs w:val="24"/>
              </w:rPr>
            </w:pPr>
          </w:p>
        </w:tc>
        <w:tc>
          <w:tcPr>
            <w:tcW w:w="1307" w:type="dxa"/>
            <w:vMerge w:val="restart"/>
            <w:tcBorders>
              <w:tl2br w:val="nil"/>
              <w:tr2bl w:val="nil"/>
            </w:tcBorders>
            <w:vAlign w:val="center"/>
          </w:tcPr>
          <w:p>
            <w:pPr>
              <w:pStyle w:val="12"/>
              <w:spacing w:line="276" w:lineRule="auto"/>
              <w:rPr>
                <w:sz w:val="24"/>
              </w:rPr>
            </w:pPr>
            <w:r>
              <w:rPr>
                <w:sz w:val="24"/>
              </w:rPr>
              <w:t>噪声防治措施</w:t>
            </w:r>
          </w:p>
        </w:tc>
        <w:tc>
          <w:tcPr>
            <w:tcW w:w="1701" w:type="dxa"/>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电炉</w:t>
            </w:r>
          </w:p>
        </w:tc>
        <w:tc>
          <w:tcPr>
            <w:tcW w:w="2977"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设置1套30t合金熔化装置及配套设施，作为不锈钢冶炼专用合金熔化装置，</w:t>
            </w:r>
            <w:bookmarkStart w:id="18" w:name="OLE_LINK10"/>
            <w:r>
              <w:rPr>
                <w:rFonts w:ascii="Times New Roman" w:hAnsi="Times New Roman" w:eastAsia="宋体" w:cs="Times New Roman"/>
              </w:rPr>
              <w:t>实现90t电炉送电时炉内就有液态熔池，从而直接实现埋弧操作，降低供电强度，最终有效避免全冷料、高强度、高噪音的供电区间，实现降噪目的</w:t>
            </w:r>
            <w:bookmarkEnd w:id="18"/>
            <w:r>
              <w:rPr>
                <w:rFonts w:ascii="Times New Roman" w:hAnsi="Times New Roman" w:eastAsia="宋体" w:cs="Times New Roman"/>
              </w:rPr>
              <w:t>。</w:t>
            </w:r>
          </w:p>
        </w:tc>
        <w:tc>
          <w:tcPr>
            <w:tcW w:w="2612" w:type="dxa"/>
            <w:tcBorders>
              <w:tl2br w:val="nil"/>
              <w:tr2bl w:val="nil"/>
            </w:tcBorders>
            <w:vAlign w:val="center"/>
          </w:tcPr>
          <w:p>
            <w:pPr>
              <w:pStyle w:val="12"/>
              <w:spacing w:line="276" w:lineRule="auto"/>
              <w:jc w:val="both"/>
              <w:rPr>
                <w:sz w:val="24"/>
              </w:rPr>
            </w:pPr>
            <w:r>
              <w:rPr>
                <w:sz w:val="24"/>
              </w:rPr>
              <w:t>设置1套30t合金熔化装置及配套设施，作为不锈钢冶炼专用合金熔化装置，实现90t电炉送电时炉内就有液态熔池，降低供电强度，实现降噪目的。</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spacing w:line="276" w:lineRule="auto"/>
              <w:ind w:firstLine="480"/>
              <w:jc w:val="center"/>
              <w:rPr>
                <w:rFonts w:ascii="Times New Roman" w:hAnsi="Times New Roman" w:cs="Times New Roman"/>
                <w:sz w:val="24"/>
                <w:szCs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合金熔化装置</w:t>
            </w:r>
          </w:p>
        </w:tc>
        <w:tc>
          <w:tcPr>
            <w:tcW w:w="2977"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合金熔化装置本体通过设置独立的装置本体平台、下部全封闭室、磁轭共振处理、设置盖板及排烟罩、增设旋转式降噪吸风盖等多项消音处理，保证设备1m处的声源强度小于70dB(A)，并在新建车间内墙及屋顶设置镀锌钢板+岩棉隔音层。</w:t>
            </w:r>
          </w:p>
        </w:tc>
        <w:tc>
          <w:tcPr>
            <w:tcW w:w="2612" w:type="dxa"/>
            <w:tcBorders>
              <w:tl2br w:val="nil"/>
              <w:tr2bl w:val="nil"/>
            </w:tcBorders>
            <w:vAlign w:val="center"/>
          </w:tcPr>
          <w:p>
            <w:pPr>
              <w:pStyle w:val="12"/>
              <w:spacing w:line="276" w:lineRule="auto"/>
              <w:jc w:val="both"/>
              <w:rPr>
                <w:sz w:val="24"/>
              </w:rPr>
            </w:pPr>
            <w:r>
              <w:rPr>
                <w:sz w:val="24"/>
              </w:rPr>
              <w:t>合金熔化装置本体设置独立的装置本体平台、下部全封闭室、磁轭共振处理、设置盖板及排烟罩、增设旋转式降噪吸风盖等，并在新建车间内墙及屋顶设置镀锌钢板+岩棉隔音层。</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spacing w:line="276" w:lineRule="auto"/>
              <w:ind w:firstLine="480"/>
              <w:jc w:val="center"/>
              <w:rPr>
                <w:rFonts w:ascii="Times New Roman" w:hAnsi="Times New Roman" w:cs="Times New Roman"/>
                <w:sz w:val="24"/>
                <w:szCs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风机</w:t>
            </w:r>
          </w:p>
        </w:tc>
        <w:tc>
          <w:tcPr>
            <w:tcW w:w="2977"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增设风机隔音房，隔音墙体材质：内侧冲孔板+130mm厚岩棉+单层压型钢板，风机隔音房建设面积为2×50m</w:t>
            </w:r>
            <w:r>
              <w:rPr>
                <w:rFonts w:ascii="Times New Roman" w:hAnsi="Times New Roman" w:eastAsia="宋体" w:cs="Times New Roman"/>
                <w:vertAlign w:val="superscript"/>
              </w:rPr>
              <w:t>2</w:t>
            </w:r>
            <w:r>
              <w:rPr>
                <w:rFonts w:ascii="Times New Roman" w:hAnsi="Times New Roman" w:eastAsia="宋体" w:cs="Times New Roman"/>
              </w:rPr>
              <w:t>，隔音房不设窗户。类比一钢厂料场封闭后车间噪声隔声量为23分贝。</w:t>
            </w:r>
          </w:p>
        </w:tc>
        <w:tc>
          <w:tcPr>
            <w:tcW w:w="2612" w:type="dxa"/>
            <w:tcBorders>
              <w:tl2br w:val="nil"/>
              <w:tr2bl w:val="nil"/>
            </w:tcBorders>
            <w:vAlign w:val="center"/>
          </w:tcPr>
          <w:p>
            <w:pPr>
              <w:pStyle w:val="12"/>
              <w:spacing w:line="276" w:lineRule="auto"/>
              <w:jc w:val="both"/>
              <w:rPr>
                <w:sz w:val="24"/>
              </w:rPr>
            </w:pPr>
            <w:r>
              <w:rPr>
                <w:sz w:val="24"/>
              </w:rPr>
              <w:t>风机位置在厂房北侧，改造后位置不变，风机采用岩棉包扎、基础减振措施进行降噪。除尘器电机采用隔声间全封闭，隔音墙体材质：内侧冲孔板+100mm厚岩棉+单层压型钢板；电机隔音房建设面积为2×20m</w:t>
            </w:r>
            <w:r>
              <w:rPr>
                <w:sz w:val="24"/>
                <w:vertAlign w:val="superscript"/>
              </w:rPr>
              <w:t>2</w:t>
            </w:r>
            <w:r>
              <w:rPr>
                <w:sz w:val="24"/>
              </w:rPr>
              <w:t>。排放筒增设消声器。</w:t>
            </w:r>
          </w:p>
        </w:tc>
        <w:tc>
          <w:tcPr>
            <w:tcW w:w="1215" w:type="dxa"/>
            <w:tcBorders>
              <w:tl2br w:val="nil"/>
              <w:tr2bl w:val="nil"/>
            </w:tcBorders>
            <w:vAlign w:val="center"/>
          </w:tcPr>
          <w:p>
            <w:pPr>
              <w:pStyle w:val="12"/>
              <w:spacing w:line="276" w:lineRule="auto"/>
              <w:rPr>
                <w:sz w:val="24"/>
              </w:rPr>
            </w:pPr>
            <w:r>
              <w:rPr>
                <w:sz w:val="24"/>
              </w:rPr>
              <w:t>基本一致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spacing w:line="276" w:lineRule="auto"/>
              <w:ind w:firstLine="480"/>
              <w:jc w:val="center"/>
              <w:rPr>
                <w:rFonts w:ascii="Times New Roman" w:hAnsi="Times New Roman" w:cs="Times New Roman"/>
                <w:sz w:val="24"/>
                <w:szCs w:val="24"/>
              </w:rPr>
            </w:pPr>
          </w:p>
        </w:tc>
        <w:tc>
          <w:tcPr>
            <w:tcW w:w="1307" w:type="dxa"/>
            <w:vMerge w:val="restart"/>
            <w:tcBorders>
              <w:tl2br w:val="nil"/>
              <w:tr2bl w:val="nil"/>
            </w:tcBorders>
            <w:vAlign w:val="center"/>
          </w:tcPr>
          <w:p>
            <w:pPr>
              <w:pStyle w:val="12"/>
              <w:spacing w:line="276" w:lineRule="auto"/>
              <w:rPr>
                <w:sz w:val="24"/>
              </w:rPr>
            </w:pPr>
            <w:r>
              <w:rPr>
                <w:sz w:val="24"/>
              </w:rPr>
              <w:t>固体废物（危险废物）</w:t>
            </w:r>
          </w:p>
        </w:tc>
        <w:tc>
          <w:tcPr>
            <w:tcW w:w="1701" w:type="dxa"/>
            <w:tcBorders>
              <w:tl2br w:val="nil"/>
              <w:tr2bl w:val="nil"/>
            </w:tcBorders>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除尘器除尘灰</w:t>
            </w:r>
          </w:p>
          <w:p>
            <w:pPr>
              <w:spacing w:line="276" w:lineRule="auto"/>
              <w:jc w:val="center"/>
              <w:rPr>
                <w:rFonts w:ascii="Times New Roman" w:hAnsi="Times New Roman" w:cs="Times New Roman"/>
                <w:sz w:val="24"/>
                <w:szCs w:val="24"/>
              </w:rPr>
            </w:pPr>
            <w:r>
              <w:rPr>
                <w:rFonts w:ascii="Times New Roman" w:hAnsi="Times New Roman" w:cs="Times New Roman"/>
                <w:sz w:val="24"/>
              </w:rPr>
              <w:t>（危险废物）</w:t>
            </w:r>
          </w:p>
        </w:tc>
        <w:tc>
          <w:tcPr>
            <w:tcW w:w="2977"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送太钢烧结车间回用。</w:t>
            </w:r>
          </w:p>
        </w:tc>
        <w:tc>
          <w:tcPr>
            <w:tcW w:w="2612" w:type="dxa"/>
            <w:tcBorders>
              <w:tl2br w:val="nil"/>
              <w:tr2bl w:val="nil"/>
            </w:tcBorders>
            <w:vAlign w:val="center"/>
          </w:tcPr>
          <w:p>
            <w:pPr>
              <w:pStyle w:val="12"/>
              <w:spacing w:line="276" w:lineRule="auto"/>
              <w:jc w:val="both"/>
              <w:rPr>
                <w:sz w:val="24"/>
              </w:rPr>
            </w:pPr>
            <w:r>
              <w:rPr>
                <w:sz w:val="24"/>
              </w:rPr>
              <w:t>送太钢烧结车间回用。</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spacing w:line="276" w:lineRule="auto"/>
              <w:ind w:firstLine="480"/>
              <w:jc w:val="center"/>
              <w:rPr>
                <w:rFonts w:ascii="Times New Roman" w:hAnsi="Times New Roman" w:cs="Times New Roman"/>
                <w:sz w:val="24"/>
                <w:szCs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2"/>
              <w:spacing w:line="276" w:lineRule="auto"/>
              <w:rPr>
                <w:sz w:val="24"/>
              </w:rPr>
            </w:pPr>
            <w:r>
              <w:rPr>
                <w:sz w:val="24"/>
              </w:rPr>
              <w:t>废耐火材料（固体废物）</w:t>
            </w:r>
          </w:p>
        </w:tc>
        <w:tc>
          <w:tcPr>
            <w:tcW w:w="2977" w:type="dxa"/>
            <w:tcBorders>
              <w:tl2br w:val="nil"/>
              <w:tr2bl w:val="nil"/>
            </w:tcBorders>
            <w:vAlign w:val="center"/>
          </w:tcPr>
          <w:p>
            <w:pPr>
              <w:pStyle w:val="7"/>
              <w:spacing w:line="276" w:lineRule="auto"/>
              <w:jc w:val="both"/>
              <w:rPr>
                <w:sz w:val="24"/>
                <w:szCs w:val="24"/>
              </w:rPr>
            </w:pPr>
            <w:r>
              <w:rPr>
                <w:sz w:val="24"/>
                <w:szCs w:val="24"/>
              </w:rPr>
              <w:t>由太钢加工厂统一处理。</w:t>
            </w:r>
          </w:p>
        </w:tc>
        <w:tc>
          <w:tcPr>
            <w:tcW w:w="2612" w:type="dxa"/>
            <w:tcBorders>
              <w:tl2br w:val="nil"/>
              <w:tr2bl w:val="nil"/>
            </w:tcBorders>
            <w:vAlign w:val="center"/>
          </w:tcPr>
          <w:p>
            <w:pPr>
              <w:pStyle w:val="12"/>
              <w:spacing w:line="276" w:lineRule="auto"/>
              <w:jc w:val="both"/>
              <w:rPr>
                <w:sz w:val="24"/>
              </w:rPr>
            </w:pPr>
            <w:r>
              <w:rPr>
                <w:sz w:val="24"/>
              </w:rPr>
              <w:t>由太钢加工厂统一处理。</w:t>
            </w:r>
          </w:p>
        </w:tc>
        <w:tc>
          <w:tcPr>
            <w:tcW w:w="1215"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531" w:type="dxa"/>
            <w:vMerge w:val="continue"/>
            <w:tcBorders>
              <w:tl2br w:val="nil"/>
              <w:tr2bl w:val="nil"/>
            </w:tcBorders>
            <w:vAlign w:val="center"/>
          </w:tcPr>
          <w:p>
            <w:pPr>
              <w:spacing w:line="276" w:lineRule="auto"/>
              <w:ind w:firstLine="480"/>
              <w:jc w:val="center"/>
              <w:rPr>
                <w:rFonts w:ascii="Times New Roman" w:hAnsi="Times New Roman" w:cs="Times New Roman"/>
                <w:sz w:val="24"/>
                <w:szCs w:val="24"/>
              </w:rPr>
            </w:pPr>
          </w:p>
        </w:tc>
        <w:tc>
          <w:tcPr>
            <w:tcW w:w="1307" w:type="dxa"/>
            <w:vMerge w:val="continue"/>
            <w:tcBorders>
              <w:tl2br w:val="nil"/>
              <w:tr2bl w:val="nil"/>
            </w:tcBorders>
            <w:vAlign w:val="center"/>
          </w:tcPr>
          <w:p>
            <w:pPr>
              <w:pStyle w:val="12"/>
              <w:spacing w:line="276" w:lineRule="auto"/>
              <w:rPr>
                <w:sz w:val="24"/>
              </w:rPr>
            </w:pPr>
          </w:p>
        </w:tc>
        <w:tc>
          <w:tcPr>
            <w:tcW w:w="1701" w:type="dxa"/>
            <w:tcBorders>
              <w:tl2br w:val="nil"/>
              <w:tr2bl w:val="nil"/>
            </w:tcBorders>
            <w:vAlign w:val="center"/>
          </w:tcPr>
          <w:p>
            <w:pPr>
              <w:pStyle w:val="12"/>
              <w:spacing w:line="276" w:lineRule="auto"/>
              <w:rPr>
                <w:sz w:val="24"/>
              </w:rPr>
            </w:pPr>
            <w:r>
              <w:rPr>
                <w:sz w:val="24"/>
              </w:rPr>
              <w:t>废液压油、润滑剂</w:t>
            </w:r>
          </w:p>
          <w:p>
            <w:pPr>
              <w:pStyle w:val="12"/>
              <w:spacing w:line="276" w:lineRule="auto"/>
              <w:rPr>
                <w:sz w:val="24"/>
              </w:rPr>
            </w:pPr>
            <w:r>
              <w:rPr>
                <w:sz w:val="24"/>
              </w:rPr>
              <w:t>（危险废物）</w:t>
            </w:r>
          </w:p>
        </w:tc>
        <w:tc>
          <w:tcPr>
            <w:tcW w:w="2977" w:type="dxa"/>
            <w:tcBorders>
              <w:tl2br w:val="nil"/>
              <w:tr2bl w:val="nil"/>
            </w:tcBorders>
            <w:vAlign w:val="center"/>
          </w:tcPr>
          <w:p>
            <w:pPr>
              <w:pStyle w:val="7"/>
              <w:spacing w:line="276" w:lineRule="auto"/>
              <w:jc w:val="both"/>
              <w:rPr>
                <w:sz w:val="24"/>
                <w:szCs w:val="24"/>
              </w:rPr>
            </w:pPr>
            <w:r>
              <w:rPr>
                <w:sz w:val="24"/>
                <w:szCs w:val="24"/>
              </w:rPr>
              <w:t>车间内危废暂存间暂存，由太钢加工厂统一收集处理。</w:t>
            </w:r>
          </w:p>
        </w:tc>
        <w:tc>
          <w:tcPr>
            <w:tcW w:w="2612" w:type="dxa"/>
            <w:tcBorders>
              <w:tl2br w:val="nil"/>
              <w:tr2bl w:val="nil"/>
            </w:tcBorders>
            <w:vAlign w:val="center"/>
          </w:tcPr>
          <w:p>
            <w:pPr>
              <w:pStyle w:val="12"/>
              <w:spacing w:line="276" w:lineRule="auto"/>
              <w:jc w:val="both"/>
              <w:rPr>
                <w:sz w:val="24"/>
              </w:rPr>
            </w:pPr>
            <w:r>
              <w:rPr>
                <w:rFonts w:hint="eastAsia"/>
                <w:sz w:val="24"/>
              </w:rPr>
              <w:t>产生的废液压油、润滑剂</w:t>
            </w:r>
            <w:r>
              <w:rPr>
                <w:sz w:val="24"/>
              </w:rPr>
              <w:t>由太钢加工厂统一收集</w:t>
            </w:r>
            <w:r>
              <w:rPr>
                <w:rFonts w:hint="eastAsia"/>
                <w:sz w:val="24"/>
              </w:rPr>
              <w:t>后交由有资质的单位处理，不在车间内暂存</w:t>
            </w:r>
            <w:r>
              <w:rPr>
                <w:sz w:val="24"/>
              </w:rPr>
              <w:t>。</w:t>
            </w:r>
          </w:p>
        </w:tc>
        <w:tc>
          <w:tcPr>
            <w:tcW w:w="1215" w:type="dxa"/>
            <w:tcBorders>
              <w:tl2br w:val="nil"/>
              <w:tr2bl w:val="nil"/>
            </w:tcBorders>
            <w:vAlign w:val="center"/>
          </w:tcPr>
          <w:p>
            <w:pPr>
              <w:pStyle w:val="12"/>
              <w:spacing w:line="276" w:lineRule="auto"/>
              <w:rPr>
                <w:sz w:val="24"/>
              </w:rPr>
            </w:pPr>
            <w:r>
              <w:rPr>
                <w:rFonts w:hint="eastAsia"/>
                <w:sz w:val="24"/>
              </w:rPr>
              <w:t>产生的废液压油、润滑剂不在车间内暂存</w:t>
            </w:r>
          </w:p>
        </w:tc>
      </w:tr>
    </w:tbl>
    <w:p>
      <w:pPr>
        <w:ind w:firstLine="560" w:firstLineChars="200"/>
        <w:rPr>
          <w:rFonts w:ascii="Times New Roman" w:hAnsi="Times New Roman" w:cs="Times New Roman"/>
        </w:rPr>
      </w:pPr>
      <w:r>
        <w:rPr>
          <w:rFonts w:ascii="Times New Roman" w:hAnsi="Times New Roman" w:cs="Times New Roman"/>
        </w:rPr>
        <w:t>建设合金熔化装置主要技术参数见下表。</w:t>
      </w:r>
    </w:p>
    <w:p>
      <w:pPr>
        <w:jc w:val="center"/>
        <w:rPr>
          <w:rFonts w:ascii="Times New Roman" w:hAnsi="Times New Roman" w:cs="Times New Roman"/>
        </w:rPr>
      </w:pPr>
      <w:r>
        <w:rPr>
          <w:rFonts w:ascii="Times New Roman" w:hAnsi="Times New Roman" w:cs="Times New Roman"/>
        </w:rPr>
        <w:t>表3-4  合金熔化装置主要技术参数一览表</w:t>
      </w:r>
    </w:p>
    <w:tbl>
      <w:tblPr>
        <w:tblStyle w:val="21"/>
        <w:tblW w:w="9894"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536"/>
        <w:gridCol w:w="1702"/>
        <w:gridCol w:w="1142"/>
        <w:gridCol w:w="2887"/>
        <w:gridCol w:w="2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类别</w:t>
            </w:r>
          </w:p>
        </w:tc>
        <w:tc>
          <w:tcPr>
            <w:tcW w:w="2238" w:type="dxa"/>
            <w:gridSpan w:val="2"/>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名称</w:t>
            </w:r>
          </w:p>
        </w:tc>
        <w:tc>
          <w:tcPr>
            <w:tcW w:w="1142"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单位</w:t>
            </w:r>
          </w:p>
        </w:tc>
        <w:tc>
          <w:tcPr>
            <w:tcW w:w="2887"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环评设计技术参数</w:t>
            </w:r>
          </w:p>
        </w:tc>
        <w:tc>
          <w:tcPr>
            <w:tcW w:w="2887"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实际建设技术参数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合金熔化炉</w:t>
            </w: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型式</w:t>
            </w:r>
          </w:p>
        </w:tc>
        <w:tc>
          <w:tcPr>
            <w:tcW w:w="1142" w:type="dxa"/>
            <w:vAlign w:val="center"/>
          </w:tcPr>
          <w:p>
            <w:pPr>
              <w:pStyle w:val="10"/>
              <w:spacing w:line="276" w:lineRule="auto"/>
              <w:rPr>
                <w:rFonts w:ascii="Times New Roman" w:hAnsi="Times New Roman" w:eastAsia="宋体" w:cs="Times New Roman"/>
              </w:rPr>
            </w:pP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双工位，一个工位冶炼、一个工位修砌。1套24MW电源、1套1800kW保温电源</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双工位，一个工位冶炼、一个工位修砌。1套24MW电源、1套1800kW保温电源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炉容量</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t</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出铁温度</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≥1670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平均熔化率</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t／h</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炉体结构形式</w:t>
            </w:r>
          </w:p>
        </w:tc>
        <w:tc>
          <w:tcPr>
            <w:tcW w:w="1142" w:type="dxa"/>
            <w:vAlign w:val="center"/>
          </w:tcPr>
          <w:p>
            <w:pPr>
              <w:pStyle w:val="10"/>
              <w:spacing w:line="276" w:lineRule="auto"/>
              <w:rPr>
                <w:rFonts w:ascii="Times New Roman" w:hAnsi="Times New Roman" w:eastAsia="宋体" w:cs="Times New Roman"/>
              </w:rPr>
            </w:pP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开放式钢结构</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开放式钢结构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线圈短路环安装位置</w:t>
            </w:r>
          </w:p>
        </w:tc>
        <w:tc>
          <w:tcPr>
            <w:tcW w:w="1142" w:type="dxa"/>
            <w:vAlign w:val="center"/>
          </w:tcPr>
          <w:p>
            <w:pPr>
              <w:pStyle w:val="10"/>
              <w:spacing w:line="276" w:lineRule="auto"/>
              <w:rPr>
                <w:rFonts w:ascii="Times New Roman" w:hAnsi="Times New Roman" w:eastAsia="宋体" w:cs="Times New Roman"/>
              </w:rPr>
            </w:pP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炉顶块内</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炉顶块内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设计单炉电耗</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Kwh/t</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≤660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设计炉衬厚度</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mm</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约210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约210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设计炉衬寿命</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次/炉役</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≥80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2238"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耐材维修</w:t>
            </w:r>
          </w:p>
        </w:tc>
        <w:tc>
          <w:tcPr>
            <w:tcW w:w="1142" w:type="dxa"/>
            <w:vAlign w:val="center"/>
          </w:tcPr>
          <w:p>
            <w:pPr>
              <w:pStyle w:val="10"/>
              <w:spacing w:line="276" w:lineRule="auto"/>
              <w:rPr>
                <w:rFonts w:ascii="Times New Roman" w:hAnsi="Times New Roman" w:eastAsia="宋体" w:cs="Times New Roman"/>
              </w:rPr>
            </w:pP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耐材推出液压装置</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耐材推出液压装置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炉体冷却系统</w:t>
            </w: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流量</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t／h</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熔化300+保温100+母线100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熔化300+保温100+母线100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进水压力</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MPa</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0.25-0.30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0.25-0.30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进出水压差</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MPa</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0.20-0.25</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0.20-0.25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进水温度</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&lt;38</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&lt;38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温升</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&gt;15</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&gt;15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水泵数量</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台</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3台（两用一备）/套</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3台（两用一备）/套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板换面积</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M2</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150/套</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150/套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电机功率</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KW</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30×3/套</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感应</w:t>
            </w:r>
          </w:p>
          <w:p>
            <w:pPr>
              <w:pStyle w:val="10"/>
              <w:spacing w:line="276" w:lineRule="auto"/>
              <w:rPr>
                <w:rFonts w:ascii="Times New Roman" w:hAnsi="Times New Roman" w:eastAsia="宋体" w:cs="Times New Roman"/>
              </w:rPr>
            </w:pPr>
            <w:r>
              <w:rPr>
                <w:rFonts w:ascii="Times New Roman" w:hAnsi="Times New Roman" w:eastAsia="宋体" w:cs="Times New Roman"/>
              </w:rPr>
              <w:t>线圈</w:t>
            </w: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工作电压</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V</w:t>
            </w:r>
          </w:p>
        </w:tc>
        <w:tc>
          <w:tcPr>
            <w:tcW w:w="2887" w:type="dxa"/>
            <w:vAlign w:val="center"/>
          </w:tcPr>
          <w:p>
            <w:pPr>
              <w:pStyle w:val="10"/>
              <w:spacing w:line="276" w:lineRule="auto"/>
              <w:rPr>
                <w:rFonts w:ascii="Times New Roman" w:hAnsi="Times New Roman" w:eastAsia="宋体" w:cs="Times New Roman"/>
              </w:rPr>
            </w:pPr>
            <w:r>
              <w:rPr>
                <w:rFonts w:hint="eastAsia" w:ascii="宋体" w:hAnsi="宋体" w:eastAsia="宋体" w:cs="宋体"/>
              </w:rPr>
              <w:t>≦</w:t>
            </w:r>
            <w:r>
              <w:rPr>
                <w:rFonts w:ascii="Times New Roman" w:hAnsi="Times New Roman" w:eastAsia="宋体" w:cs="Times New Roman"/>
              </w:rPr>
              <w:t>5700</w:t>
            </w:r>
          </w:p>
        </w:tc>
        <w:tc>
          <w:tcPr>
            <w:tcW w:w="2887" w:type="dxa"/>
            <w:vAlign w:val="center"/>
          </w:tcPr>
          <w:p>
            <w:pPr>
              <w:pStyle w:val="10"/>
              <w:spacing w:line="276" w:lineRule="auto"/>
              <w:rPr>
                <w:rFonts w:ascii="Times New Roman" w:hAnsi="Times New Roman" w:eastAsia="宋体" w:cs="Times New Roman"/>
              </w:rPr>
            </w:pPr>
            <w:r>
              <w:rPr>
                <w:rFonts w:hint="eastAsia" w:ascii="宋体" w:hAnsi="宋体" w:eastAsia="宋体" w:cs="宋体"/>
              </w:rPr>
              <w:t>≦</w:t>
            </w:r>
            <w:r>
              <w:rPr>
                <w:rFonts w:ascii="Times New Roman" w:hAnsi="Times New Roman" w:eastAsia="宋体" w:cs="Times New Roman"/>
              </w:rPr>
              <w:t>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内径</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mm</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2100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总高</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mm</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2970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铜管壁厚</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mm</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结构形式</w:t>
            </w:r>
          </w:p>
        </w:tc>
        <w:tc>
          <w:tcPr>
            <w:tcW w:w="1142" w:type="dxa"/>
            <w:vAlign w:val="center"/>
          </w:tcPr>
          <w:p>
            <w:pPr>
              <w:pStyle w:val="10"/>
              <w:spacing w:line="276" w:lineRule="auto"/>
              <w:rPr>
                <w:rFonts w:ascii="Times New Roman" w:hAnsi="Times New Roman" w:eastAsia="宋体" w:cs="Times New Roman"/>
              </w:rPr>
            </w:pP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阶梯式平行绕制</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阶梯式平行绕制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线圈绝缘工艺</w:t>
            </w:r>
          </w:p>
        </w:tc>
        <w:tc>
          <w:tcPr>
            <w:tcW w:w="1142" w:type="dxa"/>
            <w:vAlign w:val="center"/>
          </w:tcPr>
          <w:p>
            <w:pPr>
              <w:pStyle w:val="10"/>
              <w:spacing w:line="276" w:lineRule="auto"/>
              <w:rPr>
                <w:rFonts w:ascii="Times New Roman" w:hAnsi="Times New Roman" w:eastAsia="宋体" w:cs="Times New Roman"/>
              </w:rPr>
            </w:pP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采用复合绝缘材料喷涂工艺+高温整体浇筑</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采用复合绝缘材料喷涂工艺+高温整体浇筑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材质</w:t>
            </w:r>
          </w:p>
        </w:tc>
        <w:tc>
          <w:tcPr>
            <w:tcW w:w="1142" w:type="dxa"/>
            <w:vAlign w:val="center"/>
          </w:tcPr>
          <w:p>
            <w:pPr>
              <w:pStyle w:val="10"/>
              <w:spacing w:line="276" w:lineRule="auto"/>
              <w:rPr>
                <w:rFonts w:ascii="Times New Roman" w:hAnsi="Times New Roman" w:eastAsia="宋体" w:cs="Times New Roman"/>
              </w:rPr>
            </w:pP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T1</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磁轭</w:t>
            </w: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结构形式</w:t>
            </w:r>
          </w:p>
        </w:tc>
        <w:tc>
          <w:tcPr>
            <w:tcW w:w="1142" w:type="dxa"/>
            <w:vAlign w:val="center"/>
          </w:tcPr>
          <w:p>
            <w:pPr>
              <w:pStyle w:val="10"/>
              <w:spacing w:line="276" w:lineRule="auto"/>
              <w:rPr>
                <w:rFonts w:ascii="Times New Roman" w:hAnsi="Times New Roman" w:eastAsia="宋体" w:cs="Times New Roman"/>
              </w:rPr>
            </w:pP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叠片无拉杆，绑扎型，外侧压装不锈钢水冷方管</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叠片无拉杆，绑扎型，外侧压装不锈钢水冷方管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硅钢片厂家</w:t>
            </w:r>
          </w:p>
        </w:tc>
        <w:tc>
          <w:tcPr>
            <w:tcW w:w="1142" w:type="dxa"/>
            <w:vAlign w:val="center"/>
          </w:tcPr>
          <w:p>
            <w:pPr>
              <w:pStyle w:val="10"/>
              <w:spacing w:line="276" w:lineRule="auto"/>
              <w:rPr>
                <w:rFonts w:ascii="Times New Roman" w:hAnsi="Times New Roman" w:eastAsia="宋体" w:cs="Times New Roman"/>
              </w:rPr>
            </w:pP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武钢合金熔化炉专用硅钢片</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武钢合金熔化炉专用硅钢片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40" w:type="dxa"/>
            <w:vMerge w:val="continue"/>
            <w:vAlign w:val="center"/>
          </w:tcPr>
          <w:p>
            <w:pPr>
              <w:pStyle w:val="10"/>
              <w:spacing w:line="276" w:lineRule="auto"/>
              <w:rPr>
                <w:rFonts w:ascii="Times New Roman" w:hAnsi="Times New Roman" w:eastAsia="宋体" w:cs="Times New Roman"/>
              </w:rPr>
            </w:pPr>
          </w:p>
        </w:tc>
        <w:tc>
          <w:tcPr>
            <w:tcW w:w="536" w:type="dxa"/>
            <w:vMerge w:val="continue"/>
            <w:vAlign w:val="center"/>
          </w:tcPr>
          <w:p>
            <w:pPr>
              <w:pStyle w:val="10"/>
              <w:spacing w:line="276" w:lineRule="auto"/>
              <w:rPr>
                <w:rFonts w:ascii="Times New Roman" w:hAnsi="Times New Roman" w:eastAsia="宋体" w:cs="Times New Roman"/>
              </w:rPr>
            </w:pPr>
          </w:p>
        </w:tc>
        <w:tc>
          <w:tcPr>
            <w:tcW w:w="170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数量</w:t>
            </w:r>
          </w:p>
        </w:tc>
        <w:tc>
          <w:tcPr>
            <w:tcW w:w="11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件/炉体</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14</w:t>
            </w:r>
          </w:p>
        </w:tc>
        <w:tc>
          <w:tcPr>
            <w:tcW w:w="288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14</w:t>
            </w:r>
          </w:p>
        </w:tc>
      </w:tr>
    </w:tbl>
    <w:p>
      <w:pPr>
        <w:ind w:firstLine="560" w:firstLineChars="200"/>
        <w:rPr>
          <w:rFonts w:ascii="Times New Roman" w:hAnsi="Times New Roman" w:cs="Times New Roman"/>
        </w:rPr>
      </w:pPr>
      <w:r>
        <w:rPr>
          <w:rFonts w:ascii="Times New Roman" w:hAnsi="Times New Roman" w:cs="Times New Roman"/>
        </w:rPr>
        <w:t>上料系统组成及设备参数见下表。</w:t>
      </w:r>
    </w:p>
    <w:p>
      <w:pPr>
        <w:jc w:val="center"/>
        <w:rPr>
          <w:rFonts w:ascii="Times New Roman" w:hAnsi="Times New Roman" w:cs="Times New Roman"/>
        </w:rPr>
      </w:pPr>
      <w:r>
        <w:rPr>
          <w:rFonts w:ascii="Times New Roman" w:hAnsi="Times New Roman" w:cs="Times New Roman"/>
        </w:rPr>
        <w:t>表3-5  上料系统组成及设备参数一览表</w:t>
      </w:r>
    </w:p>
    <w:tbl>
      <w:tblPr>
        <w:tblStyle w:val="21"/>
        <w:tblW w:w="10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381"/>
        <w:gridCol w:w="2721"/>
        <w:gridCol w:w="794"/>
        <w:gridCol w:w="794"/>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b/>
                <w:bCs/>
                <w:sz w:val="24"/>
              </w:rPr>
            </w:pPr>
            <w:r>
              <w:rPr>
                <w:b/>
                <w:bCs/>
                <w:sz w:val="24"/>
              </w:rPr>
              <w:t>序号</w:t>
            </w:r>
          </w:p>
        </w:tc>
        <w:tc>
          <w:tcPr>
            <w:tcW w:w="2381" w:type="dxa"/>
            <w:vAlign w:val="center"/>
          </w:tcPr>
          <w:p>
            <w:pPr>
              <w:pStyle w:val="12"/>
              <w:spacing w:line="276" w:lineRule="auto"/>
              <w:rPr>
                <w:b/>
                <w:bCs/>
                <w:sz w:val="24"/>
              </w:rPr>
            </w:pPr>
            <w:r>
              <w:rPr>
                <w:b/>
                <w:bCs/>
                <w:sz w:val="24"/>
              </w:rPr>
              <w:t>项目名称</w:t>
            </w:r>
          </w:p>
        </w:tc>
        <w:tc>
          <w:tcPr>
            <w:tcW w:w="2721" w:type="dxa"/>
            <w:vAlign w:val="center"/>
          </w:tcPr>
          <w:p>
            <w:pPr>
              <w:pStyle w:val="12"/>
              <w:spacing w:line="276" w:lineRule="auto"/>
              <w:rPr>
                <w:b/>
                <w:bCs/>
                <w:sz w:val="24"/>
              </w:rPr>
            </w:pPr>
            <w:r>
              <w:rPr>
                <w:b/>
                <w:bCs/>
                <w:sz w:val="24"/>
              </w:rPr>
              <w:t>环评设计技术规格</w:t>
            </w:r>
          </w:p>
        </w:tc>
        <w:tc>
          <w:tcPr>
            <w:tcW w:w="794"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单位</w:t>
            </w:r>
          </w:p>
        </w:tc>
        <w:tc>
          <w:tcPr>
            <w:tcW w:w="794"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数量</w:t>
            </w:r>
          </w:p>
        </w:tc>
        <w:tc>
          <w:tcPr>
            <w:tcW w:w="2835" w:type="dxa"/>
            <w:vAlign w:val="top"/>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sz w:val="24"/>
              </w:rPr>
            </w:pPr>
            <w:r>
              <w:rPr>
                <w:sz w:val="24"/>
              </w:rPr>
              <w:t>1</w:t>
            </w:r>
          </w:p>
        </w:tc>
        <w:tc>
          <w:tcPr>
            <w:tcW w:w="2381" w:type="dxa"/>
            <w:vAlign w:val="center"/>
          </w:tcPr>
          <w:p>
            <w:pPr>
              <w:pStyle w:val="12"/>
              <w:spacing w:line="276" w:lineRule="auto"/>
              <w:rPr>
                <w:sz w:val="24"/>
              </w:rPr>
            </w:pPr>
            <w:r>
              <w:rPr>
                <w:sz w:val="24"/>
              </w:rPr>
              <w:t>地下料仓</w:t>
            </w:r>
          </w:p>
        </w:tc>
        <w:tc>
          <w:tcPr>
            <w:tcW w:w="2721" w:type="dxa"/>
            <w:vAlign w:val="center"/>
          </w:tcPr>
          <w:p>
            <w:pPr>
              <w:pStyle w:val="12"/>
              <w:spacing w:line="276" w:lineRule="auto"/>
              <w:rPr>
                <w:sz w:val="24"/>
              </w:rPr>
            </w:pPr>
            <w:r>
              <w:rPr>
                <w:sz w:val="24"/>
              </w:rPr>
              <w:t>10m³</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套</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2835" w:type="dxa"/>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地下料仓1座，体积10m³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sz w:val="24"/>
              </w:rPr>
            </w:pPr>
            <w:r>
              <w:rPr>
                <w:sz w:val="24"/>
              </w:rPr>
              <w:t>2</w:t>
            </w:r>
          </w:p>
        </w:tc>
        <w:tc>
          <w:tcPr>
            <w:tcW w:w="2381" w:type="dxa"/>
            <w:vAlign w:val="center"/>
          </w:tcPr>
          <w:p>
            <w:pPr>
              <w:pStyle w:val="12"/>
              <w:spacing w:line="276" w:lineRule="auto"/>
              <w:rPr>
                <w:sz w:val="24"/>
              </w:rPr>
            </w:pPr>
            <w:r>
              <w:rPr>
                <w:sz w:val="24"/>
              </w:rPr>
              <w:t>地下料仓下电机振动给料机</w:t>
            </w:r>
          </w:p>
        </w:tc>
        <w:tc>
          <w:tcPr>
            <w:tcW w:w="2721" w:type="dxa"/>
            <w:vAlign w:val="center"/>
          </w:tcPr>
          <w:p>
            <w:pPr>
              <w:pStyle w:val="12"/>
              <w:spacing w:line="276" w:lineRule="auto"/>
              <w:rPr>
                <w:sz w:val="24"/>
              </w:rPr>
            </w:pPr>
            <w:r>
              <w:rPr>
                <w:sz w:val="24"/>
              </w:rPr>
              <w:t>Q=150t/h，B=720mm，N=2x1.1kW</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套</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2835" w:type="dxa"/>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地下料仓下电动振动给料机1台</w:t>
            </w:r>
          </w:p>
          <w:p>
            <w:pPr>
              <w:pStyle w:val="10"/>
              <w:spacing w:line="276" w:lineRule="auto"/>
              <w:rPr>
                <w:rFonts w:ascii="Times New Roman" w:hAnsi="Times New Roman" w:eastAsia="宋体" w:cs="Times New Roman"/>
              </w:rPr>
            </w:pPr>
            <w:r>
              <w:rPr>
                <w:rFonts w:ascii="Times New Roman" w:hAnsi="Times New Roman" w:eastAsia="宋体" w:cs="Times New Roman"/>
              </w:rPr>
              <w:t>参数：Q=150t/h，B=720mm，N=2x1.1kW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sz w:val="24"/>
              </w:rPr>
            </w:pPr>
            <w:r>
              <w:rPr>
                <w:sz w:val="24"/>
              </w:rPr>
              <w:t>3</w:t>
            </w:r>
          </w:p>
        </w:tc>
        <w:tc>
          <w:tcPr>
            <w:tcW w:w="2381" w:type="dxa"/>
            <w:vAlign w:val="center"/>
          </w:tcPr>
          <w:p>
            <w:pPr>
              <w:pStyle w:val="12"/>
              <w:spacing w:line="276" w:lineRule="auto"/>
              <w:rPr>
                <w:sz w:val="24"/>
              </w:rPr>
            </w:pPr>
            <w:r>
              <w:rPr>
                <w:sz w:val="24"/>
              </w:rPr>
              <w:t>1#大倾角带式输送机</w:t>
            </w:r>
          </w:p>
        </w:tc>
        <w:tc>
          <w:tcPr>
            <w:tcW w:w="2721" w:type="dxa"/>
            <w:vAlign w:val="center"/>
          </w:tcPr>
          <w:p>
            <w:pPr>
              <w:pStyle w:val="12"/>
              <w:spacing w:line="276" w:lineRule="auto"/>
              <w:rPr>
                <w:sz w:val="24"/>
              </w:rPr>
            </w:pPr>
            <w:r>
              <w:rPr>
                <w:sz w:val="24"/>
              </w:rPr>
              <w:t>Q=150t/h，B=1000mm，N=45kW</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套</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2835" w:type="dxa"/>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1#大倾角带式输送机1座</w:t>
            </w:r>
          </w:p>
          <w:p>
            <w:pPr>
              <w:pStyle w:val="10"/>
              <w:spacing w:line="276" w:lineRule="auto"/>
              <w:rPr>
                <w:rFonts w:ascii="Times New Roman" w:hAnsi="Times New Roman" w:eastAsia="宋体" w:cs="Times New Roman"/>
              </w:rPr>
            </w:pPr>
            <w:r>
              <w:rPr>
                <w:rFonts w:ascii="Times New Roman" w:hAnsi="Times New Roman" w:eastAsia="宋体" w:cs="Times New Roman"/>
              </w:rPr>
              <w:t>参数：Q=150t/h，B=1000mm，N=45kW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sz w:val="24"/>
              </w:rPr>
            </w:pPr>
            <w:r>
              <w:rPr>
                <w:sz w:val="24"/>
              </w:rPr>
              <w:t>4</w:t>
            </w:r>
          </w:p>
        </w:tc>
        <w:tc>
          <w:tcPr>
            <w:tcW w:w="2381" w:type="dxa"/>
            <w:vAlign w:val="center"/>
          </w:tcPr>
          <w:p>
            <w:pPr>
              <w:pStyle w:val="12"/>
              <w:spacing w:line="276" w:lineRule="auto"/>
              <w:rPr>
                <w:sz w:val="24"/>
              </w:rPr>
            </w:pPr>
            <w:r>
              <w:rPr>
                <w:sz w:val="24"/>
              </w:rPr>
              <w:t>2#移动带式输送机</w:t>
            </w:r>
          </w:p>
        </w:tc>
        <w:tc>
          <w:tcPr>
            <w:tcW w:w="2721" w:type="dxa"/>
            <w:vAlign w:val="center"/>
          </w:tcPr>
          <w:p>
            <w:pPr>
              <w:pStyle w:val="12"/>
              <w:spacing w:line="276" w:lineRule="auto"/>
              <w:rPr>
                <w:sz w:val="24"/>
              </w:rPr>
            </w:pPr>
            <w:r>
              <w:rPr>
                <w:sz w:val="24"/>
              </w:rPr>
              <w:t>Q=150t/h，B=800mm，N=7.5kW</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套</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2835" w:type="dxa"/>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2#移动带式输送机1座</w:t>
            </w:r>
          </w:p>
          <w:p>
            <w:pPr>
              <w:pStyle w:val="10"/>
              <w:spacing w:line="276" w:lineRule="auto"/>
              <w:rPr>
                <w:rFonts w:ascii="Times New Roman" w:hAnsi="Times New Roman" w:eastAsia="宋体" w:cs="Times New Roman"/>
              </w:rPr>
            </w:pPr>
            <w:r>
              <w:rPr>
                <w:rFonts w:ascii="Times New Roman" w:hAnsi="Times New Roman" w:eastAsia="宋体" w:cs="Times New Roman"/>
              </w:rPr>
              <w:t>参数：Q=150t/h，B=800mm，N=7.5kW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sz w:val="24"/>
              </w:rPr>
            </w:pPr>
            <w:r>
              <w:rPr>
                <w:sz w:val="24"/>
              </w:rPr>
              <w:t>5</w:t>
            </w:r>
          </w:p>
        </w:tc>
        <w:tc>
          <w:tcPr>
            <w:tcW w:w="2381" w:type="dxa"/>
            <w:vAlign w:val="center"/>
          </w:tcPr>
          <w:p>
            <w:pPr>
              <w:pStyle w:val="12"/>
              <w:spacing w:line="276" w:lineRule="auto"/>
              <w:rPr>
                <w:sz w:val="24"/>
              </w:rPr>
            </w:pPr>
            <w:r>
              <w:rPr>
                <w:sz w:val="24"/>
              </w:rPr>
              <w:t>高位料仓</w:t>
            </w:r>
          </w:p>
        </w:tc>
        <w:tc>
          <w:tcPr>
            <w:tcW w:w="2721" w:type="dxa"/>
            <w:vAlign w:val="center"/>
          </w:tcPr>
          <w:p>
            <w:pPr>
              <w:pStyle w:val="12"/>
              <w:spacing w:line="276" w:lineRule="auto"/>
              <w:rPr>
                <w:sz w:val="24"/>
              </w:rPr>
            </w:pPr>
            <w:r>
              <w:rPr>
                <w:sz w:val="24"/>
              </w:rPr>
              <w:t>30m³</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套</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2835" w:type="dxa"/>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高位料仓2座，每座容积30m³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sz w:val="24"/>
              </w:rPr>
            </w:pPr>
            <w:r>
              <w:rPr>
                <w:sz w:val="24"/>
              </w:rPr>
              <w:t>6</w:t>
            </w:r>
          </w:p>
        </w:tc>
        <w:tc>
          <w:tcPr>
            <w:tcW w:w="2381" w:type="dxa"/>
            <w:vAlign w:val="center"/>
          </w:tcPr>
          <w:p>
            <w:pPr>
              <w:pStyle w:val="12"/>
              <w:spacing w:line="276" w:lineRule="auto"/>
              <w:rPr>
                <w:sz w:val="24"/>
              </w:rPr>
            </w:pPr>
            <w:r>
              <w:rPr>
                <w:sz w:val="24"/>
              </w:rPr>
              <w:t>高位料仓下电磁振动给料机</w:t>
            </w:r>
          </w:p>
        </w:tc>
        <w:tc>
          <w:tcPr>
            <w:tcW w:w="2721" w:type="dxa"/>
            <w:vAlign w:val="center"/>
          </w:tcPr>
          <w:p>
            <w:pPr>
              <w:pStyle w:val="12"/>
              <w:spacing w:line="276" w:lineRule="auto"/>
              <w:rPr>
                <w:sz w:val="24"/>
              </w:rPr>
            </w:pPr>
            <w:r>
              <w:rPr>
                <w:sz w:val="24"/>
              </w:rPr>
              <w:t>Q=180t/h，B=720mm，N=3.0kW</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套</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2835" w:type="dxa"/>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高位料仓下电磁振动给料机2台</w:t>
            </w:r>
          </w:p>
          <w:p>
            <w:pPr>
              <w:pStyle w:val="10"/>
              <w:spacing w:line="276" w:lineRule="auto"/>
              <w:rPr>
                <w:rFonts w:ascii="Times New Roman" w:hAnsi="Times New Roman" w:eastAsia="宋体" w:cs="Times New Roman"/>
              </w:rPr>
            </w:pPr>
            <w:r>
              <w:rPr>
                <w:rFonts w:ascii="Times New Roman" w:hAnsi="Times New Roman" w:eastAsia="宋体" w:cs="Times New Roman"/>
              </w:rPr>
              <w:t>参数：Q=180t/h，B=720mm，N=3.0kW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sz w:val="24"/>
              </w:rPr>
            </w:pPr>
            <w:r>
              <w:rPr>
                <w:sz w:val="24"/>
              </w:rPr>
              <w:t>7</w:t>
            </w:r>
          </w:p>
        </w:tc>
        <w:tc>
          <w:tcPr>
            <w:tcW w:w="2381" w:type="dxa"/>
            <w:vAlign w:val="center"/>
          </w:tcPr>
          <w:p>
            <w:pPr>
              <w:pStyle w:val="12"/>
              <w:spacing w:line="276" w:lineRule="auto"/>
              <w:rPr>
                <w:sz w:val="24"/>
              </w:rPr>
            </w:pPr>
            <w:r>
              <w:rPr>
                <w:sz w:val="24"/>
              </w:rPr>
              <w:t>称量斗</w:t>
            </w:r>
          </w:p>
        </w:tc>
        <w:tc>
          <w:tcPr>
            <w:tcW w:w="2721" w:type="dxa"/>
            <w:vAlign w:val="center"/>
          </w:tcPr>
          <w:p>
            <w:pPr>
              <w:pStyle w:val="12"/>
              <w:spacing w:line="276" w:lineRule="auto"/>
              <w:rPr>
                <w:sz w:val="24"/>
              </w:rPr>
            </w:pPr>
            <w:r>
              <w:rPr>
                <w:sz w:val="24"/>
              </w:rPr>
              <w:t>5m³</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套</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2835" w:type="dxa"/>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称量斗2台，每台称量容积5m³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sz w:val="24"/>
              </w:rPr>
            </w:pPr>
            <w:r>
              <w:rPr>
                <w:sz w:val="24"/>
              </w:rPr>
              <w:t>8</w:t>
            </w:r>
          </w:p>
        </w:tc>
        <w:tc>
          <w:tcPr>
            <w:tcW w:w="2381" w:type="dxa"/>
            <w:vAlign w:val="center"/>
          </w:tcPr>
          <w:p>
            <w:pPr>
              <w:pStyle w:val="12"/>
              <w:spacing w:line="276" w:lineRule="auto"/>
              <w:rPr>
                <w:sz w:val="24"/>
              </w:rPr>
            </w:pPr>
            <w:r>
              <w:rPr>
                <w:sz w:val="24"/>
              </w:rPr>
              <w:t>中频炉称量斗下电机振动给料机</w:t>
            </w:r>
          </w:p>
        </w:tc>
        <w:tc>
          <w:tcPr>
            <w:tcW w:w="2721" w:type="dxa"/>
            <w:vAlign w:val="center"/>
          </w:tcPr>
          <w:p>
            <w:pPr>
              <w:pStyle w:val="12"/>
              <w:spacing w:line="276" w:lineRule="auto"/>
              <w:rPr>
                <w:sz w:val="24"/>
              </w:rPr>
            </w:pPr>
            <w:r>
              <w:rPr>
                <w:sz w:val="24"/>
              </w:rPr>
              <w:t>Q=300t/h，B=850mm，N=2x1.5kW</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套</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2835" w:type="dxa"/>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中频炉称量斗下电机振动给料机2台</w:t>
            </w:r>
          </w:p>
          <w:p>
            <w:pPr>
              <w:pStyle w:val="10"/>
              <w:spacing w:line="276" w:lineRule="auto"/>
              <w:rPr>
                <w:rFonts w:ascii="Times New Roman" w:hAnsi="Times New Roman" w:eastAsia="宋体" w:cs="Times New Roman"/>
              </w:rPr>
            </w:pPr>
            <w:r>
              <w:rPr>
                <w:rFonts w:ascii="Times New Roman" w:hAnsi="Times New Roman" w:eastAsia="宋体" w:cs="Times New Roman"/>
              </w:rPr>
              <w:t>参数：Q=300t/h，B=850mm，N=2x1.5kW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4" w:type="dxa"/>
            <w:vAlign w:val="center"/>
          </w:tcPr>
          <w:p>
            <w:pPr>
              <w:pStyle w:val="12"/>
              <w:spacing w:line="276" w:lineRule="auto"/>
              <w:rPr>
                <w:sz w:val="24"/>
              </w:rPr>
            </w:pPr>
            <w:r>
              <w:rPr>
                <w:sz w:val="24"/>
              </w:rPr>
              <w:t>9</w:t>
            </w:r>
          </w:p>
        </w:tc>
        <w:tc>
          <w:tcPr>
            <w:tcW w:w="2381" w:type="dxa"/>
            <w:vAlign w:val="center"/>
          </w:tcPr>
          <w:p>
            <w:pPr>
              <w:pStyle w:val="12"/>
              <w:spacing w:line="276" w:lineRule="auto"/>
              <w:rPr>
                <w:sz w:val="24"/>
              </w:rPr>
            </w:pPr>
            <w:r>
              <w:rPr>
                <w:sz w:val="24"/>
              </w:rPr>
              <w:t>移动式合金加料车</w:t>
            </w:r>
          </w:p>
        </w:tc>
        <w:tc>
          <w:tcPr>
            <w:tcW w:w="2721" w:type="dxa"/>
            <w:vAlign w:val="center"/>
          </w:tcPr>
          <w:p>
            <w:pPr>
              <w:pStyle w:val="12"/>
              <w:spacing w:line="276" w:lineRule="auto"/>
              <w:rPr>
                <w:sz w:val="24"/>
              </w:rPr>
            </w:pP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套</w:t>
            </w:r>
          </w:p>
        </w:tc>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2835" w:type="dxa"/>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移动式合金加料车2台</w:t>
            </w:r>
          </w:p>
        </w:tc>
      </w:tr>
    </w:tbl>
    <w:p>
      <w:pPr>
        <w:jc w:val="center"/>
        <w:rPr>
          <w:rFonts w:ascii="Times New Roman" w:hAnsi="Times New Roman" w:cs="Times New Roman"/>
        </w:rPr>
      </w:pPr>
    </w:p>
    <w:p>
      <w:pPr>
        <w:pStyle w:val="5"/>
        <w:rPr>
          <w:rFonts w:ascii="Times New Roman" w:hAnsi="Times New Roman" w:cs="Times New Roman"/>
        </w:rPr>
      </w:pPr>
      <w:r>
        <w:rPr>
          <w:rFonts w:ascii="Times New Roman" w:hAnsi="Times New Roman" w:cs="Times New Roman"/>
        </w:rPr>
        <w:t>3.2.3 投资情况</w:t>
      </w:r>
    </w:p>
    <w:p>
      <w:pPr>
        <w:ind w:firstLine="560" w:firstLineChars="200"/>
        <w:rPr>
          <w:rFonts w:ascii="Times New Roman" w:hAnsi="Times New Roman" w:cs="Times New Roman"/>
        </w:rPr>
      </w:pPr>
      <w:r>
        <w:rPr>
          <w:rFonts w:ascii="Times New Roman" w:hAnsi="Times New Roman" w:cs="Times New Roman"/>
        </w:rPr>
        <w:t>本项目总投资7833.86万元，其中环保投资4300万元，占总投资的54.9%。</w:t>
      </w:r>
    </w:p>
    <w:p>
      <w:pPr>
        <w:ind w:firstLine="560" w:firstLineChars="200"/>
        <w:rPr>
          <w:rFonts w:ascii="Times New Roman" w:hAnsi="Times New Roman" w:cs="Times New Roman"/>
        </w:rPr>
      </w:pPr>
      <w:r>
        <w:rPr>
          <w:rFonts w:ascii="Times New Roman" w:hAnsi="Times New Roman" w:cs="Times New Roman"/>
        </w:rPr>
        <w:t>本项目实际总投资9362.99万元，其中环保投资4800万元，占总投资的51.3%。</w:t>
      </w:r>
    </w:p>
    <w:p>
      <w:pPr>
        <w:pStyle w:val="5"/>
        <w:rPr>
          <w:rFonts w:ascii="Times New Roman" w:hAnsi="Times New Roman" w:cs="Times New Roman"/>
        </w:rPr>
      </w:pPr>
      <w:r>
        <w:rPr>
          <w:rFonts w:ascii="Times New Roman" w:hAnsi="Times New Roman" w:cs="Times New Roman"/>
        </w:rPr>
        <w:t>3.2.4 与原有工程依托关系</w:t>
      </w:r>
    </w:p>
    <w:p>
      <w:pPr>
        <w:ind w:firstLine="560" w:firstLineChars="200"/>
        <w:rPr>
          <w:rFonts w:ascii="Times New Roman" w:hAnsi="Times New Roman" w:cs="Times New Roman"/>
        </w:rPr>
      </w:pPr>
      <w:r>
        <w:rPr>
          <w:rFonts w:ascii="Times New Roman" w:hAnsi="Times New Roman" w:cs="Times New Roman"/>
        </w:rPr>
        <w:t>技改前冶炼工艺为一台90t电炉+AOD炉/VOD炉的二步法冶炼方式，</w:t>
      </w:r>
      <w:bookmarkStart w:id="19" w:name="_Hlk82680047"/>
      <w:r>
        <w:rPr>
          <w:rFonts w:ascii="Times New Roman" w:hAnsi="Times New Roman" w:cs="Times New Roman"/>
        </w:rPr>
        <w:t>技改后配套一座30t合金熔化装置来承担90t电炉熔化铬铁的工作，现有后步不锈钢冶炼工艺保持不变。改造前后产量不变。</w:t>
      </w:r>
      <w:bookmarkEnd w:id="19"/>
      <w:r>
        <w:rPr>
          <w:rFonts w:ascii="Times New Roman" w:hAnsi="Times New Roman" w:cs="Times New Roman"/>
        </w:rPr>
        <w:t>技改前后工艺流程对比如下：</w:t>
      </w:r>
    </w:p>
    <w:p>
      <w:pPr>
        <w:ind w:firstLine="560" w:firstLineChars="200"/>
        <w:rPr>
          <w:rFonts w:ascii="Times New Roman" w:hAnsi="Times New Roman" w:cs="Times New Roman"/>
        </w:rPr>
      </w:pPr>
      <w:r>
        <w:rPr>
          <w:rFonts w:ascii="Times New Roman" w:hAnsi="Times New Roman" w:cs="Times New Roman"/>
        </w:rPr>
        <w:t>技改前：配料（废钢、合金）→ 90t电炉→AOD（VOD）→LF→连铸（板坯或方坯）</w:t>
      </w:r>
    </w:p>
    <w:p>
      <w:pPr>
        <w:ind w:firstLine="560" w:firstLineChars="200"/>
        <w:rPr>
          <w:rFonts w:ascii="Times New Roman" w:hAnsi="Times New Roman" w:cs="Times New Roman"/>
        </w:rPr>
      </w:pPr>
      <w:r>
        <w:rPr>
          <w:rFonts w:ascii="Times New Roman" w:hAnsi="Times New Roman" w:eastAsia="宋体" w:cs="Times New Roman"/>
          <w:kern w:val="2"/>
          <w:sz w:val="28"/>
          <w:szCs w:val="22"/>
          <w:lang w:val="en-US" w:eastAsia="zh-CN" w:bidi="ar-SA"/>
        </w:rPr>
        <w:pict>
          <v:shape id="直接箭头连接符 5" o:spid="_x0000_s1034" type="#_x0000_t32" style="position:absolute;left:0;margin-left:287.1pt;margin-top:16.6pt;height:17.85pt;width:25.9pt;rotation:0f;z-index:251667456;" o:ole="f" fillcolor="#FFFFFF" filled="t" o:preferrelative="t" stroked="t" coordorigin="0,0" coordsize="21600,21600">
            <v:stroke color="#000000" color2="#FFFFFF" miterlimit="2" endarrow="open"/>
            <v:imagedata gain="65536f" blacklevel="0f" gamma="0"/>
            <o:lock v:ext="edit" position="f" selection="f" grouping="f" rotation="f" cropping="f" text="f" aspectratio="f"/>
          </v:shape>
        </w:pict>
      </w:r>
      <w:r>
        <w:rPr>
          <w:rFonts w:ascii="Times New Roman" w:hAnsi="Times New Roman" w:eastAsia="宋体" w:cs="Times New Roman"/>
          <w:kern w:val="2"/>
          <w:sz w:val="28"/>
          <w:szCs w:val="22"/>
          <w:lang w:val="en-US" w:eastAsia="zh-CN" w:bidi="ar-SA"/>
        </w:rPr>
        <w:pict>
          <v:shape id="直接箭头连接符 4" o:spid="_x0000_s1035" type="#_x0000_t32" style="position:absolute;left:0;margin-left:166pt;margin-top:16.35pt;height:0.25pt;width:27.7pt;rotation:0f;z-index:251666432;" o:ole="f" fillcolor="#FFFFFF" filled="t" o:preferrelative="t" stroked="t" coordorigin="0,0" coordsize="21600,21600">
            <v:stroke color="#000000" color2="#FFFFFF" miterlimit="2" endarrow="open"/>
            <v:imagedata gain="65536f" blacklevel="0f" gamma="0"/>
            <o:lock v:ext="edit" position="f" selection="f" grouping="f" rotation="f" cropping="f" text="f" aspectratio="f"/>
          </v:shape>
        </w:pict>
      </w:r>
      <w:r>
        <w:rPr>
          <w:rFonts w:ascii="Times New Roman" w:hAnsi="Times New Roman" w:cs="Times New Roman"/>
        </w:rPr>
        <w:t>技改后：配料（合金）    合金熔化装置</w:t>
      </w:r>
    </w:p>
    <w:p>
      <w:pPr>
        <w:ind w:left="1540" w:leftChars="550" w:firstLine="140" w:firstLineChars="50"/>
        <w:rPr>
          <w:rFonts w:ascii="Times New Roman" w:hAnsi="Times New Roman" w:cs="Times New Roman"/>
        </w:rPr>
      </w:pPr>
      <w:r>
        <w:rPr>
          <w:rFonts w:ascii="Times New Roman" w:hAnsi="Times New Roman" w:eastAsia="宋体" w:cs="Times New Roman"/>
          <w:kern w:val="2"/>
          <w:sz w:val="28"/>
          <w:szCs w:val="22"/>
          <w:lang w:val="en-US" w:eastAsia="zh-CN" w:bidi="ar-SA"/>
        </w:rPr>
        <w:pict>
          <v:shape id="直接箭头连接符 3" o:spid="_x0000_s1036" type="#_x0000_t32" style="position:absolute;left:0;margin-left:171.75pt;margin-top:15.5pt;height:0.05pt;width:130.5pt;rotation:0f;z-index:251665408;" o:ole="f" fillcolor="#FFFFFF" filled="t" o:preferrelative="t" stroked="t" coordorigin="0,0" coordsize="21600,21600">
            <v:stroke color="#000000" color2="#FFFFFF" miterlimit="2" endarrow="open"/>
            <v:imagedata gain="65536f" blacklevel="0f" gamma="0"/>
            <o:lock v:ext="edit" position="f" selection="f" grouping="f" rotation="f" cropping="f" text="f" aspectratio="f"/>
          </v:shape>
        </w:pict>
      </w:r>
      <w:r>
        <w:rPr>
          <w:rFonts w:ascii="Times New Roman" w:hAnsi="Times New Roman" w:cs="Times New Roman"/>
        </w:rPr>
        <w:t>配料（废钢）                    90t电炉→AOD（VOD）→LF→连铸（板坯或方坯）</w:t>
      </w:r>
    </w:p>
    <w:p>
      <w:pPr>
        <w:ind w:firstLine="560" w:firstLineChars="200"/>
        <w:rPr>
          <w:rFonts w:ascii="Times New Roman" w:hAnsi="Times New Roman" w:cs="Times New Roman"/>
        </w:rPr>
      </w:pPr>
      <w:r>
        <w:rPr>
          <w:rFonts w:ascii="Times New Roman" w:hAnsi="Times New Roman" w:cs="Times New Roman"/>
        </w:rPr>
        <w:t>技改后与原有工程依托情况见下表。</w:t>
      </w:r>
    </w:p>
    <w:p>
      <w:pPr>
        <w:jc w:val="cente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jc w:val="center"/>
        <w:rPr>
          <w:rFonts w:ascii="Times New Roman" w:hAnsi="Times New Roman" w:cs="Times New Roman"/>
        </w:rPr>
      </w:pPr>
      <w:r>
        <w:rPr>
          <w:rFonts w:ascii="Times New Roman" w:hAnsi="Times New Roman" w:cs="Times New Roman"/>
        </w:rPr>
        <w:t>表3-6  技改后与原有工程依托情况一览表</w:t>
      </w:r>
    </w:p>
    <w:tbl>
      <w:tblPr>
        <w:tblStyle w:val="21"/>
        <w:tblW w:w="14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2"/>
        <w:gridCol w:w="1670"/>
        <w:gridCol w:w="1842"/>
        <w:gridCol w:w="3969"/>
        <w:gridCol w:w="4536"/>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2122" w:type="dxa"/>
            <w:gridSpan w:val="2"/>
            <w:tcMar>
              <w:left w:w="108" w:type="dxa"/>
              <w:right w:w="108" w:type="dxa"/>
            </w:tcMar>
            <w:vAlign w:val="center"/>
          </w:tcPr>
          <w:p>
            <w:pPr>
              <w:pStyle w:val="7"/>
              <w:spacing w:line="276" w:lineRule="auto"/>
              <w:rPr>
                <w:b/>
                <w:bCs/>
                <w:sz w:val="24"/>
                <w:szCs w:val="24"/>
              </w:rPr>
            </w:pPr>
            <w:r>
              <w:rPr>
                <w:b/>
                <w:bCs/>
                <w:sz w:val="24"/>
                <w:szCs w:val="24"/>
              </w:rPr>
              <w:t>项目</w:t>
            </w:r>
          </w:p>
        </w:tc>
        <w:tc>
          <w:tcPr>
            <w:tcW w:w="5811" w:type="dxa"/>
            <w:gridSpan w:val="2"/>
            <w:tcMar>
              <w:left w:w="108" w:type="dxa"/>
              <w:right w:w="108" w:type="dxa"/>
            </w:tcMar>
            <w:vAlign w:val="center"/>
          </w:tcPr>
          <w:p>
            <w:pPr>
              <w:pStyle w:val="7"/>
              <w:spacing w:line="276" w:lineRule="auto"/>
              <w:rPr>
                <w:b/>
                <w:bCs/>
                <w:sz w:val="24"/>
                <w:szCs w:val="24"/>
              </w:rPr>
            </w:pPr>
            <w:r>
              <w:rPr>
                <w:b/>
                <w:bCs/>
                <w:sz w:val="24"/>
                <w:szCs w:val="24"/>
              </w:rPr>
              <w:t>原有工程</w:t>
            </w:r>
          </w:p>
        </w:tc>
        <w:tc>
          <w:tcPr>
            <w:tcW w:w="4536" w:type="dxa"/>
            <w:tcMar>
              <w:left w:w="108" w:type="dxa"/>
              <w:right w:w="108" w:type="dxa"/>
            </w:tcMar>
            <w:vAlign w:val="center"/>
          </w:tcPr>
          <w:p>
            <w:pPr>
              <w:pStyle w:val="7"/>
              <w:spacing w:line="276" w:lineRule="auto"/>
              <w:rPr>
                <w:b/>
                <w:bCs/>
                <w:sz w:val="24"/>
                <w:szCs w:val="24"/>
              </w:rPr>
            </w:pPr>
            <w:r>
              <w:rPr>
                <w:b/>
                <w:bCs/>
                <w:sz w:val="24"/>
                <w:szCs w:val="24"/>
              </w:rPr>
              <w:t>技改工程</w:t>
            </w:r>
          </w:p>
        </w:tc>
        <w:tc>
          <w:tcPr>
            <w:tcW w:w="2410" w:type="dxa"/>
            <w:tcMar>
              <w:left w:w="108" w:type="dxa"/>
              <w:right w:w="108" w:type="dxa"/>
            </w:tcMar>
            <w:vAlign w:val="center"/>
          </w:tcPr>
          <w:p>
            <w:pPr>
              <w:pStyle w:val="7"/>
              <w:spacing w:line="276" w:lineRule="auto"/>
              <w:rPr>
                <w:b/>
                <w:bCs/>
                <w:sz w:val="24"/>
                <w:szCs w:val="24"/>
              </w:rPr>
            </w:pPr>
            <w:r>
              <w:rPr>
                <w:b/>
                <w:bCs/>
                <w:sz w:val="24"/>
                <w:szCs w:val="24"/>
              </w:rPr>
              <w:t>与原有工程的关系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2122" w:type="dxa"/>
            <w:gridSpan w:val="2"/>
            <w:tcMar>
              <w:left w:w="108" w:type="dxa"/>
              <w:right w:w="108" w:type="dxa"/>
            </w:tcMar>
            <w:vAlign w:val="center"/>
          </w:tcPr>
          <w:p>
            <w:pPr>
              <w:pStyle w:val="7"/>
              <w:spacing w:line="276" w:lineRule="auto"/>
              <w:rPr>
                <w:sz w:val="24"/>
                <w:szCs w:val="24"/>
              </w:rPr>
            </w:pPr>
            <w:r>
              <w:rPr>
                <w:sz w:val="24"/>
                <w:szCs w:val="24"/>
              </w:rPr>
              <w:t>生产规模</w:t>
            </w:r>
          </w:p>
        </w:tc>
        <w:tc>
          <w:tcPr>
            <w:tcW w:w="5811" w:type="dxa"/>
            <w:gridSpan w:val="2"/>
            <w:tcMar>
              <w:left w:w="108" w:type="dxa"/>
              <w:right w:w="108" w:type="dxa"/>
            </w:tcMar>
            <w:vAlign w:val="center"/>
          </w:tcPr>
          <w:p>
            <w:pPr>
              <w:pStyle w:val="7"/>
              <w:spacing w:line="276" w:lineRule="auto"/>
              <w:rPr>
                <w:sz w:val="24"/>
                <w:szCs w:val="24"/>
              </w:rPr>
            </w:pPr>
            <w:r>
              <w:rPr>
                <w:sz w:val="24"/>
                <w:szCs w:val="24"/>
              </w:rPr>
              <w:t>年产50万吨不锈钢生产</w:t>
            </w:r>
          </w:p>
        </w:tc>
        <w:tc>
          <w:tcPr>
            <w:tcW w:w="4536" w:type="dxa"/>
            <w:tcMar>
              <w:left w:w="108" w:type="dxa"/>
              <w:right w:w="108" w:type="dxa"/>
            </w:tcMar>
            <w:vAlign w:val="center"/>
          </w:tcPr>
          <w:p>
            <w:pPr>
              <w:pStyle w:val="7"/>
              <w:spacing w:line="276" w:lineRule="auto"/>
              <w:rPr>
                <w:sz w:val="24"/>
                <w:szCs w:val="24"/>
              </w:rPr>
            </w:pPr>
            <w:r>
              <w:rPr>
                <w:sz w:val="24"/>
                <w:szCs w:val="24"/>
              </w:rPr>
              <w:t>年产50万吨不锈钢生产</w:t>
            </w:r>
          </w:p>
        </w:tc>
        <w:tc>
          <w:tcPr>
            <w:tcW w:w="2410" w:type="dxa"/>
            <w:tcMar>
              <w:left w:w="108" w:type="dxa"/>
              <w:right w:w="108" w:type="dxa"/>
            </w:tcMar>
            <w:vAlign w:val="center"/>
          </w:tcPr>
          <w:p>
            <w:pPr>
              <w:pStyle w:val="7"/>
              <w:spacing w:line="276" w:lineRule="auto"/>
              <w:rPr>
                <w:sz w:val="24"/>
                <w:szCs w:val="24"/>
              </w:rPr>
            </w:pPr>
            <w:r>
              <w:rPr>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2122" w:type="dxa"/>
            <w:gridSpan w:val="2"/>
            <w:tcMar>
              <w:left w:w="108" w:type="dxa"/>
              <w:right w:w="108" w:type="dxa"/>
            </w:tcMar>
            <w:vAlign w:val="center"/>
          </w:tcPr>
          <w:p>
            <w:pPr>
              <w:pStyle w:val="7"/>
              <w:spacing w:line="276" w:lineRule="auto"/>
              <w:rPr>
                <w:sz w:val="24"/>
                <w:szCs w:val="24"/>
              </w:rPr>
            </w:pPr>
            <w:r>
              <w:rPr>
                <w:sz w:val="24"/>
                <w:szCs w:val="24"/>
              </w:rPr>
              <w:t>生产线</w:t>
            </w:r>
          </w:p>
        </w:tc>
        <w:tc>
          <w:tcPr>
            <w:tcW w:w="5811" w:type="dxa"/>
            <w:gridSpan w:val="2"/>
            <w:tcMar>
              <w:left w:w="108" w:type="dxa"/>
              <w:right w:w="108" w:type="dxa"/>
            </w:tcMar>
            <w:vAlign w:val="center"/>
          </w:tcPr>
          <w:p>
            <w:pPr>
              <w:pStyle w:val="7"/>
              <w:spacing w:line="276" w:lineRule="auto"/>
              <w:rPr>
                <w:sz w:val="24"/>
                <w:szCs w:val="24"/>
              </w:rPr>
            </w:pPr>
            <w:r>
              <w:rPr>
                <w:sz w:val="24"/>
                <w:szCs w:val="24"/>
              </w:rPr>
              <w:t>电炉+ AOD / VOD二步法冶炼</w:t>
            </w:r>
          </w:p>
        </w:tc>
        <w:tc>
          <w:tcPr>
            <w:tcW w:w="4536" w:type="dxa"/>
            <w:tcMar>
              <w:left w:w="108" w:type="dxa"/>
              <w:right w:w="108" w:type="dxa"/>
            </w:tcMar>
            <w:vAlign w:val="center"/>
          </w:tcPr>
          <w:p>
            <w:pPr>
              <w:pStyle w:val="7"/>
              <w:spacing w:line="276" w:lineRule="auto"/>
              <w:rPr>
                <w:sz w:val="24"/>
                <w:szCs w:val="24"/>
              </w:rPr>
            </w:pPr>
            <w:r>
              <w:rPr>
                <w:sz w:val="24"/>
                <w:szCs w:val="24"/>
              </w:rPr>
              <w:t>合金熔化装置+电炉+ AOD / VOD二步法冶炼</w:t>
            </w:r>
          </w:p>
        </w:tc>
        <w:tc>
          <w:tcPr>
            <w:tcW w:w="2410" w:type="dxa"/>
            <w:tcMar>
              <w:left w:w="108" w:type="dxa"/>
              <w:right w:w="108" w:type="dxa"/>
            </w:tcMar>
            <w:vAlign w:val="center"/>
          </w:tcPr>
          <w:p>
            <w:pPr>
              <w:pStyle w:val="7"/>
              <w:spacing w:line="276" w:lineRule="auto"/>
              <w:rPr>
                <w:sz w:val="24"/>
                <w:szCs w:val="24"/>
              </w:rPr>
            </w:pPr>
            <w:r>
              <w:rPr>
                <w:sz w:val="24"/>
                <w:szCs w:val="24"/>
              </w:rPr>
              <w:t>合金熔化装置熔化铬铁，取消了电炉送电穿井阶段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2122" w:type="dxa"/>
            <w:gridSpan w:val="2"/>
            <w:tcMar>
              <w:left w:w="108" w:type="dxa"/>
              <w:right w:w="108" w:type="dxa"/>
            </w:tcMar>
            <w:vAlign w:val="center"/>
          </w:tcPr>
          <w:p>
            <w:pPr>
              <w:pStyle w:val="7"/>
              <w:spacing w:line="276" w:lineRule="auto"/>
              <w:rPr>
                <w:sz w:val="24"/>
                <w:szCs w:val="24"/>
              </w:rPr>
            </w:pPr>
            <w:r>
              <w:rPr>
                <w:sz w:val="24"/>
                <w:szCs w:val="24"/>
              </w:rPr>
              <w:t>产品方案</w:t>
            </w:r>
          </w:p>
        </w:tc>
        <w:tc>
          <w:tcPr>
            <w:tcW w:w="5811" w:type="dxa"/>
            <w:gridSpan w:val="2"/>
            <w:tcMar>
              <w:left w:w="108" w:type="dxa"/>
              <w:right w:w="108" w:type="dxa"/>
            </w:tcMar>
            <w:vAlign w:val="center"/>
          </w:tcPr>
          <w:p>
            <w:pPr>
              <w:pStyle w:val="7"/>
              <w:spacing w:line="276" w:lineRule="auto"/>
              <w:rPr>
                <w:sz w:val="24"/>
                <w:szCs w:val="24"/>
              </w:rPr>
            </w:pPr>
            <w:r>
              <w:rPr>
                <w:sz w:val="24"/>
                <w:szCs w:val="24"/>
              </w:rPr>
              <w:t>按不同生产方式分别为方坯、板坯</w:t>
            </w:r>
          </w:p>
        </w:tc>
        <w:tc>
          <w:tcPr>
            <w:tcW w:w="4536" w:type="dxa"/>
            <w:tcMar>
              <w:left w:w="108" w:type="dxa"/>
              <w:right w:w="108" w:type="dxa"/>
            </w:tcMar>
            <w:vAlign w:val="center"/>
          </w:tcPr>
          <w:p>
            <w:pPr>
              <w:pStyle w:val="7"/>
              <w:spacing w:line="276" w:lineRule="auto"/>
              <w:rPr>
                <w:sz w:val="24"/>
                <w:szCs w:val="24"/>
              </w:rPr>
            </w:pPr>
            <w:r>
              <w:rPr>
                <w:sz w:val="24"/>
                <w:szCs w:val="24"/>
              </w:rPr>
              <w:t>按不同生产方式分别为方坯、板坯</w:t>
            </w:r>
          </w:p>
        </w:tc>
        <w:tc>
          <w:tcPr>
            <w:tcW w:w="2410" w:type="dxa"/>
            <w:tcMar>
              <w:left w:w="108" w:type="dxa"/>
              <w:right w:w="108" w:type="dxa"/>
            </w:tcMar>
            <w:vAlign w:val="center"/>
          </w:tcPr>
          <w:p>
            <w:pPr>
              <w:pStyle w:val="7"/>
              <w:spacing w:line="276" w:lineRule="auto"/>
              <w:rPr>
                <w:sz w:val="24"/>
                <w:szCs w:val="24"/>
              </w:rPr>
            </w:pPr>
            <w:r>
              <w:rPr>
                <w:sz w:val="24"/>
                <w:szCs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restart"/>
            <w:tcMar>
              <w:left w:w="108" w:type="dxa"/>
              <w:right w:w="108" w:type="dxa"/>
            </w:tcMar>
            <w:vAlign w:val="center"/>
          </w:tcPr>
          <w:p>
            <w:pPr>
              <w:pStyle w:val="7"/>
              <w:spacing w:line="276" w:lineRule="auto"/>
              <w:rPr>
                <w:sz w:val="24"/>
                <w:szCs w:val="24"/>
              </w:rPr>
            </w:pPr>
            <w:r>
              <w:rPr>
                <w:sz w:val="24"/>
                <w:szCs w:val="24"/>
              </w:rPr>
              <w:t>主体</w:t>
            </w:r>
          </w:p>
          <w:p>
            <w:pPr>
              <w:pStyle w:val="7"/>
              <w:spacing w:line="276" w:lineRule="auto"/>
              <w:rPr>
                <w:sz w:val="24"/>
                <w:szCs w:val="24"/>
              </w:rPr>
            </w:pPr>
            <w:r>
              <w:rPr>
                <w:sz w:val="24"/>
                <w:szCs w:val="24"/>
              </w:rPr>
              <w:t>工程</w:t>
            </w:r>
          </w:p>
        </w:tc>
        <w:tc>
          <w:tcPr>
            <w:tcW w:w="1670" w:type="dxa"/>
            <w:tcMar>
              <w:left w:w="108" w:type="dxa"/>
              <w:right w:w="108" w:type="dxa"/>
            </w:tcMar>
            <w:vAlign w:val="center"/>
          </w:tcPr>
          <w:p>
            <w:pPr>
              <w:pStyle w:val="7"/>
              <w:spacing w:line="276" w:lineRule="auto"/>
              <w:rPr>
                <w:sz w:val="24"/>
                <w:szCs w:val="24"/>
              </w:rPr>
            </w:pPr>
            <w:r>
              <w:rPr>
                <w:sz w:val="24"/>
                <w:szCs w:val="24"/>
              </w:rPr>
              <w:t>电炉跨</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位于车间西侧，主要布置90tUHP电弧炉及配套上料系统、扒渣站、拆炉站、废钢料蓝存放等设施</w:t>
            </w:r>
          </w:p>
        </w:tc>
        <w:tc>
          <w:tcPr>
            <w:tcW w:w="4536" w:type="dxa"/>
            <w:tcMar>
              <w:left w:w="108" w:type="dxa"/>
              <w:right w:w="108" w:type="dxa"/>
            </w:tcMar>
            <w:vAlign w:val="center"/>
          </w:tcPr>
          <w:p>
            <w:pPr>
              <w:pStyle w:val="7"/>
              <w:spacing w:line="276" w:lineRule="auto"/>
              <w:rPr>
                <w:sz w:val="24"/>
                <w:szCs w:val="24"/>
              </w:rPr>
            </w:pPr>
            <w:r>
              <w:rPr>
                <w:sz w:val="24"/>
                <w:szCs w:val="24"/>
              </w:rPr>
              <w:t>电炉跨向南延长42m，电炉拆炉站移动至新建车间区域，现有拆炉站区域建设合金熔化装置及配套设施</w:t>
            </w:r>
          </w:p>
        </w:tc>
        <w:tc>
          <w:tcPr>
            <w:tcW w:w="2410" w:type="dxa"/>
            <w:vMerge w:val="restart"/>
            <w:tcMar>
              <w:left w:w="108" w:type="dxa"/>
              <w:right w:w="108" w:type="dxa"/>
            </w:tcMar>
            <w:vAlign w:val="center"/>
          </w:tcPr>
          <w:p>
            <w:pPr>
              <w:pStyle w:val="7"/>
              <w:spacing w:line="276" w:lineRule="auto"/>
              <w:rPr>
                <w:sz w:val="24"/>
                <w:szCs w:val="24"/>
              </w:rPr>
            </w:pPr>
            <w:r>
              <w:rPr>
                <w:sz w:val="24"/>
                <w:szCs w:val="24"/>
              </w:rPr>
              <w:t>改造，新增30t双工位合金熔化装置及配套设施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加料跨</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位于电炉跨东侧，主要布置合金上料系统、碳粉加料装置等设施</w:t>
            </w:r>
          </w:p>
        </w:tc>
        <w:tc>
          <w:tcPr>
            <w:tcW w:w="4536" w:type="dxa"/>
            <w:tcMar>
              <w:left w:w="108" w:type="dxa"/>
              <w:right w:w="108" w:type="dxa"/>
            </w:tcMar>
            <w:vAlign w:val="center"/>
          </w:tcPr>
          <w:p>
            <w:pPr>
              <w:pStyle w:val="7"/>
              <w:spacing w:line="276" w:lineRule="auto"/>
              <w:rPr>
                <w:sz w:val="24"/>
                <w:szCs w:val="24"/>
              </w:rPr>
            </w:pPr>
            <w:r>
              <w:rPr>
                <w:sz w:val="24"/>
                <w:szCs w:val="24"/>
              </w:rPr>
              <w:t>加料跨南延长42m，电炉拆炉站移动至新建车间区域，现有拆炉站区域建设合金熔化装置及配套设施</w:t>
            </w:r>
          </w:p>
        </w:tc>
        <w:tc>
          <w:tcPr>
            <w:tcW w:w="2410" w:type="dxa"/>
            <w:vMerge w:val="continue"/>
            <w:tcMar>
              <w:left w:w="108" w:type="dxa"/>
              <w:right w:w="108" w:type="dxa"/>
            </w:tcMar>
            <w:vAlign w:val="center"/>
          </w:tcPr>
          <w:p>
            <w:pPr>
              <w:pStyle w:val="7"/>
              <w:spacing w:line="276"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冶炼跨</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位于车间北侧，内设3台45tAOD精炼炉及配套上料系统、扒渣站以及铸锭存放区域</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冶炼辅助跨</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位于冶炼跨南侧，内设AOD精炼炉拆包站、1台45tLF精炼炉及配套上料系统、拆包站等设施</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钢水接受跨</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位于冶炼辅助跨南侧，内设两台45t单工位VOD真空精炼装置2座及配套上料系统、拆包站、扒渣站等辅助设施</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浇注跨</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位于钢水接受跨南侧，内设1台1280mm立式板坯连铸机及方1台坯连铸机</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出坯跨</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位于浇铸跨南侧，主要为铸坯存放区</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板坯修磨跨</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位于出坯跨南侧，修磨机未建设，目前为预留空地</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restart"/>
            <w:tcMar>
              <w:left w:w="108" w:type="dxa"/>
              <w:right w:w="108" w:type="dxa"/>
            </w:tcMar>
            <w:vAlign w:val="center"/>
          </w:tcPr>
          <w:p>
            <w:pPr>
              <w:pStyle w:val="7"/>
              <w:spacing w:line="276" w:lineRule="auto"/>
              <w:rPr>
                <w:sz w:val="24"/>
                <w:szCs w:val="24"/>
              </w:rPr>
            </w:pPr>
            <w:r>
              <w:rPr>
                <w:sz w:val="24"/>
                <w:szCs w:val="24"/>
              </w:rPr>
              <w:t>辅助工程</w:t>
            </w:r>
          </w:p>
        </w:tc>
        <w:tc>
          <w:tcPr>
            <w:tcW w:w="1670" w:type="dxa"/>
            <w:tcMar>
              <w:left w:w="108" w:type="dxa"/>
              <w:right w:w="108" w:type="dxa"/>
            </w:tcMar>
            <w:vAlign w:val="center"/>
          </w:tcPr>
          <w:p>
            <w:pPr>
              <w:pStyle w:val="7"/>
              <w:spacing w:line="276" w:lineRule="auto"/>
              <w:rPr>
                <w:sz w:val="24"/>
                <w:szCs w:val="24"/>
              </w:rPr>
            </w:pPr>
            <w:r>
              <w:rPr>
                <w:sz w:val="24"/>
                <w:szCs w:val="24"/>
              </w:rPr>
              <w:t>原料库</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位于冶炼车间西侧，全封闭储库，内设废钢、生铁及各种造渣材料等原辅料分类储存隔间</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运输系统</w:t>
            </w:r>
          </w:p>
        </w:tc>
        <w:tc>
          <w:tcPr>
            <w:tcW w:w="5811" w:type="dxa"/>
            <w:gridSpan w:val="2"/>
            <w:tcMar>
              <w:left w:w="108" w:type="dxa"/>
              <w:right w:w="108" w:type="dxa"/>
            </w:tcMar>
            <w:vAlign w:val="center"/>
          </w:tcPr>
          <w:p>
            <w:pPr>
              <w:pStyle w:val="7"/>
              <w:spacing w:line="276" w:lineRule="auto"/>
              <w:rPr>
                <w:sz w:val="24"/>
                <w:szCs w:val="24"/>
              </w:rPr>
            </w:pPr>
            <w:r>
              <w:rPr>
                <w:sz w:val="24"/>
                <w:szCs w:val="24"/>
              </w:rPr>
              <w:t>车间内设置天车滑线及一台230/70/10t铸造起重机</w:t>
            </w:r>
          </w:p>
          <w:p>
            <w:pPr>
              <w:pStyle w:val="7"/>
              <w:spacing w:line="276" w:lineRule="auto"/>
              <w:rPr>
                <w:sz w:val="24"/>
                <w:szCs w:val="24"/>
              </w:rPr>
            </w:pPr>
            <w:r>
              <w:rPr>
                <w:sz w:val="24"/>
                <w:szCs w:val="24"/>
              </w:rPr>
              <w:t>和一台的16/5t吊钩起重机</w:t>
            </w:r>
          </w:p>
        </w:tc>
        <w:tc>
          <w:tcPr>
            <w:tcW w:w="4536" w:type="dxa"/>
            <w:tcMar>
              <w:left w:w="108" w:type="dxa"/>
              <w:right w:w="108" w:type="dxa"/>
            </w:tcMar>
            <w:vAlign w:val="center"/>
          </w:tcPr>
          <w:p>
            <w:pPr>
              <w:pStyle w:val="7"/>
              <w:spacing w:line="276" w:lineRule="auto"/>
              <w:rPr>
                <w:sz w:val="24"/>
                <w:szCs w:val="24"/>
              </w:rPr>
            </w:pPr>
            <w:r>
              <w:rPr>
                <w:sz w:val="24"/>
                <w:szCs w:val="24"/>
              </w:rPr>
              <w:t>车间内新增1台90/20t铸造起重机，用于合金熔化装置出钢钢包及更换线圈的吊运，放置在车间现有1台230t天车南侧</w:t>
            </w:r>
          </w:p>
        </w:tc>
        <w:tc>
          <w:tcPr>
            <w:tcW w:w="2410" w:type="dxa"/>
            <w:tcMar>
              <w:left w:w="108" w:type="dxa"/>
              <w:right w:w="108" w:type="dxa"/>
            </w:tcMar>
            <w:vAlign w:val="center"/>
          </w:tcPr>
          <w:p>
            <w:pPr>
              <w:pStyle w:val="7"/>
              <w:spacing w:line="276" w:lineRule="auto"/>
              <w:rPr>
                <w:sz w:val="24"/>
                <w:szCs w:val="24"/>
              </w:rPr>
            </w:pPr>
            <w:r>
              <w:rPr>
                <w:sz w:val="24"/>
                <w:szCs w:val="24"/>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综合楼</w:t>
            </w:r>
          </w:p>
        </w:tc>
        <w:tc>
          <w:tcPr>
            <w:tcW w:w="5811" w:type="dxa"/>
            <w:gridSpan w:val="2"/>
            <w:tcMar>
              <w:left w:w="108" w:type="dxa"/>
              <w:right w:w="108" w:type="dxa"/>
            </w:tcMar>
            <w:vAlign w:val="center"/>
          </w:tcPr>
          <w:p>
            <w:pPr>
              <w:pStyle w:val="7"/>
              <w:spacing w:line="276" w:lineRule="auto"/>
              <w:rPr>
                <w:sz w:val="24"/>
                <w:szCs w:val="24"/>
              </w:rPr>
            </w:pPr>
            <w:r>
              <w:rPr>
                <w:sz w:val="24"/>
                <w:szCs w:val="24"/>
              </w:rPr>
              <w:t>--</w:t>
            </w:r>
          </w:p>
        </w:tc>
        <w:tc>
          <w:tcPr>
            <w:tcW w:w="4536" w:type="dxa"/>
            <w:tcMar>
              <w:left w:w="108" w:type="dxa"/>
              <w:right w:w="108" w:type="dxa"/>
            </w:tcMar>
            <w:vAlign w:val="center"/>
          </w:tcPr>
          <w:p>
            <w:pPr>
              <w:pStyle w:val="7"/>
              <w:spacing w:line="276" w:lineRule="auto"/>
              <w:rPr>
                <w:sz w:val="24"/>
                <w:szCs w:val="24"/>
              </w:rPr>
            </w:pPr>
            <w:r>
              <w:rPr>
                <w:sz w:val="24"/>
                <w:szCs w:val="24"/>
              </w:rPr>
              <w:t>共分三层，一层布置高压柜，变压器、液压站和板式换热器；二层布置中频电源柜，三层布置操作室和控制柜。其中液压站设一个3.6m</w:t>
            </w:r>
            <w:r>
              <w:rPr>
                <w:sz w:val="24"/>
                <w:szCs w:val="24"/>
                <w:vertAlign w:val="superscript"/>
              </w:rPr>
              <w:t>3</w:t>
            </w:r>
            <w:r>
              <w:rPr>
                <w:sz w:val="24"/>
                <w:szCs w:val="24"/>
              </w:rPr>
              <w:t>的钢制油箱；板式换热器循环冷却水系统供水能力为900m</w:t>
            </w:r>
            <w:r>
              <w:rPr>
                <w:sz w:val="24"/>
                <w:szCs w:val="24"/>
                <w:vertAlign w:val="superscript"/>
              </w:rPr>
              <w:t>3</w:t>
            </w:r>
            <w:r>
              <w:rPr>
                <w:sz w:val="24"/>
                <w:szCs w:val="24"/>
              </w:rPr>
              <w:t>/h</w:t>
            </w:r>
          </w:p>
        </w:tc>
        <w:tc>
          <w:tcPr>
            <w:tcW w:w="2410" w:type="dxa"/>
            <w:tcMar>
              <w:left w:w="108" w:type="dxa"/>
              <w:right w:w="108" w:type="dxa"/>
            </w:tcMar>
            <w:vAlign w:val="center"/>
          </w:tcPr>
          <w:p>
            <w:pPr>
              <w:pStyle w:val="7"/>
              <w:spacing w:line="276" w:lineRule="auto"/>
              <w:rPr>
                <w:sz w:val="24"/>
                <w:szCs w:val="24"/>
              </w:rPr>
            </w:pPr>
            <w:r>
              <w:rPr>
                <w:sz w:val="24"/>
                <w:szCs w:val="24"/>
              </w:rPr>
              <w:t>新增，位于新建车间区域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净循环水系统</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位于生产车间南侧，净循环水系统处理能力为7080m</w:t>
            </w:r>
            <w:r>
              <w:rPr>
                <w:sz w:val="24"/>
                <w:szCs w:val="24"/>
                <w:vertAlign w:val="superscript"/>
              </w:rPr>
              <w:t>3</w:t>
            </w:r>
            <w:r>
              <w:rPr>
                <w:sz w:val="24"/>
                <w:szCs w:val="24"/>
              </w:rPr>
              <w:t>/h</w:t>
            </w:r>
          </w:p>
        </w:tc>
        <w:tc>
          <w:tcPr>
            <w:tcW w:w="4536" w:type="dxa"/>
            <w:tcMar>
              <w:left w:w="108" w:type="dxa"/>
              <w:right w:w="108" w:type="dxa"/>
            </w:tcMar>
            <w:vAlign w:val="center"/>
          </w:tcPr>
          <w:p>
            <w:pPr>
              <w:pStyle w:val="12"/>
              <w:spacing w:line="276" w:lineRule="auto"/>
              <w:rPr>
                <w:sz w:val="24"/>
              </w:rPr>
            </w:pPr>
            <w:r>
              <w:rPr>
                <w:sz w:val="24"/>
              </w:rPr>
              <w:t>不改造，风机冷却水及外循环冷却水利用AOD精炼炉净循环水系统</w:t>
            </w:r>
          </w:p>
        </w:tc>
        <w:tc>
          <w:tcPr>
            <w:tcW w:w="2410" w:type="dxa"/>
            <w:tcMar>
              <w:left w:w="108" w:type="dxa"/>
              <w:right w:w="108" w:type="dxa"/>
            </w:tcMar>
            <w:vAlign w:val="center"/>
          </w:tcPr>
          <w:p>
            <w:pPr>
              <w:pStyle w:val="12"/>
              <w:spacing w:line="276" w:lineRule="auto"/>
              <w:rPr>
                <w:sz w:val="24"/>
              </w:rPr>
            </w:pPr>
            <w:r>
              <w:rPr>
                <w:sz w:val="24"/>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浊循环水系统</w:t>
            </w:r>
          </w:p>
        </w:tc>
        <w:tc>
          <w:tcPr>
            <w:tcW w:w="5811" w:type="dxa"/>
            <w:gridSpan w:val="2"/>
            <w:tcMar>
              <w:left w:w="108" w:type="dxa"/>
              <w:right w:w="108" w:type="dxa"/>
            </w:tcMar>
            <w:vAlign w:val="center"/>
          </w:tcPr>
          <w:p>
            <w:pPr>
              <w:pStyle w:val="7"/>
              <w:spacing w:line="276" w:lineRule="auto"/>
              <w:rPr>
                <w:sz w:val="24"/>
                <w:szCs w:val="24"/>
              </w:rPr>
            </w:pPr>
            <w:r>
              <w:rPr>
                <w:sz w:val="24"/>
                <w:szCs w:val="24"/>
              </w:rPr>
              <w:t>位于生产车间东侧，浊循环水系统处理能力为1950m</w:t>
            </w:r>
            <w:r>
              <w:rPr>
                <w:sz w:val="24"/>
                <w:szCs w:val="24"/>
                <w:vertAlign w:val="superscript"/>
              </w:rPr>
              <w:t>3</w:t>
            </w:r>
            <w:r>
              <w:rPr>
                <w:sz w:val="24"/>
                <w:szCs w:val="24"/>
              </w:rPr>
              <w:t>/h的水泵</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restart"/>
            <w:tcMar>
              <w:left w:w="108" w:type="dxa"/>
              <w:right w:w="108" w:type="dxa"/>
            </w:tcMar>
            <w:vAlign w:val="center"/>
          </w:tcPr>
          <w:p>
            <w:pPr>
              <w:pStyle w:val="7"/>
              <w:spacing w:line="276" w:lineRule="auto"/>
              <w:rPr>
                <w:sz w:val="24"/>
                <w:szCs w:val="24"/>
              </w:rPr>
            </w:pPr>
            <w:r>
              <w:rPr>
                <w:sz w:val="24"/>
                <w:szCs w:val="24"/>
              </w:rPr>
              <w:t>公用</w:t>
            </w:r>
          </w:p>
          <w:p>
            <w:pPr>
              <w:pStyle w:val="7"/>
              <w:spacing w:line="276" w:lineRule="auto"/>
              <w:rPr>
                <w:sz w:val="24"/>
                <w:szCs w:val="24"/>
              </w:rPr>
            </w:pPr>
            <w:r>
              <w:rPr>
                <w:sz w:val="24"/>
                <w:szCs w:val="24"/>
              </w:rPr>
              <w:t>工程</w:t>
            </w:r>
          </w:p>
        </w:tc>
        <w:tc>
          <w:tcPr>
            <w:tcW w:w="1670" w:type="dxa"/>
            <w:tcMar>
              <w:left w:w="108" w:type="dxa"/>
              <w:right w:w="108" w:type="dxa"/>
            </w:tcMar>
            <w:vAlign w:val="center"/>
          </w:tcPr>
          <w:p>
            <w:pPr>
              <w:pStyle w:val="7"/>
              <w:spacing w:line="276" w:lineRule="auto"/>
              <w:rPr>
                <w:sz w:val="24"/>
                <w:szCs w:val="24"/>
              </w:rPr>
            </w:pPr>
            <w:r>
              <w:rPr>
                <w:sz w:val="24"/>
                <w:szCs w:val="24"/>
              </w:rPr>
              <w:t>供气</w:t>
            </w:r>
          </w:p>
        </w:tc>
        <w:tc>
          <w:tcPr>
            <w:tcW w:w="5811" w:type="dxa"/>
            <w:gridSpan w:val="2"/>
            <w:tcMar>
              <w:left w:w="108" w:type="dxa"/>
              <w:right w:w="108" w:type="dxa"/>
            </w:tcMar>
            <w:vAlign w:val="center"/>
          </w:tcPr>
          <w:p>
            <w:pPr>
              <w:pStyle w:val="7"/>
              <w:spacing w:line="276" w:lineRule="auto"/>
              <w:rPr>
                <w:sz w:val="24"/>
                <w:szCs w:val="24"/>
              </w:rPr>
            </w:pPr>
            <w:r>
              <w:rPr>
                <w:sz w:val="24"/>
                <w:szCs w:val="24"/>
              </w:rPr>
              <w:t>在加料跨中部设置一氧气、氮气阀门站，气体均由太钢供气管网提供，经管道输送至阀门站，并提供给各用气点</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供水</w:t>
            </w:r>
          </w:p>
        </w:tc>
        <w:tc>
          <w:tcPr>
            <w:tcW w:w="5811" w:type="dxa"/>
            <w:gridSpan w:val="2"/>
            <w:tcMar>
              <w:left w:w="108" w:type="dxa"/>
              <w:right w:w="108" w:type="dxa"/>
            </w:tcMar>
            <w:vAlign w:val="center"/>
          </w:tcPr>
          <w:p>
            <w:pPr>
              <w:pStyle w:val="7"/>
              <w:spacing w:line="276" w:lineRule="auto"/>
              <w:rPr>
                <w:sz w:val="24"/>
                <w:szCs w:val="24"/>
              </w:rPr>
            </w:pPr>
            <w:r>
              <w:rPr>
                <w:sz w:val="24"/>
                <w:szCs w:val="24"/>
              </w:rPr>
              <w:t>太钢能源动力总厂供水配套管网提供</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供电</w:t>
            </w:r>
          </w:p>
        </w:tc>
        <w:tc>
          <w:tcPr>
            <w:tcW w:w="5811" w:type="dxa"/>
            <w:gridSpan w:val="2"/>
            <w:tcMar>
              <w:left w:w="108" w:type="dxa"/>
              <w:right w:w="108" w:type="dxa"/>
            </w:tcMar>
            <w:vAlign w:val="center"/>
          </w:tcPr>
          <w:p>
            <w:pPr>
              <w:pStyle w:val="7"/>
              <w:spacing w:line="276" w:lineRule="auto"/>
              <w:rPr>
                <w:sz w:val="24"/>
                <w:szCs w:val="24"/>
              </w:rPr>
            </w:pPr>
            <w:r>
              <w:rPr>
                <w:sz w:val="24"/>
                <w:szCs w:val="24"/>
              </w:rPr>
              <w:t>太钢厂区第十二降压站提供</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tcMar>
              <w:left w:w="108" w:type="dxa"/>
              <w:right w:w="108" w:type="dxa"/>
            </w:tcMar>
            <w:vAlign w:val="center"/>
          </w:tcPr>
          <w:p>
            <w:pPr>
              <w:pStyle w:val="7"/>
              <w:spacing w:line="276" w:lineRule="auto"/>
              <w:rPr>
                <w:sz w:val="24"/>
                <w:szCs w:val="24"/>
              </w:rPr>
            </w:pPr>
            <w:r>
              <w:rPr>
                <w:sz w:val="24"/>
                <w:szCs w:val="24"/>
              </w:rPr>
              <w:t>供暖</w:t>
            </w:r>
          </w:p>
        </w:tc>
        <w:tc>
          <w:tcPr>
            <w:tcW w:w="5811" w:type="dxa"/>
            <w:gridSpan w:val="2"/>
            <w:tcMar>
              <w:left w:w="108" w:type="dxa"/>
              <w:right w:w="108" w:type="dxa"/>
            </w:tcMar>
            <w:vAlign w:val="center"/>
          </w:tcPr>
          <w:p>
            <w:pPr>
              <w:pStyle w:val="7"/>
              <w:spacing w:line="276" w:lineRule="auto"/>
              <w:rPr>
                <w:sz w:val="24"/>
                <w:szCs w:val="24"/>
              </w:rPr>
            </w:pPr>
            <w:r>
              <w:rPr>
                <w:sz w:val="24"/>
                <w:szCs w:val="24"/>
              </w:rPr>
              <w:t>车间内为高温作业，无需设置采暖设施</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restart"/>
            <w:tcMar>
              <w:left w:w="108" w:type="dxa"/>
              <w:right w:w="108" w:type="dxa"/>
            </w:tcMar>
            <w:vAlign w:val="center"/>
          </w:tcPr>
          <w:p>
            <w:pPr>
              <w:pStyle w:val="7"/>
              <w:spacing w:line="276" w:lineRule="auto"/>
              <w:rPr>
                <w:sz w:val="24"/>
                <w:szCs w:val="24"/>
              </w:rPr>
            </w:pPr>
            <w:r>
              <w:rPr>
                <w:sz w:val="24"/>
                <w:szCs w:val="24"/>
              </w:rPr>
              <w:t>环保</w:t>
            </w:r>
          </w:p>
          <w:p>
            <w:pPr>
              <w:pStyle w:val="7"/>
              <w:spacing w:line="276" w:lineRule="auto"/>
              <w:rPr>
                <w:sz w:val="24"/>
                <w:szCs w:val="24"/>
              </w:rPr>
            </w:pPr>
            <w:r>
              <w:rPr>
                <w:sz w:val="24"/>
                <w:szCs w:val="24"/>
              </w:rPr>
              <w:t>工程</w:t>
            </w:r>
          </w:p>
        </w:tc>
        <w:tc>
          <w:tcPr>
            <w:tcW w:w="1670" w:type="dxa"/>
            <w:vMerge w:val="restart"/>
            <w:tcMar>
              <w:left w:w="108" w:type="dxa"/>
              <w:right w:w="108" w:type="dxa"/>
            </w:tcMar>
            <w:vAlign w:val="center"/>
          </w:tcPr>
          <w:p>
            <w:pPr>
              <w:pStyle w:val="7"/>
              <w:spacing w:line="276" w:lineRule="auto"/>
              <w:rPr>
                <w:sz w:val="24"/>
                <w:szCs w:val="24"/>
              </w:rPr>
            </w:pPr>
            <w:r>
              <w:rPr>
                <w:sz w:val="24"/>
                <w:szCs w:val="24"/>
              </w:rPr>
              <w:t>废气</w:t>
            </w:r>
          </w:p>
        </w:tc>
        <w:tc>
          <w:tcPr>
            <w:tcW w:w="1842" w:type="dxa"/>
            <w:tcMar>
              <w:left w:w="108" w:type="dxa"/>
              <w:right w:w="108" w:type="dxa"/>
            </w:tcMar>
            <w:vAlign w:val="center"/>
          </w:tcPr>
          <w:p>
            <w:pPr>
              <w:pStyle w:val="7"/>
              <w:spacing w:line="276" w:lineRule="auto"/>
              <w:rPr>
                <w:sz w:val="24"/>
                <w:szCs w:val="24"/>
              </w:rPr>
            </w:pPr>
            <w:r>
              <w:rPr>
                <w:sz w:val="24"/>
                <w:szCs w:val="24"/>
              </w:rPr>
              <w:t>原料库</w:t>
            </w:r>
          </w:p>
        </w:tc>
        <w:tc>
          <w:tcPr>
            <w:tcW w:w="3969" w:type="dxa"/>
            <w:tcMar>
              <w:left w:w="108" w:type="dxa"/>
              <w:right w:w="108" w:type="dxa"/>
            </w:tcMar>
            <w:vAlign w:val="center"/>
          </w:tcPr>
          <w:p>
            <w:pPr>
              <w:pStyle w:val="7"/>
              <w:spacing w:line="276" w:lineRule="auto"/>
              <w:rPr>
                <w:sz w:val="24"/>
                <w:szCs w:val="24"/>
              </w:rPr>
            </w:pPr>
            <w:r>
              <w:rPr>
                <w:sz w:val="24"/>
                <w:szCs w:val="24"/>
              </w:rPr>
              <w:t>全封闭料库，用原料库内各原料分区储存</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continue"/>
            <w:tcMar>
              <w:left w:w="108" w:type="dxa"/>
              <w:right w:w="108" w:type="dxa"/>
            </w:tcMar>
            <w:vAlign w:val="center"/>
          </w:tcPr>
          <w:p>
            <w:pPr>
              <w:pStyle w:val="7"/>
              <w:spacing w:line="276" w:lineRule="auto"/>
              <w:rPr>
                <w:sz w:val="24"/>
                <w:szCs w:val="24"/>
              </w:rPr>
            </w:pPr>
          </w:p>
        </w:tc>
        <w:tc>
          <w:tcPr>
            <w:tcW w:w="1842" w:type="dxa"/>
            <w:tcMar>
              <w:left w:w="108" w:type="dxa"/>
              <w:right w:w="108" w:type="dxa"/>
            </w:tcMar>
            <w:vAlign w:val="center"/>
          </w:tcPr>
          <w:p>
            <w:pPr>
              <w:pStyle w:val="7"/>
              <w:spacing w:line="276" w:lineRule="auto"/>
              <w:rPr>
                <w:sz w:val="24"/>
                <w:szCs w:val="24"/>
              </w:rPr>
            </w:pPr>
            <w:r>
              <w:rPr>
                <w:sz w:val="24"/>
                <w:szCs w:val="24"/>
              </w:rPr>
              <w:t>90t电炉烟气</w:t>
            </w:r>
          </w:p>
        </w:tc>
        <w:tc>
          <w:tcPr>
            <w:tcW w:w="3969" w:type="dxa"/>
            <w:tcMar>
              <w:left w:w="108" w:type="dxa"/>
              <w:right w:w="108" w:type="dxa"/>
            </w:tcMar>
            <w:vAlign w:val="center"/>
          </w:tcPr>
          <w:p>
            <w:pPr>
              <w:pStyle w:val="7"/>
              <w:spacing w:line="276" w:lineRule="auto"/>
              <w:rPr>
                <w:sz w:val="24"/>
                <w:szCs w:val="24"/>
              </w:rPr>
            </w:pPr>
            <w:r>
              <w:rPr>
                <w:sz w:val="24"/>
                <w:szCs w:val="24"/>
              </w:rPr>
              <w:t>电炉各产尘点废气经收集后由管道输送至布袋除尘器处理后经30m高排气筒排放，除尘器处理风量为120万m</w:t>
            </w:r>
            <w:r>
              <w:rPr>
                <w:sz w:val="24"/>
                <w:szCs w:val="24"/>
                <w:vertAlign w:val="superscript"/>
              </w:rPr>
              <w:t>3</w:t>
            </w:r>
            <w:r>
              <w:rPr>
                <w:sz w:val="24"/>
                <w:szCs w:val="24"/>
              </w:rPr>
              <w:t>/h，l滤料材质采用500g涤纶针刺毡，过滤风速为1.18m/min，排放浓度以15mg/m</w:t>
            </w:r>
            <w:r>
              <w:rPr>
                <w:sz w:val="24"/>
                <w:szCs w:val="24"/>
                <w:vertAlign w:val="superscript"/>
              </w:rPr>
              <w:t>3</w:t>
            </w:r>
            <w:r>
              <w:rPr>
                <w:sz w:val="24"/>
                <w:szCs w:val="24"/>
              </w:rPr>
              <w:t>计</w:t>
            </w:r>
          </w:p>
        </w:tc>
        <w:tc>
          <w:tcPr>
            <w:tcW w:w="4536" w:type="dxa"/>
            <w:tcMar>
              <w:left w:w="108" w:type="dxa"/>
              <w:right w:w="108" w:type="dxa"/>
            </w:tcMar>
            <w:vAlign w:val="center"/>
          </w:tcPr>
          <w:p>
            <w:pPr>
              <w:pStyle w:val="7"/>
              <w:spacing w:line="276" w:lineRule="auto"/>
              <w:rPr>
                <w:sz w:val="24"/>
                <w:szCs w:val="24"/>
                <w:highlight w:val="yellow"/>
              </w:rPr>
            </w:pPr>
            <w:r>
              <w:rPr>
                <w:sz w:val="24"/>
                <w:szCs w:val="24"/>
              </w:rPr>
              <w:t>现有电炉除尘系统风量为120万m</w:t>
            </w:r>
            <w:r>
              <w:rPr>
                <w:sz w:val="24"/>
                <w:szCs w:val="24"/>
                <w:vertAlign w:val="superscript"/>
              </w:rPr>
              <w:t>3</w:t>
            </w:r>
            <w:r>
              <w:rPr>
                <w:sz w:val="24"/>
                <w:szCs w:val="24"/>
              </w:rPr>
              <w:t>/h，配套合金熔化装置处理风量约30万m</w:t>
            </w:r>
            <w:r>
              <w:rPr>
                <w:sz w:val="24"/>
                <w:szCs w:val="24"/>
                <w:vertAlign w:val="superscript"/>
              </w:rPr>
              <w:t>3</w:t>
            </w:r>
            <w:r>
              <w:rPr>
                <w:sz w:val="24"/>
                <w:szCs w:val="24"/>
              </w:rPr>
              <w:t>/h，在现有两台电炉除尘器分别新增滤袋面积为12358m</w:t>
            </w:r>
            <w:r>
              <w:rPr>
                <w:sz w:val="24"/>
                <w:szCs w:val="24"/>
                <w:vertAlign w:val="superscript"/>
              </w:rPr>
              <w:t>2</w:t>
            </w:r>
            <w:r>
              <w:rPr>
                <w:sz w:val="24"/>
                <w:szCs w:val="24"/>
              </w:rPr>
              <w:t>，滤袋材质为160×7600超细纤维滤袋，每台除尘器单台处理风量增加至75万m</w:t>
            </w:r>
            <w:r>
              <w:rPr>
                <w:sz w:val="24"/>
                <w:szCs w:val="24"/>
                <w:vertAlign w:val="superscript"/>
              </w:rPr>
              <w:t>3</w:t>
            </w:r>
            <w:r>
              <w:rPr>
                <w:sz w:val="24"/>
                <w:szCs w:val="24"/>
              </w:rPr>
              <w:t>/h，降低除尘器过滤风速不超过0.6m/min，排放浓度控制在10mg/m</w:t>
            </w:r>
            <w:r>
              <w:rPr>
                <w:sz w:val="24"/>
                <w:szCs w:val="24"/>
                <w:vertAlign w:val="superscript"/>
              </w:rPr>
              <w:t>3</w:t>
            </w:r>
            <w:r>
              <w:rPr>
                <w:sz w:val="24"/>
                <w:szCs w:val="24"/>
              </w:rPr>
              <w:t>，合金熔化装置及辅助设施烟气与电炉烟气合并后排入除尘系统，并经现有2根排气筒排放</w:t>
            </w:r>
          </w:p>
        </w:tc>
        <w:tc>
          <w:tcPr>
            <w:tcW w:w="2410" w:type="dxa"/>
            <w:tcMar>
              <w:left w:w="108" w:type="dxa"/>
              <w:right w:w="108" w:type="dxa"/>
            </w:tcMar>
            <w:vAlign w:val="center"/>
          </w:tcPr>
          <w:p>
            <w:pPr>
              <w:pStyle w:val="7"/>
              <w:spacing w:line="276" w:lineRule="auto"/>
              <w:rPr>
                <w:sz w:val="24"/>
                <w:szCs w:val="24"/>
              </w:rPr>
            </w:pPr>
            <w:r>
              <w:rPr>
                <w:sz w:val="24"/>
                <w:szCs w:val="24"/>
              </w:rPr>
              <w:t>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continue"/>
            <w:tcMar>
              <w:left w:w="108" w:type="dxa"/>
              <w:right w:w="108" w:type="dxa"/>
            </w:tcMar>
            <w:vAlign w:val="center"/>
          </w:tcPr>
          <w:p>
            <w:pPr>
              <w:pStyle w:val="7"/>
              <w:spacing w:line="276" w:lineRule="auto"/>
              <w:rPr>
                <w:sz w:val="24"/>
                <w:szCs w:val="24"/>
              </w:rPr>
            </w:pPr>
          </w:p>
        </w:tc>
        <w:tc>
          <w:tcPr>
            <w:tcW w:w="1842" w:type="dxa"/>
            <w:tcMar>
              <w:left w:w="108" w:type="dxa"/>
              <w:right w:w="108" w:type="dxa"/>
            </w:tcMar>
            <w:vAlign w:val="center"/>
          </w:tcPr>
          <w:p>
            <w:pPr>
              <w:pStyle w:val="7"/>
              <w:spacing w:line="276" w:lineRule="auto"/>
              <w:rPr>
                <w:sz w:val="24"/>
                <w:szCs w:val="24"/>
              </w:rPr>
            </w:pPr>
            <w:r>
              <w:rPr>
                <w:sz w:val="24"/>
                <w:szCs w:val="24"/>
              </w:rPr>
              <w:t>AOD精炼炉、LF精炼炉、VOD精炼炉及铸造剪切烟气</w:t>
            </w:r>
          </w:p>
        </w:tc>
        <w:tc>
          <w:tcPr>
            <w:tcW w:w="3969" w:type="dxa"/>
            <w:tcMar>
              <w:left w:w="108" w:type="dxa"/>
              <w:right w:w="108" w:type="dxa"/>
            </w:tcMar>
            <w:vAlign w:val="center"/>
          </w:tcPr>
          <w:p>
            <w:pPr>
              <w:pStyle w:val="7"/>
              <w:spacing w:line="276" w:lineRule="auto"/>
              <w:rPr>
                <w:sz w:val="24"/>
                <w:szCs w:val="24"/>
              </w:rPr>
            </w:pPr>
            <w:r>
              <w:rPr>
                <w:sz w:val="24"/>
                <w:szCs w:val="24"/>
              </w:rPr>
              <w:t>各产尘点均设置集气设施，并经布袋除尘器处理后达标排放</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restart"/>
            <w:tcMar>
              <w:left w:w="108" w:type="dxa"/>
              <w:right w:w="108" w:type="dxa"/>
            </w:tcMar>
            <w:vAlign w:val="center"/>
          </w:tcPr>
          <w:p>
            <w:pPr>
              <w:pStyle w:val="7"/>
              <w:spacing w:line="276" w:lineRule="auto"/>
              <w:rPr>
                <w:sz w:val="24"/>
                <w:szCs w:val="24"/>
              </w:rPr>
            </w:pPr>
            <w:r>
              <w:rPr>
                <w:sz w:val="24"/>
                <w:szCs w:val="24"/>
              </w:rPr>
              <w:t>废水</w:t>
            </w:r>
          </w:p>
        </w:tc>
        <w:tc>
          <w:tcPr>
            <w:tcW w:w="1842" w:type="dxa"/>
            <w:tcMar>
              <w:left w:w="108" w:type="dxa"/>
              <w:right w:w="108" w:type="dxa"/>
            </w:tcMar>
            <w:vAlign w:val="center"/>
          </w:tcPr>
          <w:p>
            <w:pPr>
              <w:pStyle w:val="7"/>
              <w:spacing w:line="276" w:lineRule="auto"/>
              <w:rPr>
                <w:sz w:val="24"/>
                <w:szCs w:val="24"/>
              </w:rPr>
            </w:pPr>
            <w:r>
              <w:rPr>
                <w:sz w:val="24"/>
                <w:szCs w:val="24"/>
              </w:rPr>
              <w:t>生活污水</w:t>
            </w:r>
          </w:p>
        </w:tc>
        <w:tc>
          <w:tcPr>
            <w:tcW w:w="3969" w:type="dxa"/>
            <w:tcMar>
              <w:left w:w="108" w:type="dxa"/>
              <w:right w:w="108" w:type="dxa"/>
            </w:tcMar>
            <w:vAlign w:val="center"/>
          </w:tcPr>
          <w:p>
            <w:pPr>
              <w:pStyle w:val="7"/>
              <w:spacing w:line="276" w:lineRule="auto"/>
              <w:rPr>
                <w:sz w:val="24"/>
                <w:szCs w:val="24"/>
              </w:rPr>
            </w:pPr>
            <w:r>
              <w:rPr>
                <w:sz w:val="24"/>
                <w:szCs w:val="24"/>
              </w:rPr>
              <w:t>依托太钢不锈钢股份有限公司污水处理站</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continue"/>
            <w:tcMar>
              <w:left w:w="108" w:type="dxa"/>
              <w:right w:w="108" w:type="dxa"/>
            </w:tcMar>
            <w:vAlign w:val="center"/>
          </w:tcPr>
          <w:p>
            <w:pPr>
              <w:pStyle w:val="7"/>
              <w:spacing w:line="276" w:lineRule="auto"/>
              <w:rPr>
                <w:sz w:val="24"/>
                <w:szCs w:val="24"/>
              </w:rPr>
            </w:pPr>
          </w:p>
        </w:tc>
        <w:tc>
          <w:tcPr>
            <w:tcW w:w="1842" w:type="dxa"/>
            <w:tcMar>
              <w:left w:w="108" w:type="dxa"/>
              <w:right w:w="108" w:type="dxa"/>
            </w:tcMar>
            <w:vAlign w:val="center"/>
          </w:tcPr>
          <w:p>
            <w:pPr>
              <w:pStyle w:val="7"/>
              <w:spacing w:line="276" w:lineRule="auto"/>
              <w:rPr>
                <w:sz w:val="24"/>
                <w:szCs w:val="24"/>
              </w:rPr>
            </w:pPr>
            <w:r>
              <w:rPr>
                <w:sz w:val="24"/>
                <w:szCs w:val="24"/>
              </w:rPr>
              <w:t>净循环水排水</w:t>
            </w:r>
          </w:p>
        </w:tc>
        <w:tc>
          <w:tcPr>
            <w:tcW w:w="3969" w:type="dxa"/>
            <w:tcMar>
              <w:left w:w="108" w:type="dxa"/>
              <w:right w:w="108" w:type="dxa"/>
            </w:tcMar>
            <w:vAlign w:val="center"/>
          </w:tcPr>
          <w:p>
            <w:pPr>
              <w:pStyle w:val="7"/>
              <w:spacing w:line="276" w:lineRule="auto"/>
              <w:rPr>
                <w:sz w:val="24"/>
                <w:szCs w:val="24"/>
              </w:rPr>
            </w:pPr>
            <w:r>
              <w:rPr>
                <w:sz w:val="24"/>
                <w:szCs w:val="24"/>
              </w:rPr>
              <w:t>排入浊循环水系统</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continue"/>
            <w:tcMar>
              <w:left w:w="108" w:type="dxa"/>
              <w:right w:w="108" w:type="dxa"/>
            </w:tcMar>
            <w:vAlign w:val="center"/>
          </w:tcPr>
          <w:p>
            <w:pPr>
              <w:pStyle w:val="7"/>
              <w:spacing w:line="276" w:lineRule="auto"/>
              <w:rPr>
                <w:sz w:val="24"/>
                <w:szCs w:val="24"/>
              </w:rPr>
            </w:pPr>
          </w:p>
        </w:tc>
        <w:tc>
          <w:tcPr>
            <w:tcW w:w="1842" w:type="dxa"/>
            <w:tcMar>
              <w:left w:w="108" w:type="dxa"/>
              <w:right w:w="108" w:type="dxa"/>
            </w:tcMar>
            <w:vAlign w:val="center"/>
          </w:tcPr>
          <w:p>
            <w:pPr>
              <w:pStyle w:val="7"/>
              <w:spacing w:line="276" w:lineRule="auto"/>
              <w:rPr>
                <w:sz w:val="24"/>
                <w:szCs w:val="24"/>
              </w:rPr>
            </w:pPr>
            <w:r>
              <w:rPr>
                <w:sz w:val="24"/>
                <w:szCs w:val="24"/>
              </w:rPr>
              <w:t>浊循环水排水</w:t>
            </w:r>
          </w:p>
        </w:tc>
        <w:tc>
          <w:tcPr>
            <w:tcW w:w="3969" w:type="dxa"/>
            <w:tcMar>
              <w:left w:w="108" w:type="dxa"/>
              <w:right w:w="108" w:type="dxa"/>
            </w:tcMar>
            <w:vAlign w:val="center"/>
          </w:tcPr>
          <w:p>
            <w:pPr>
              <w:pStyle w:val="7"/>
              <w:spacing w:line="276" w:lineRule="auto"/>
              <w:rPr>
                <w:sz w:val="24"/>
                <w:szCs w:val="24"/>
              </w:rPr>
            </w:pPr>
            <w:r>
              <w:rPr>
                <w:sz w:val="24"/>
                <w:szCs w:val="24"/>
              </w:rPr>
              <w:t>排入太钢不锈能源动力总厂处理后回用于太钢全厂循环使用</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restart"/>
            <w:tcMar>
              <w:left w:w="108" w:type="dxa"/>
              <w:right w:w="108" w:type="dxa"/>
            </w:tcMar>
            <w:vAlign w:val="center"/>
          </w:tcPr>
          <w:p>
            <w:pPr>
              <w:pStyle w:val="7"/>
              <w:spacing w:line="276" w:lineRule="auto"/>
              <w:rPr>
                <w:sz w:val="24"/>
                <w:szCs w:val="24"/>
              </w:rPr>
            </w:pPr>
            <w:r>
              <w:rPr>
                <w:sz w:val="24"/>
                <w:szCs w:val="24"/>
              </w:rPr>
              <w:t>噪声</w:t>
            </w:r>
          </w:p>
        </w:tc>
        <w:tc>
          <w:tcPr>
            <w:tcW w:w="1842" w:type="dxa"/>
            <w:tcMar>
              <w:left w:w="108" w:type="dxa"/>
              <w:right w:w="108" w:type="dxa"/>
            </w:tcMar>
            <w:vAlign w:val="center"/>
          </w:tcPr>
          <w:p>
            <w:pPr>
              <w:pStyle w:val="7"/>
              <w:spacing w:line="276" w:lineRule="auto"/>
              <w:rPr>
                <w:sz w:val="24"/>
                <w:szCs w:val="24"/>
              </w:rPr>
            </w:pPr>
            <w:r>
              <w:rPr>
                <w:sz w:val="24"/>
                <w:szCs w:val="24"/>
              </w:rPr>
              <w:t>电炉</w:t>
            </w:r>
          </w:p>
        </w:tc>
        <w:tc>
          <w:tcPr>
            <w:tcW w:w="3969" w:type="dxa"/>
            <w:tcMar>
              <w:left w:w="108" w:type="dxa"/>
              <w:right w:w="108" w:type="dxa"/>
            </w:tcMar>
            <w:vAlign w:val="center"/>
          </w:tcPr>
          <w:p>
            <w:pPr>
              <w:pStyle w:val="7"/>
              <w:spacing w:line="276" w:lineRule="auto"/>
              <w:rPr>
                <w:sz w:val="24"/>
                <w:szCs w:val="24"/>
              </w:rPr>
            </w:pPr>
            <w:r>
              <w:rPr>
                <w:sz w:val="24"/>
                <w:szCs w:val="24"/>
              </w:rPr>
              <w:t>厂房隔声，距离衰减，设置全封闭“狗窝”隔声罩</w:t>
            </w:r>
          </w:p>
        </w:tc>
        <w:tc>
          <w:tcPr>
            <w:tcW w:w="4536" w:type="dxa"/>
            <w:tcMar>
              <w:left w:w="108" w:type="dxa"/>
              <w:right w:w="108" w:type="dxa"/>
            </w:tcMar>
            <w:vAlign w:val="center"/>
          </w:tcPr>
          <w:p>
            <w:pPr>
              <w:pStyle w:val="7"/>
              <w:spacing w:line="276" w:lineRule="auto"/>
              <w:rPr>
                <w:sz w:val="24"/>
                <w:szCs w:val="24"/>
              </w:rPr>
            </w:pPr>
            <w:r>
              <w:rPr>
                <w:sz w:val="24"/>
                <w:szCs w:val="24"/>
              </w:rPr>
              <w:t>新增1套30t合金熔化装置及配套设施，作为不锈钢冶炼专用合金熔化装置，实现90t电炉送电时炉内就有液态熔池，可实现90t电炉送电时炉内就有液态熔池，取消了电炉送电穿井阶段，实现降噪目的；电炉跨延长车间墙面及屋面设置隔音墙体，材质为内侧冲孔板+130mm厚岩棉+单层压型钢板。</w:t>
            </w:r>
          </w:p>
        </w:tc>
        <w:tc>
          <w:tcPr>
            <w:tcW w:w="2410" w:type="dxa"/>
            <w:tcMar>
              <w:left w:w="108" w:type="dxa"/>
              <w:right w:w="108" w:type="dxa"/>
            </w:tcMar>
            <w:vAlign w:val="center"/>
          </w:tcPr>
          <w:p>
            <w:pPr>
              <w:pStyle w:val="7"/>
              <w:spacing w:line="276" w:lineRule="auto"/>
              <w:rPr>
                <w:sz w:val="24"/>
                <w:szCs w:val="24"/>
              </w:rPr>
            </w:pPr>
            <w:r>
              <w:rPr>
                <w:sz w:val="24"/>
                <w:szCs w:val="24"/>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continue"/>
            <w:tcMar>
              <w:left w:w="108" w:type="dxa"/>
              <w:right w:w="108" w:type="dxa"/>
            </w:tcMar>
            <w:vAlign w:val="center"/>
          </w:tcPr>
          <w:p>
            <w:pPr>
              <w:pStyle w:val="7"/>
              <w:spacing w:line="276" w:lineRule="auto"/>
              <w:rPr>
                <w:sz w:val="24"/>
                <w:szCs w:val="24"/>
              </w:rPr>
            </w:pPr>
          </w:p>
        </w:tc>
        <w:tc>
          <w:tcPr>
            <w:tcW w:w="1842" w:type="dxa"/>
            <w:tcMar>
              <w:left w:w="108" w:type="dxa"/>
              <w:right w:w="108" w:type="dxa"/>
            </w:tcMar>
            <w:vAlign w:val="center"/>
          </w:tcPr>
          <w:p>
            <w:pPr>
              <w:pStyle w:val="12"/>
              <w:spacing w:line="276" w:lineRule="auto"/>
              <w:rPr>
                <w:sz w:val="24"/>
              </w:rPr>
            </w:pPr>
            <w:r>
              <w:rPr>
                <w:sz w:val="24"/>
              </w:rPr>
              <w:t>AOD/VOD精炼炉、LF精炼炉、连铸机等设施</w:t>
            </w:r>
          </w:p>
        </w:tc>
        <w:tc>
          <w:tcPr>
            <w:tcW w:w="3969" w:type="dxa"/>
            <w:tcMar>
              <w:left w:w="108" w:type="dxa"/>
              <w:right w:w="108" w:type="dxa"/>
            </w:tcMar>
            <w:vAlign w:val="center"/>
          </w:tcPr>
          <w:p>
            <w:pPr>
              <w:pStyle w:val="7"/>
              <w:spacing w:line="276" w:lineRule="auto"/>
              <w:rPr>
                <w:sz w:val="24"/>
                <w:szCs w:val="24"/>
              </w:rPr>
            </w:pPr>
            <w:r>
              <w:rPr>
                <w:sz w:val="24"/>
                <w:szCs w:val="24"/>
              </w:rPr>
              <w:t>厂房隔声，距离衰减</w:t>
            </w:r>
          </w:p>
        </w:tc>
        <w:tc>
          <w:tcPr>
            <w:tcW w:w="4536" w:type="dxa"/>
            <w:tcMar>
              <w:left w:w="108" w:type="dxa"/>
              <w:right w:w="108" w:type="dxa"/>
            </w:tcMar>
            <w:vAlign w:val="center"/>
          </w:tcPr>
          <w:p>
            <w:pPr>
              <w:pStyle w:val="7"/>
              <w:spacing w:line="276" w:lineRule="auto"/>
              <w:rPr>
                <w:sz w:val="24"/>
                <w:szCs w:val="24"/>
              </w:rPr>
            </w:pPr>
            <w:r>
              <w:rPr>
                <w:sz w:val="24"/>
                <w:szCs w:val="24"/>
              </w:rPr>
              <w:t>不变</w:t>
            </w:r>
          </w:p>
        </w:tc>
        <w:tc>
          <w:tcPr>
            <w:tcW w:w="2410" w:type="dxa"/>
            <w:tcMar>
              <w:left w:w="108" w:type="dxa"/>
              <w:right w:w="108" w:type="dxa"/>
            </w:tcMar>
            <w:vAlign w:val="center"/>
          </w:tcPr>
          <w:p>
            <w:pPr>
              <w:pStyle w:val="7"/>
              <w:spacing w:line="276" w:lineRule="auto"/>
              <w:rPr>
                <w:sz w:val="24"/>
                <w:szCs w:val="24"/>
              </w:rPr>
            </w:pPr>
            <w:r>
              <w:rPr>
                <w:sz w:val="24"/>
                <w:szCs w:val="24"/>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restart"/>
            <w:tcMar>
              <w:left w:w="108" w:type="dxa"/>
              <w:right w:w="108" w:type="dxa"/>
            </w:tcMar>
            <w:vAlign w:val="center"/>
          </w:tcPr>
          <w:p>
            <w:pPr>
              <w:pStyle w:val="7"/>
              <w:spacing w:line="276" w:lineRule="auto"/>
              <w:rPr>
                <w:sz w:val="24"/>
                <w:szCs w:val="24"/>
              </w:rPr>
            </w:pPr>
            <w:r>
              <w:rPr>
                <w:sz w:val="24"/>
                <w:szCs w:val="24"/>
              </w:rPr>
              <w:t>固</w:t>
            </w:r>
            <w:r>
              <w:rPr>
                <w:rFonts w:hint="eastAsia"/>
                <w:sz w:val="24"/>
                <w:szCs w:val="24"/>
              </w:rPr>
              <w:t>体废物</w:t>
            </w:r>
          </w:p>
          <w:p>
            <w:pPr>
              <w:pStyle w:val="7"/>
              <w:spacing w:line="276" w:lineRule="auto"/>
              <w:rPr>
                <w:sz w:val="24"/>
                <w:szCs w:val="24"/>
              </w:rPr>
            </w:pPr>
            <w:r>
              <w:rPr>
                <w:rFonts w:hint="eastAsia"/>
                <w:sz w:val="24"/>
                <w:szCs w:val="24"/>
              </w:rPr>
              <w:t>（</w:t>
            </w:r>
            <w:r>
              <w:rPr>
                <w:rFonts w:hint="eastAsia"/>
                <w:sz w:val="24"/>
              </w:rPr>
              <w:t>危险废物）</w:t>
            </w:r>
          </w:p>
        </w:tc>
        <w:tc>
          <w:tcPr>
            <w:tcW w:w="1842" w:type="dxa"/>
            <w:tcMar>
              <w:left w:w="108" w:type="dxa"/>
              <w:right w:w="108" w:type="dxa"/>
            </w:tcMar>
            <w:vAlign w:val="center"/>
          </w:tcPr>
          <w:p>
            <w:pPr>
              <w:pStyle w:val="7"/>
              <w:spacing w:line="276" w:lineRule="auto"/>
              <w:rPr>
                <w:sz w:val="24"/>
              </w:rPr>
            </w:pPr>
            <w:r>
              <w:rPr>
                <w:sz w:val="24"/>
              </w:rPr>
              <w:t>废耐火材料</w:t>
            </w:r>
          </w:p>
          <w:p>
            <w:pPr>
              <w:pStyle w:val="7"/>
              <w:spacing w:line="276" w:lineRule="auto"/>
              <w:rPr>
                <w:sz w:val="24"/>
                <w:szCs w:val="24"/>
              </w:rPr>
            </w:pPr>
            <w:r>
              <w:rPr>
                <w:rFonts w:hint="eastAsia"/>
                <w:sz w:val="24"/>
              </w:rPr>
              <w:t>（</w:t>
            </w:r>
            <w:r>
              <w:rPr>
                <w:sz w:val="24"/>
                <w:szCs w:val="24"/>
              </w:rPr>
              <w:t>固</w:t>
            </w:r>
            <w:r>
              <w:rPr>
                <w:rFonts w:hint="eastAsia"/>
                <w:sz w:val="24"/>
                <w:szCs w:val="24"/>
              </w:rPr>
              <w:t>体废物）</w:t>
            </w:r>
          </w:p>
        </w:tc>
        <w:tc>
          <w:tcPr>
            <w:tcW w:w="3969" w:type="dxa"/>
            <w:tcMar>
              <w:left w:w="108" w:type="dxa"/>
              <w:right w:w="108" w:type="dxa"/>
            </w:tcMar>
            <w:vAlign w:val="center"/>
          </w:tcPr>
          <w:p>
            <w:pPr>
              <w:pStyle w:val="7"/>
              <w:spacing w:line="276" w:lineRule="auto"/>
              <w:rPr>
                <w:sz w:val="24"/>
                <w:szCs w:val="24"/>
              </w:rPr>
            </w:pPr>
            <w:r>
              <w:rPr>
                <w:sz w:val="24"/>
                <w:szCs w:val="24"/>
              </w:rPr>
              <w:t>由太钢加工厂统一处理</w:t>
            </w:r>
          </w:p>
        </w:tc>
        <w:tc>
          <w:tcPr>
            <w:tcW w:w="4536" w:type="dxa"/>
            <w:tcMar>
              <w:left w:w="108" w:type="dxa"/>
              <w:right w:w="108" w:type="dxa"/>
            </w:tcMar>
            <w:vAlign w:val="center"/>
          </w:tcPr>
          <w:p>
            <w:pPr>
              <w:pStyle w:val="7"/>
              <w:spacing w:line="276" w:lineRule="auto"/>
              <w:rPr>
                <w:sz w:val="24"/>
                <w:szCs w:val="24"/>
              </w:rPr>
            </w:pPr>
            <w:r>
              <w:rPr>
                <w:sz w:val="24"/>
                <w:szCs w:val="24"/>
              </w:rPr>
              <w:t>增加产生量，由太钢加工厂统一处理</w:t>
            </w:r>
          </w:p>
        </w:tc>
        <w:tc>
          <w:tcPr>
            <w:tcW w:w="2410" w:type="dxa"/>
            <w:tcMar>
              <w:left w:w="108" w:type="dxa"/>
              <w:right w:w="108" w:type="dxa"/>
            </w:tcMar>
            <w:vAlign w:val="center"/>
          </w:tcPr>
          <w:p>
            <w:pPr>
              <w:pStyle w:val="7"/>
              <w:spacing w:line="276" w:lineRule="auto"/>
              <w:rPr>
                <w:sz w:val="24"/>
                <w:szCs w:val="24"/>
              </w:rPr>
            </w:pPr>
            <w:r>
              <w:rPr>
                <w:sz w:val="24"/>
                <w:szCs w:val="24"/>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continue"/>
            <w:tcMar>
              <w:left w:w="108" w:type="dxa"/>
              <w:right w:w="108" w:type="dxa"/>
            </w:tcMar>
            <w:vAlign w:val="center"/>
          </w:tcPr>
          <w:p>
            <w:pPr>
              <w:pStyle w:val="7"/>
              <w:spacing w:line="276" w:lineRule="auto"/>
              <w:rPr>
                <w:sz w:val="24"/>
                <w:szCs w:val="24"/>
              </w:rPr>
            </w:pPr>
          </w:p>
        </w:tc>
        <w:tc>
          <w:tcPr>
            <w:tcW w:w="1842" w:type="dxa"/>
            <w:tcMar>
              <w:left w:w="108" w:type="dxa"/>
              <w:right w:w="108" w:type="dxa"/>
            </w:tcMar>
            <w:vAlign w:val="center"/>
          </w:tcPr>
          <w:p>
            <w:pPr>
              <w:pStyle w:val="12"/>
              <w:spacing w:line="276" w:lineRule="auto"/>
              <w:rPr>
                <w:sz w:val="24"/>
              </w:rPr>
            </w:pPr>
            <w:r>
              <w:rPr>
                <w:sz w:val="24"/>
              </w:rPr>
              <w:t>除尘灰</w:t>
            </w:r>
          </w:p>
          <w:p>
            <w:pPr>
              <w:pStyle w:val="12"/>
              <w:spacing w:line="276" w:lineRule="auto"/>
              <w:rPr>
                <w:sz w:val="24"/>
              </w:rPr>
            </w:pPr>
            <w:r>
              <w:rPr>
                <w:rFonts w:hint="eastAsia"/>
                <w:sz w:val="24"/>
              </w:rPr>
              <w:t>（危险废物）</w:t>
            </w:r>
          </w:p>
        </w:tc>
        <w:tc>
          <w:tcPr>
            <w:tcW w:w="3969" w:type="dxa"/>
            <w:tcMar>
              <w:left w:w="108" w:type="dxa"/>
              <w:right w:w="108" w:type="dxa"/>
            </w:tcMar>
            <w:vAlign w:val="center"/>
          </w:tcPr>
          <w:p>
            <w:pPr>
              <w:pStyle w:val="7"/>
              <w:spacing w:line="276" w:lineRule="auto"/>
              <w:rPr>
                <w:sz w:val="24"/>
                <w:szCs w:val="24"/>
              </w:rPr>
            </w:pPr>
            <w:r>
              <w:rPr>
                <w:sz w:val="24"/>
                <w:szCs w:val="24"/>
              </w:rPr>
              <w:t>送太钢烧结车间回用</w:t>
            </w:r>
          </w:p>
        </w:tc>
        <w:tc>
          <w:tcPr>
            <w:tcW w:w="4536" w:type="dxa"/>
            <w:tcMar>
              <w:left w:w="108" w:type="dxa"/>
              <w:right w:w="108" w:type="dxa"/>
            </w:tcMar>
            <w:vAlign w:val="center"/>
          </w:tcPr>
          <w:p>
            <w:pPr>
              <w:pStyle w:val="7"/>
              <w:spacing w:line="276" w:lineRule="auto"/>
              <w:rPr>
                <w:sz w:val="24"/>
                <w:szCs w:val="24"/>
              </w:rPr>
            </w:pPr>
            <w:r>
              <w:rPr>
                <w:sz w:val="24"/>
                <w:szCs w:val="24"/>
              </w:rPr>
              <w:t>产生量增加，送太钢烧结车间回用</w:t>
            </w:r>
          </w:p>
        </w:tc>
        <w:tc>
          <w:tcPr>
            <w:tcW w:w="2410" w:type="dxa"/>
            <w:tcMar>
              <w:left w:w="108" w:type="dxa"/>
              <w:right w:w="108" w:type="dxa"/>
            </w:tcMar>
            <w:vAlign w:val="center"/>
          </w:tcPr>
          <w:p>
            <w:pPr>
              <w:pStyle w:val="7"/>
              <w:spacing w:line="276" w:lineRule="auto"/>
              <w:rPr>
                <w:sz w:val="24"/>
                <w:szCs w:val="24"/>
              </w:rPr>
            </w:pPr>
            <w:r>
              <w:rPr>
                <w:sz w:val="24"/>
                <w:szCs w:val="24"/>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52" w:type="dxa"/>
            <w:vMerge w:val="continue"/>
            <w:tcMar>
              <w:left w:w="108" w:type="dxa"/>
              <w:right w:w="108" w:type="dxa"/>
            </w:tcMar>
            <w:vAlign w:val="center"/>
          </w:tcPr>
          <w:p>
            <w:pPr>
              <w:pStyle w:val="7"/>
              <w:spacing w:line="276" w:lineRule="auto"/>
              <w:rPr>
                <w:sz w:val="24"/>
                <w:szCs w:val="24"/>
              </w:rPr>
            </w:pPr>
          </w:p>
        </w:tc>
        <w:tc>
          <w:tcPr>
            <w:tcW w:w="1670" w:type="dxa"/>
            <w:vMerge w:val="continue"/>
            <w:tcMar>
              <w:left w:w="108" w:type="dxa"/>
              <w:right w:w="108" w:type="dxa"/>
            </w:tcMar>
            <w:vAlign w:val="center"/>
          </w:tcPr>
          <w:p>
            <w:pPr>
              <w:pStyle w:val="7"/>
              <w:spacing w:line="276" w:lineRule="auto"/>
              <w:rPr>
                <w:sz w:val="24"/>
                <w:szCs w:val="24"/>
              </w:rPr>
            </w:pPr>
          </w:p>
        </w:tc>
        <w:tc>
          <w:tcPr>
            <w:tcW w:w="1842" w:type="dxa"/>
            <w:tcMar>
              <w:left w:w="108" w:type="dxa"/>
              <w:right w:w="108" w:type="dxa"/>
            </w:tcMar>
            <w:vAlign w:val="center"/>
          </w:tcPr>
          <w:p>
            <w:pPr>
              <w:pStyle w:val="12"/>
              <w:spacing w:line="276" w:lineRule="auto"/>
              <w:rPr>
                <w:sz w:val="24"/>
              </w:rPr>
            </w:pPr>
            <w:r>
              <w:rPr>
                <w:sz w:val="24"/>
              </w:rPr>
              <w:t>废润滑油及液压油</w:t>
            </w:r>
          </w:p>
          <w:p>
            <w:pPr>
              <w:pStyle w:val="12"/>
              <w:spacing w:line="276" w:lineRule="auto"/>
              <w:rPr>
                <w:sz w:val="24"/>
              </w:rPr>
            </w:pPr>
            <w:r>
              <w:rPr>
                <w:rFonts w:hint="eastAsia"/>
                <w:sz w:val="24"/>
              </w:rPr>
              <w:t>（危险废物）</w:t>
            </w:r>
          </w:p>
        </w:tc>
        <w:tc>
          <w:tcPr>
            <w:tcW w:w="3969" w:type="dxa"/>
            <w:tcMar>
              <w:left w:w="108" w:type="dxa"/>
              <w:right w:w="108" w:type="dxa"/>
            </w:tcMar>
            <w:vAlign w:val="center"/>
          </w:tcPr>
          <w:p>
            <w:pPr>
              <w:pStyle w:val="7"/>
              <w:spacing w:line="276" w:lineRule="auto"/>
              <w:rPr>
                <w:sz w:val="24"/>
                <w:szCs w:val="24"/>
              </w:rPr>
            </w:pPr>
            <w:r>
              <w:rPr>
                <w:sz w:val="24"/>
                <w:szCs w:val="24"/>
              </w:rPr>
              <w:t>危险废物暂存间已设置水泥硬化地面，但由于建设时间较长，顶棚有漏雨现象</w:t>
            </w:r>
            <w:r>
              <w:rPr>
                <w:rFonts w:hint="eastAsia"/>
                <w:sz w:val="24"/>
                <w:szCs w:val="24"/>
              </w:rPr>
              <w:t>。</w:t>
            </w:r>
          </w:p>
        </w:tc>
        <w:tc>
          <w:tcPr>
            <w:tcW w:w="4536" w:type="dxa"/>
            <w:tcMar>
              <w:left w:w="108" w:type="dxa"/>
              <w:right w:w="108" w:type="dxa"/>
            </w:tcMar>
            <w:vAlign w:val="center"/>
          </w:tcPr>
          <w:p>
            <w:pPr>
              <w:pStyle w:val="7"/>
              <w:spacing w:line="276" w:lineRule="auto"/>
              <w:rPr>
                <w:sz w:val="24"/>
                <w:szCs w:val="24"/>
              </w:rPr>
            </w:pPr>
            <w:r>
              <w:rPr>
                <w:rFonts w:hint="eastAsia"/>
                <w:sz w:val="24"/>
              </w:rPr>
              <w:t>产生的废液压油、润滑剂</w:t>
            </w:r>
            <w:r>
              <w:rPr>
                <w:sz w:val="24"/>
              </w:rPr>
              <w:t>由太钢加工厂统一收集</w:t>
            </w:r>
            <w:r>
              <w:rPr>
                <w:rFonts w:hint="eastAsia"/>
                <w:sz w:val="24"/>
              </w:rPr>
              <w:t>后交由有资质的单位处理，不在车间内暂存</w:t>
            </w:r>
            <w:r>
              <w:rPr>
                <w:sz w:val="24"/>
              </w:rPr>
              <w:t>。</w:t>
            </w:r>
          </w:p>
        </w:tc>
        <w:tc>
          <w:tcPr>
            <w:tcW w:w="2410" w:type="dxa"/>
            <w:tcMar>
              <w:left w:w="108" w:type="dxa"/>
              <w:right w:w="108" w:type="dxa"/>
            </w:tcMar>
            <w:vAlign w:val="center"/>
          </w:tcPr>
          <w:p>
            <w:pPr>
              <w:pStyle w:val="7"/>
              <w:spacing w:line="276" w:lineRule="auto"/>
              <w:rPr>
                <w:sz w:val="24"/>
                <w:szCs w:val="24"/>
              </w:rPr>
            </w:pPr>
            <w:r>
              <w:rPr>
                <w:sz w:val="24"/>
                <w:szCs w:val="24"/>
              </w:rPr>
              <w:t>改造</w:t>
            </w:r>
          </w:p>
        </w:tc>
      </w:tr>
    </w:tbl>
    <w:p>
      <w:pPr>
        <w:ind w:firstLine="560" w:firstLineChars="200"/>
        <w:rPr>
          <w:rFonts w:ascii="Times New Roman" w:hAnsi="Times New Roman" w:cs="Times New Roman"/>
        </w:rPr>
        <w:sectPr>
          <w:pgSz w:w="16838" w:h="11906" w:orient="landscape"/>
          <w:pgMar w:top="1800" w:right="1440" w:bottom="1800" w:left="1440" w:header="851" w:footer="992" w:gutter="0"/>
          <w:cols w:space="720" w:num="1"/>
          <w:docGrid w:type="lines" w:linePitch="381" w:charSpace="0"/>
        </w:sectPr>
      </w:pPr>
    </w:p>
    <w:p>
      <w:pPr>
        <w:pStyle w:val="4"/>
        <w:rPr>
          <w:rFonts w:ascii="Times New Roman" w:hAnsi="Times New Roman" w:cs="Times New Roman"/>
        </w:rPr>
      </w:pPr>
      <w:bookmarkStart w:id="20" w:name="_Toc31069"/>
      <w:r>
        <w:rPr>
          <w:rFonts w:ascii="Times New Roman" w:hAnsi="Times New Roman" w:cs="Times New Roman"/>
        </w:rPr>
        <w:t>3.3 主要原辅材料及燃料</w:t>
      </w:r>
      <w:bookmarkEnd w:id="20"/>
    </w:p>
    <w:p>
      <w:pPr>
        <w:ind w:firstLine="560" w:firstLineChars="200"/>
        <w:rPr>
          <w:rFonts w:ascii="Times New Roman" w:hAnsi="Times New Roman" w:cs="Times New Roman"/>
        </w:rPr>
      </w:pPr>
      <w:r>
        <w:rPr>
          <w:rFonts w:ascii="Times New Roman" w:hAnsi="Times New Roman" w:cs="Times New Roman"/>
        </w:rPr>
        <w:t>本次技改在原有基础上进行降噪减排，生产线产品种类及规模均不发生变化。原辅材料种类及消耗量与原有工程一致，技改后新增的1套合金熔化装置涉及原辅材料见下表。</w:t>
      </w:r>
    </w:p>
    <w:p>
      <w:pPr>
        <w:jc w:val="center"/>
        <w:rPr>
          <w:rFonts w:ascii="Times New Roman" w:hAnsi="Times New Roman" w:cs="Times New Roman"/>
        </w:rPr>
      </w:pPr>
      <w:r>
        <w:rPr>
          <w:rFonts w:ascii="Times New Roman" w:hAnsi="Times New Roman" w:cs="Times New Roman"/>
        </w:rPr>
        <w:t>表3-7  合金熔化装置涉及原辅材料一览表</w:t>
      </w:r>
    </w:p>
    <w:tbl>
      <w:tblPr>
        <w:tblStyle w:val="21"/>
        <w:tblW w:w="8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1693"/>
        <w:gridCol w:w="2268"/>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Merge w:val="restart"/>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名称</w:t>
            </w:r>
          </w:p>
        </w:tc>
        <w:tc>
          <w:tcPr>
            <w:tcW w:w="3961" w:type="dxa"/>
            <w:gridSpan w:val="2"/>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消耗指标</w:t>
            </w:r>
          </w:p>
        </w:tc>
        <w:tc>
          <w:tcPr>
            <w:tcW w:w="1842" w:type="dxa"/>
            <w:vMerge w:val="restart"/>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储存位置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Merge w:val="continue"/>
            <w:vAlign w:val="center"/>
          </w:tcPr>
          <w:p>
            <w:pPr>
              <w:pStyle w:val="10"/>
              <w:spacing w:line="276" w:lineRule="auto"/>
              <w:rPr>
                <w:rFonts w:ascii="Times New Roman" w:hAnsi="Times New Roman" w:eastAsia="宋体" w:cs="Times New Roman"/>
                <w:b/>
                <w:bCs/>
              </w:rPr>
            </w:pPr>
          </w:p>
        </w:tc>
        <w:tc>
          <w:tcPr>
            <w:tcW w:w="1693"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单耗（kg/t）</w:t>
            </w:r>
          </w:p>
        </w:tc>
        <w:tc>
          <w:tcPr>
            <w:tcW w:w="2268" w:type="dxa"/>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年消耗量（t/a）</w:t>
            </w:r>
          </w:p>
        </w:tc>
        <w:tc>
          <w:tcPr>
            <w:tcW w:w="1842" w:type="dxa"/>
            <w:vMerge w:val="continue"/>
            <w:vAlign w:val="center"/>
          </w:tcPr>
          <w:p>
            <w:pPr>
              <w:pStyle w:val="10"/>
              <w:spacing w:line="276" w:lineRule="auto"/>
              <w:rPr>
                <w:rFonts w:ascii="Times New Roman" w:hAnsi="Times New Roman" w:eastAsia="宋体" w:cs="Times New Roman"/>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高碳铬铁进口</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79.2</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39600</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高碳铬铁国产</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85</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42500</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金属镍</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10.4</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5200</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镍铁</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75</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37500</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钼铁</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5.2</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2600</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烧结镍</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3.2</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1600</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金属锰</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2.2</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1100</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硅铁</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39.8</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19900</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耐火材料</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0.1</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50</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7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液压油</w:t>
            </w:r>
          </w:p>
        </w:tc>
        <w:tc>
          <w:tcPr>
            <w:tcW w:w="1693"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0.01</w:t>
            </w:r>
          </w:p>
        </w:tc>
        <w:tc>
          <w:tcPr>
            <w:tcW w:w="226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w:t>
            </w:r>
          </w:p>
        </w:tc>
        <w:tc>
          <w:tcPr>
            <w:tcW w:w="18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液压站</w:t>
            </w:r>
          </w:p>
        </w:tc>
      </w:tr>
    </w:tbl>
    <w:p>
      <w:pPr>
        <w:ind w:firstLine="560" w:firstLineChars="200"/>
        <w:rPr>
          <w:rFonts w:ascii="Times New Roman" w:hAnsi="Times New Roman" w:cs="Times New Roman"/>
        </w:rPr>
      </w:pPr>
      <w:r>
        <w:rPr>
          <w:rFonts w:ascii="Times New Roman" w:hAnsi="Times New Roman" w:cs="Times New Roman"/>
        </w:rPr>
        <w:t>新增合金熔化装置、除尘风机、水泵等消耗的主要能源是电力、水，消耗量见下表。</w:t>
      </w:r>
    </w:p>
    <w:p>
      <w:pPr>
        <w:jc w:val="center"/>
        <w:rPr>
          <w:rFonts w:ascii="Times New Roman" w:hAnsi="Times New Roman" w:cs="Times New Roman"/>
        </w:rPr>
      </w:pPr>
      <w:r>
        <w:rPr>
          <w:rFonts w:ascii="Times New Roman" w:hAnsi="Times New Roman" w:cs="Times New Roman"/>
        </w:rPr>
        <w:t>表3-8  合金熔化装置能耗一览表</w:t>
      </w:r>
    </w:p>
    <w:tbl>
      <w:tblPr>
        <w:tblStyle w:val="21"/>
        <w:tblW w:w="790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34"/>
        <w:gridCol w:w="2195"/>
        <w:gridCol w:w="2454"/>
        <w:gridCol w:w="2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134" w:type="dxa"/>
            <w:vMerge w:val="restart"/>
            <w:tcBorders>
              <w:top w:val="single" w:color="auto" w:sz="4" w:space="0"/>
              <w:left w:val="single" w:color="auto" w:sz="4" w:space="0"/>
              <w:bottom w:val="single" w:color="000000" w:sz="4" w:space="0"/>
              <w:right w:val="single" w:color="auto" w:sz="4" w:space="0"/>
            </w:tcBorders>
            <w:vAlign w:val="center"/>
          </w:tcPr>
          <w:p>
            <w:pPr>
              <w:pStyle w:val="7"/>
              <w:spacing w:line="276" w:lineRule="auto"/>
              <w:rPr>
                <w:b/>
                <w:bCs/>
                <w:sz w:val="24"/>
                <w:szCs w:val="24"/>
              </w:rPr>
            </w:pPr>
            <w:r>
              <w:rPr>
                <w:b/>
                <w:bCs/>
                <w:sz w:val="24"/>
                <w:szCs w:val="24"/>
              </w:rPr>
              <w:t>序号</w:t>
            </w:r>
          </w:p>
        </w:tc>
        <w:tc>
          <w:tcPr>
            <w:tcW w:w="2195" w:type="dxa"/>
            <w:vMerge w:val="restart"/>
            <w:tcBorders>
              <w:top w:val="single" w:color="auto" w:sz="4" w:space="0"/>
              <w:left w:val="single" w:color="auto" w:sz="4" w:space="0"/>
              <w:bottom w:val="single" w:color="000000" w:sz="4" w:space="0"/>
              <w:right w:val="single" w:color="auto" w:sz="4" w:space="0"/>
            </w:tcBorders>
            <w:vAlign w:val="center"/>
          </w:tcPr>
          <w:p>
            <w:pPr>
              <w:pStyle w:val="7"/>
              <w:spacing w:line="276" w:lineRule="auto"/>
              <w:rPr>
                <w:b/>
                <w:bCs/>
                <w:sz w:val="24"/>
                <w:szCs w:val="24"/>
              </w:rPr>
            </w:pPr>
            <w:r>
              <w:rPr>
                <w:b/>
                <w:bCs/>
                <w:sz w:val="24"/>
                <w:szCs w:val="24"/>
              </w:rPr>
              <w:t>能源名称</w:t>
            </w:r>
          </w:p>
        </w:tc>
        <w:tc>
          <w:tcPr>
            <w:tcW w:w="4574" w:type="dxa"/>
            <w:gridSpan w:val="2"/>
            <w:tcBorders>
              <w:top w:val="single" w:color="auto" w:sz="4" w:space="0"/>
              <w:left w:val="nil"/>
              <w:bottom w:val="single" w:color="auto" w:sz="4" w:space="0"/>
              <w:right w:val="single" w:color="000000" w:sz="4" w:space="0"/>
            </w:tcBorders>
            <w:vAlign w:val="center"/>
          </w:tcPr>
          <w:p>
            <w:pPr>
              <w:pStyle w:val="7"/>
              <w:spacing w:line="276" w:lineRule="auto"/>
              <w:rPr>
                <w:b/>
                <w:bCs/>
                <w:sz w:val="24"/>
                <w:szCs w:val="24"/>
              </w:rPr>
            </w:pPr>
            <w:r>
              <w:rPr>
                <w:b/>
                <w:bCs/>
                <w:sz w:val="24"/>
                <w:szCs w:val="24"/>
              </w:rPr>
              <w:t>吨钢消耗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134" w:type="dxa"/>
            <w:vMerge w:val="continue"/>
            <w:tcBorders>
              <w:top w:val="single" w:color="auto" w:sz="4" w:space="0"/>
              <w:left w:val="single" w:color="auto" w:sz="4" w:space="0"/>
              <w:bottom w:val="single" w:color="000000" w:sz="4" w:space="0"/>
              <w:right w:val="single" w:color="auto" w:sz="4" w:space="0"/>
            </w:tcBorders>
            <w:vAlign w:val="center"/>
          </w:tcPr>
          <w:p>
            <w:pPr>
              <w:pStyle w:val="7"/>
              <w:spacing w:line="276" w:lineRule="auto"/>
              <w:rPr>
                <w:b/>
                <w:bCs/>
                <w:sz w:val="24"/>
                <w:szCs w:val="24"/>
              </w:rPr>
            </w:pPr>
          </w:p>
        </w:tc>
        <w:tc>
          <w:tcPr>
            <w:tcW w:w="2195" w:type="dxa"/>
            <w:vMerge w:val="continue"/>
            <w:tcBorders>
              <w:top w:val="single" w:color="auto" w:sz="4" w:space="0"/>
              <w:left w:val="single" w:color="auto" w:sz="4" w:space="0"/>
              <w:bottom w:val="single" w:color="000000" w:sz="4" w:space="0"/>
              <w:right w:val="single" w:color="auto" w:sz="4" w:space="0"/>
            </w:tcBorders>
            <w:vAlign w:val="center"/>
          </w:tcPr>
          <w:p>
            <w:pPr>
              <w:pStyle w:val="7"/>
              <w:spacing w:line="276" w:lineRule="auto"/>
              <w:rPr>
                <w:b/>
                <w:bCs/>
                <w:sz w:val="24"/>
                <w:szCs w:val="24"/>
              </w:rPr>
            </w:pPr>
          </w:p>
        </w:tc>
        <w:tc>
          <w:tcPr>
            <w:tcW w:w="2454" w:type="dxa"/>
            <w:tcBorders>
              <w:top w:val="nil"/>
              <w:left w:val="nil"/>
              <w:bottom w:val="single" w:color="auto" w:sz="4" w:space="0"/>
              <w:right w:val="single" w:color="auto" w:sz="4" w:space="0"/>
            </w:tcBorders>
            <w:vAlign w:val="center"/>
          </w:tcPr>
          <w:p>
            <w:pPr>
              <w:pStyle w:val="7"/>
              <w:spacing w:line="276" w:lineRule="auto"/>
              <w:rPr>
                <w:b/>
                <w:bCs/>
                <w:sz w:val="24"/>
                <w:szCs w:val="24"/>
              </w:rPr>
            </w:pPr>
            <w:r>
              <w:rPr>
                <w:b/>
                <w:bCs/>
                <w:sz w:val="24"/>
                <w:szCs w:val="24"/>
              </w:rPr>
              <w:t>单位</w:t>
            </w:r>
          </w:p>
        </w:tc>
        <w:tc>
          <w:tcPr>
            <w:tcW w:w="2120" w:type="dxa"/>
            <w:tcBorders>
              <w:top w:val="nil"/>
              <w:left w:val="nil"/>
              <w:bottom w:val="single" w:color="auto" w:sz="4" w:space="0"/>
              <w:right w:val="single" w:color="auto" w:sz="4" w:space="0"/>
            </w:tcBorders>
            <w:vAlign w:val="center"/>
          </w:tcPr>
          <w:p>
            <w:pPr>
              <w:pStyle w:val="7"/>
              <w:spacing w:line="276" w:lineRule="auto"/>
              <w:rPr>
                <w:b/>
                <w:bCs/>
                <w:sz w:val="24"/>
                <w:szCs w:val="24"/>
              </w:rPr>
            </w:pPr>
            <w:r>
              <w:rPr>
                <w:b/>
                <w:bCs/>
                <w:sz w:val="24"/>
                <w:szCs w:val="24"/>
              </w:rPr>
              <w:t>能耗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134" w:type="dxa"/>
            <w:tcBorders>
              <w:top w:val="nil"/>
              <w:left w:val="single" w:color="auto" w:sz="4" w:space="0"/>
              <w:bottom w:val="single" w:color="auto" w:sz="4" w:space="0"/>
              <w:right w:val="single" w:color="auto" w:sz="4" w:space="0"/>
            </w:tcBorders>
            <w:vAlign w:val="center"/>
          </w:tcPr>
          <w:p>
            <w:pPr>
              <w:pStyle w:val="7"/>
              <w:spacing w:line="276" w:lineRule="auto"/>
              <w:rPr>
                <w:sz w:val="24"/>
                <w:szCs w:val="24"/>
              </w:rPr>
            </w:pPr>
            <w:r>
              <w:rPr>
                <w:sz w:val="24"/>
                <w:szCs w:val="24"/>
              </w:rPr>
              <w:t>1</w:t>
            </w:r>
          </w:p>
        </w:tc>
        <w:tc>
          <w:tcPr>
            <w:tcW w:w="2195" w:type="dxa"/>
            <w:tcBorders>
              <w:top w:val="nil"/>
              <w:left w:val="nil"/>
              <w:bottom w:val="single" w:color="auto" w:sz="4" w:space="0"/>
              <w:right w:val="single" w:color="auto" w:sz="4" w:space="0"/>
            </w:tcBorders>
            <w:vAlign w:val="center"/>
          </w:tcPr>
          <w:p>
            <w:pPr>
              <w:pStyle w:val="7"/>
              <w:spacing w:line="276" w:lineRule="auto"/>
              <w:rPr>
                <w:sz w:val="24"/>
                <w:szCs w:val="24"/>
              </w:rPr>
            </w:pPr>
            <w:r>
              <w:rPr>
                <w:sz w:val="24"/>
                <w:szCs w:val="24"/>
              </w:rPr>
              <w:t>电</w:t>
            </w:r>
          </w:p>
        </w:tc>
        <w:tc>
          <w:tcPr>
            <w:tcW w:w="2454" w:type="dxa"/>
            <w:tcBorders>
              <w:top w:val="nil"/>
              <w:left w:val="nil"/>
              <w:bottom w:val="single" w:color="auto" w:sz="4" w:space="0"/>
              <w:right w:val="single" w:color="auto" w:sz="4" w:space="0"/>
            </w:tcBorders>
            <w:vAlign w:val="center"/>
          </w:tcPr>
          <w:p>
            <w:pPr>
              <w:pStyle w:val="7"/>
              <w:spacing w:line="276" w:lineRule="auto"/>
              <w:rPr>
                <w:sz w:val="24"/>
                <w:szCs w:val="24"/>
              </w:rPr>
            </w:pPr>
            <w:r>
              <w:rPr>
                <w:sz w:val="24"/>
                <w:szCs w:val="24"/>
              </w:rPr>
              <w:t>kWh/t</w:t>
            </w:r>
          </w:p>
        </w:tc>
        <w:tc>
          <w:tcPr>
            <w:tcW w:w="2120" w:type="dxa"/>
            <w:tcBorders>
              <w:top w:val="nil"/>
              <w:left w:val="nil"/>
              <w:bottom w:val="single" w:color="auto" w:sz="4" w:space="0"/>
              <w:right w:val="single" w:color="auto" w:sz="4" w:space="0"/>
            </w:tcBorders>
            <w:vAlign w:val="center"/>
          </w:tcPr>
          <w:p>
            <w:pPr>
              <w:pStyle w:val="7"/>
              <w:spacing w:line="276" w:lineRule="auto"/>
              <w:rPr>
                <w:sz w:val="24"/>
                <w:szCs w:val="24"/>
              </w:rPr>
            </w:pPr>
            <w:r>
              <w:rPr>
                <w:sz w:val="24"/>
                <w:szCs w:val="24"/>
              </w:rPr>
              <w:t>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134" w:type="dxa"/>
            <w:tcBorders>
              <w:top w:val="nil"/>
              <w:left w:val="single" w:color="auto" w:sz="4" w:space="0"/>
              <w:bottom w:val="single" w:color="auto" w:sz="4" w:space="0"/>
              <w:right w:val="single" w:color="auto" w:sz="4" w:space="0"/>
            </w:tcBorders>
            <w:vAlign w:val="center"/>
          </w:tcPr>
          <w:p>
            <w:pPr>
              <w:pStyle w:val="7"/>
              <w:spacing w:line="276" w:lineRule="auto"/>
              <w:rPr>
                <w:sz w:val="24"/>
                <w:szCs w:val="24"/>
              </w:rPr>
            </w:pPr>
            <w:r>
              <w:rPr>
                <w:sz w:val="24"/>
                <w:szCs w:val="24"/>
              </w:rPr>
              <w:t>2</w:t>
            </w:r>
          </w:p>
        </w:tc>
        <w:tc>
          <w:tcPr>
            <w:tcW w:w="2195" w:type="dxa"/>
            <w:tcBorders>
              <w:top w:val="nil"/>
              <w:left w:val="nil"/>
              <w:bottom w:val="single" w:color="auto" w:sz="4" w:space="0"/>
              <w:right w:val="single" w:color="auto" w:sz="4" w:space="0"/>
            </w:tcBorders>
            <w:vAlign w:val="center"/>
          </w:tcPr>
          <w:p>
            <w:pPr>
              <w:pStyle w:val="7"/>
              <w:spacing w:line="276" w:lineRule="auto"/>
              <w:rPr>
                <w:sz w:val="24"/>
                <w:szCs w:val="24"/>
              </w:rPr>
            </w:pPr>
            <w:r>
              <w:rPr>
                <w:sz w:val="24"/>
                <w:szCs w:val="24"/>
              </w:rPr>
              <w:t>补充水</w:t>
            </w:r>
          </w:p>
        </w:tc>
        <w:tc>
          <w:tcPr>
            <w:tcW w:w="2454" w:type="dxa"/>
            <w:tcBorders>
              <w:top w:val="nil"/>
              <w:left w:val="nil"/>
              <w:bottom w:val="single" w:color="auto" w:sz="4" w:space="0"/>
              <w:right w:val="single" w:color="auto" w:sz="4" w:space="0"/>
            </w:tcBorders>
            <w:vAlign w:val="center"/>
          </w:tcPr>
          <w:p>
            <w:pPr>
              <w:pStyle w:val="7"/>
              <w:spacing w:line="276" w:lineRule="auto"/>
              <w:rPr>
                <w:sz w:val="24"/>
                <w:szCs w:val="24"/>
              </w:rPr>
            </w:pPr>
            <w:r>
              <w:rPr>
                <w:sz w:val="24"/>
                <w:szCs w:val="24"/>
              </w:rPr>
              <w:t>Nm</w:t>
            </w:r>
            <w:r>
              <w:rPr>
                <w:sz w:val="24"/>
                <w:szCs w:val="24"/>
                <w:vertAlign w:val="superscript"/>
              </w:rPr>
              <w:t>3</w:t>
            </w:r>
            <w:r>
              <w:rPr>
                <w:sz w:val="24"/>
                <w:szCs w:val="24"/>
              </w:rPr>
              <w:t>/t</w:t>
            </w:r>
          </w:p>
        </w:tc>
        <w:tc>
          <w:tcPr>
            <w:tcW w:w="2120" w:type="dxa"/>
            <w:tcBorders>
              <w:top w:val="nil"/>
              <w:left w:val="nil"/>
              <w:bottom w:val="single" w:color="auto" w:sz="4" w:space="0"/>
              <w:right w:val="single" w:color="auto" w:sz="4" w:space="0"/>
            </w:tcBorders>
            <w:vAlign w:val="center"/>
          </w:tcPr>
          <w:p>
            <w:pPr>
              <w:pStyle w:val="7"/>
              <w:spacing w:line="276" w:lineRule="auto"/>
              <w:rPr>
                <w:sz w:val="24"/>
                <w:szCs w:val="24"/>
              </w:rPr>
            </w:pPr>
            <w:r>
              <w:rPr>
                <w:sz w:val="24"/>
                <w:szCs w:val="24"/>
              </w:rPr>
              <w:t>0.07</w:t>
            </w:r>
          </w:p>
        </w:tc>
      </w:tr>
    </w:tbl>
    <w:p>
      <w:pPr>
        <w:ind w:firstLine="560" w:firstLineChars="200"/>
        <w:rPr>
          <w:rFonts w:ascii="Times New Roman" w:hAnsi="Times New Roman" w:cs="Times New Roman"/>
        </w:rPr>
      </w:pPr>
      <w:r>
        <w:rPr>
          <w:rFonts w:ascii="Times New Roman" w:hAnsi="Times New Roman" w:cs="Times New Roman"/>
        </w:rPr>
        <w:t>技改后90t电炉由于电炉熔化量减少，消耗电量降低，其余介质不变。90t电炉技改前后能耗量见下表。</w:t>
      </w:r>
    </w:p>
    <w:p>
      <w:pPr>
        <w:jc w:val="center"/>
        <w:rPr>
          <w:rFonts w:ascii="Times New Roman" w:hAnsi="Times New Roman" w:cs="Times New Roman"/>
        </w:rPr>
      </w:pPr>
      <w:r>
        <w:rPr>
          <w:rFonts w:ascii="Times New Roman" w:hAnsi="Times New Roman" w:cs="Times New Roman"/>
        </w:rPr>
        <w:t>表3-9  90t电炉技改前后能耗一览表</w:t>
      </w:r>
    </w:p>
    <w:tbl>
      <w:tblPr>
        <w:tblStyle w:val="21"/>
        <w:tblW w:w="790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92"/>
        <w:gridCol w:w="1843"/>
        <w:gridCol w:w="1624"/>
        <w:gridCol w:w="1722"/>
        <w:gridCol w:w="17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992" w:type="dxa"/>
            <w:vMerge w:val="restart"/>
            <w:tcBorders>
              <w:top w:val="single" w:color="auto" w:sz="4" w:space="0"/>
              <w:left w:val="single" w:color="auto" w:sz="4" w:space="0"/>
              <w:bottom w:val="single" w:color="000000" w:sz="4" w:space="0"/>
              <w:right w:val="single" w:color="auto" w:sz="4" w:space="0"/>
            </w:tcBorders>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序号</w:t>
            </w:r>
          </w:p>
        </w:tc>
        <w:tc>
          <w:tcPr>
            <w:tcW w:w="1843" w:type="dxa"/>
            <w:vMerge w:val="restart"/>
            <w:tcBorders>
              <w:top w:val="single" w:color="auto" w:sz="4" w:space="0"/>
              <w:left w:val="single" w:color="auto" w:sz="4" w:space="0"/>
              <w:bottom w:val="single" w:color="000000" w:sz="4" w:space="0"/>
              <w:right w:val="single" w:color="auto" w:sz="4" w:space="0"/>
            </w:tcBorders>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能源名称</w:t>
            </w:r>
          </w:p>
        </w:tc>
        <w:tc>
          <w:tcPr>
            <w:tcW w:w="5068" w:type="dxa"/>
            <w:gridSpan w:val="3"/>
            <w:tcBorders>
              <w:top w:val="single" w:color="auto" w:sz="4" w:space="0"/>
              <w:left w:val="nil"/>
              <w:bottom w:val="single" w:color="auto" w:sz="4" w:space="0"/>
              <w:right w:val="single" w:color="000000" w:sz="4" w:space="0"/>
            </w:tcBorders>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吨钢消耗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992" w:type="dxa"/>
            <w:vMerge w:val="continue"/>
            <w:tcBorders>
              <w:top w:val="single" w:color="auto" w:sz="4" w:space="0"/>
              <w:left w:val="single" w:color="auto" w:sz="4" w:space="0"/>
              <w:bottom w:val="single" w:color="000000" w:sz="4" w:space="0"/>
              <w:right w:val="single" w:color="auto" w:sz="4" w:space="0"/>
            </w:tcBorders>
            <w:vAlign w:val="center"/>
          </w:tcPr>
          <w:p>
            <w:pPr>
              <w:pStyle w:val="10"/>
              <w:spacing w:line="276" w:lineRule="auto"/>
              <w:rPr>
                <w:rFonts w:ascii="Times New Roman" w:hAnsi="Times New Roman" w:eastAsia="宋体" w:cs="Times New Roman"/>
                <w:b/>
                <w:bCs/>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pStyle w:val="10"/>
              <w:spacing w:line="276" w:lineRule="auto"/>
              <w:rPr>
                <w:rFonts w:ascii="Times New Roman" w:hAnsi="Times New Roman" w:eastAsia="宋体" w:cs="Times New Roman"/>
                <w:b/>
                <w:bCs/>
              </w:rPr>
            </w:pPr>
          </w:p>
        </w:tc>
        <w:tc>
          <w:tcPr>
            <w:tcW w:w="1624"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单位</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改造前指标</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b/>
                <w:bCs/>
              </w:rPr>
            </w:pPr>
            <w:r>
              <w:rPr>
                <w:rFonts w:ascii="Times New Roman" w:hAnsi="Times New Roman" w:eastAsia="宋体" w:cs="Times New Roman"/>
                <w:b/>
                <w:bCs/>
              </w:rPr>
              <w:t>改造后指标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992" w:type="dxa"/>
            <w:tcBorders>
              <w:top w:val="nil"/>
              <w:left w:val="single" w:color="auto" w:sz="4" w:space="0"/>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1843"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w:t>
            </w:r>
          </w:p>
        </w:tc>
        <w:tc>
          <w:tcPr>
            <w:tcW w:w="1624"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kWh/t</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444.20</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992" w:type="dxa"/>
            <w:tcBorders>
              <w:top w:val="nil"/>
              <w:left w:val="single" w:color="auto" w:sz="4" w:space="0"/>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1843"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补充水</w:t>
            </w:r>
          </w:p>
        </w:tc>
        <w:tc>
          <w:tcPr>
            <w:tcW w:w="1624"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Nm</w:t>
            </w:r>
            <w:r>
              <w:rPr>
                <w:rFonts w:ascii="Times New Roman" w:hAnsi="Times New Roman" w:eastAsia="宋体" w:cs="Times New Roman"/>
                <w:vertAlign w:val="superscript"/>
              </w:rPr>
              <w:t>3</w:t>
            </w:r>
            <w:r>
              <w:rPr>
                <w:rFonts w:ascii="Times New Roman" w:hAnsi="Times New Roman" w:eastAsia="宋体" w:cs="Times New Roman"/>
              </w:rPr>
              <w:t>/t</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3.89</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992" w:type="dxa"/>
            <w:tcBorders>
              <w:top w:val="nil"/>
              <w:left w:val="single" w:color="auto" w:sz="4" w:space="0"/>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w:t>
            </w:r>
          </w:p>
        </w:tc>
        <w:tc>
          <w:tcPr>
            <w:tcW w:w="1843"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氧气</w:t>
            </w:r>
          </w:p>
        </w:tc>
        <w:tc>
          <w:tcPr>
            <w:tcW w:w="1624"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Nm</w:t>
            </w:r>
            <w:r>
              <w:rPr>
                <w:rFonts w:ascii="Times New Roman" w:hAnsi="Times New Roman" w:eastAsia="宋体" w:cs="Times New Roman"/>
                <w:vertAlign w:val="superscript"/>
              </w:rPr>
              <w:t>3</w:t>
            </w:r>
            <w:r>
              <w:rPr>
                <w:rFonts w:ascii="Times New Roman" w:hAnsi="Times New Roman" w:eastAsia="宋体" w:cs="Times New Roman"/>
              </w:rPr>
              <w:t>/t</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38.78</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38.78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992" w:type="dxa"/>
            <w:tcBorders>
              <w:top w:val="nil"/>
              <w:left w:val="single" w:color="auto" w:sz="4" w:space="0"/>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w:t>
            </w:r>
          </w:p>
        </w:tc>
        <w:tc>
          <w:tcPr>
            <w:tcW w:w="1843"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氮气</w:t>
            </w:r>
          </w:p>
        </w:tc>
        <w:tc>
          <w:tcPr>
            <w:tcW w:w="1624"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Nm</w:t>
            </w:r>
            <w:r>
              <w:rPr>
                <w:rFonts w:ascii="Times New Roman" w:hAnsi="Times New Roman" w:eastAsia="宋体" w:cs="Times New Roman"/>
                <w:vertAlign w:val="superscript"/>
              </w:rPr>
              <w:t>3</w:t>
            </w:r>
            <w:r>
              <w:rPr>
                <w:rFonts w:ascii="Times New Roman" w:hAnsi="Times New Roman" w:eastAsia="宋体" w:cs="Times New Roman"/>
              </w:rPr>
              <w:t>/t</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0.49</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992" w:type="dxa"/>
            <w:tcBorders>
              <w:top w:val="nil"/>
              <w:left w:val="single" w:color="auto" w:sz="4" w:space="0"/>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w:t>
            </w:r>
          </w:p>
        </w:tc>
        <w:tc>
          <w:tcPr>
            <w:tcW w:w="1843"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空气</w:t>
            </w:r>
          </w:p>
        </w:tc>
        <w:tc>
          <w:tcPr>
            <w:tcW w:w="1624"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Nm</w:t>
            </w:r>
            <w:r>
              <w:rPr>
                <w:rFonts w:ascii="Times New Roman" w:hAnsi="Times New Roman" w:eastAsia="宋体" w:cs="Times New Roman"/>
                <w:vertAlign w:val="superscript"/>
              </w:rPr>
              <w:t>3</w:t>
            </w:r>
            <w:r>
              <w:rPr>
                <w:rFonts w:ascii="Times New Roman" w:hAnsi="Times New Roman" w:eastAsia="宋体" w:cs="Times New Roman"/>
              </w:rPr>
              <w:t>/t</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77.55</w:t>
            </w:r>
          </w:p>
        </w:tc>
        <w:tc>
          <w:tcPr>
            <w:tcW w:w="1722" w:type="dxa"/>
            <w:tcBorders>
              <w:top w:val="nil"/>
              <w:left w:val="nil"/>
              <w:bottom w:val="single" w:color="auto" w:sz="4" w:space="0"/>
              <w:right w:val="single" w:color="auto"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77.55</w:t>
            </w:r>
          </w:p>
        </w:tc>
      </w:tr>
    </w:tbl>
    <w:p>
      <w:pPr>
        <w:jc w:val="center"/>
        <w:rPr>
          <w:rFonts w:ascii="Times New Roman" w:hAnsi="Times New Roman" w:cs="Times New Roman"/>
        </w:rPr>
      </w:pPr>
    </w:p>
    <w:p>
      <w:pPr>
        <w:pStyle w:val="4"/>
        <w:rPr>
          <w:rFonts w:ascii="Times New Roman" w:hAnsi="Times New Roman" w:cs="Times New Roman"/>
        </w:rPr>
      </w:pPr>
      <w:bookmarkStart w:id="21" w:name="_Toc32133"/>
      <w:r>
        <w:rPr>
          <w:rFonts w:ascii="Times New Roman" w:hAnsi="Times New Roman" w:cs="Times New Roman"/>
        </w:rPr>
        <w:t>3.4 水源及水平衡</w:t>
      </w:r>
      <w:bookmarkEnd w:id="21"/>
    </w:p>
    <w:p>
      <w:pPr>
        <w:ind w:firstLine="560" w:firstLineChars="200"/>
        <w:rPr>
          <w:rFonts w:ascii="Times New Roman" w:hAnsi="Times New Roman" w:cs="Times New Roman"/>
        </w:rPr>
      </w:pPr>
      <w:r>
        <w:rPr>
          <w:rFonts w:ascii="Times New Roman" w:hAnsi="Times New Roman" w:cs="Times New Roman"/>
        </w:rPr>
        <w:t>1、水源</w:t>
      </w:r>
    </w:p>
    <w:p>
      <w:pPr>
        <w:ind w:firstLine="560" w:firstLineChars="200"/>
        <w:rPr>
          <w:rFonts w:ascii="Times New Roman" w:hAnsi="Times New Roman" w:cs="Times New Roman"/>
        </w:rPr>
      </w:pPr>
      <w:r>
        <w:rPr>
          <w:rFonts w:ascii="Times New Roman" w:hAnsi="Times New Roman" w:cs="Times New Roman"/>
        </w:rPr>
        <w:t>本项目给水工程由太钢能源动力总厂统一提供。</w:t>
      </w:r>
    </w:p>
    <w:p>
      <w:pPr>
        <w:ind w:firstLine="560" w:firstLineChars="200"/>
        <w:rPr>
          <w:rFonts w:ascii="Times New Roman" w:hAnsi="Times New Roman" w:cs="Times New Roman"/>
        </w:rPr>
      </w:pPr>
      <w:r>
        <w:rPr>
          <w:rFonts w:ascii="Times New Roman" w:hAnsi="Times New Roman" w:cs="Times New Roman"/>
        </w:rPr>
        <w:t>2、给水系统</w:t>
      </w:r>
    </w:p>
    <w:p>
      <w:pPr>
        <w:ind w:firstLine="560" w:firstLineChars="200"/>
        <w:rPr>
          <w:rFonts w:ascii="Times New Roman" w:hAnsi="Times New Roman" w:cs="Times New Roman"/>
        </w:rPr>
      </w:pPr>
      <w:r>
        <w:rPr>
          <w:rFonts w:ascii="Times New Roman" w:hAnsi="Times New Roman" w:cs="Times New Roman"/>
        </w:rPr>
        <w:t>生活用水：本项目管理人员、生产工人在厂内调配，不新增职工，不新增生活用水。</w:t>
      </w:r>
    </w:p>
    <w:p>
      <w:pPr>
        <w:ind w:firstLine="560" w:firstLineChars="200"/>
        <w:rPr>
          <w:rFonts w:ascii="Times New Roman" w:hAnsi="Times New Roman" w:cs="Times New Roman"/>
        </w:rPr>
      </w:pPr>
      <w:r>
        <w:rPr>
          <w:rFonts w:ascii="Times New Roman" w:hAnsi="Times New Roman" w:cs="Times New Roman"/>
        </w:rPr>
        <w:t>生产用水：技改新增用水主要为30t合金熔化装置循环水系统，包括内循环冷却水系统和外循环冷却水系统。内循环冷却水系统分为装置本体内循环和电源内循环。内循环冷却水为闭式循环系统，由外循环冷却水通过板式换热器进行冷却。</w:t>
      </w:r>
    </w:p>
    <w:p>
      <w:pPr>
        <w:ind w:firstLine="560" w:firstLineChars="200"/>
        <w:rPr>
          <w:rFonts w:ascii="Times New Roman" w:hAnsi="Times New Roman" w:cs="Times New Roman"/>
        </w:rPr>
      </w:pPr>
      <w:r>
        <w:rPr>
          <w:rFonts w:ascii="Times New Roman" w:hAnsi="Times New Roman" w:cs="Times New Roman"/>
        </w:rPr>
        <w:t>（1）装置本体循环冷却水系统</w:t>
      </w:r>
    </w:p>
    <w:p>
      <w:pPr>
        <w:ind w:firstLine="560" w:firstLineChars="200"/>
        <w:rPr>
          <w:rFonts w:ascii="Times New Roman" w:hAnsi="Times New Roman" w:cs="Times New Roman"/>
        </w:rPr>
      </w:pPr>
      <w:r>
        <w:rPr>
          <w:rFonts w:ascii="Times New Roman" w:hAnsi="Times New Roman" w:cs="Times New Roman"/>
        </w:rPr>
        <w:t>装置本体内循环冷却水循环总量为800m³/h，冷却水供水温度为32℃，回水温度为47℃，供水压力为0.4MPa。装置本体内循环冷却水系统是通过内循环水泵站的板式换热器由外循环冷却水系统进行冷却。两座外循环冷却水循环量均为400m³/h，共800m³/h。装置本体内循环系统补水量约为12m³/h，通过人工定期进行补充。</w:t>
      </w:r>
    </w:p>
    <w:p>
      <w:pPr>
        <w:ind w:firstLine="560" w:firstLineChars="200"/>
        <w:rPr>
          <w:rFonts w:ascii="Times New Roman" w:hAnsi="Times New Roman" w:cs="Times New Roman"/>
        </w:rPr>
      </w:pPr>
      <w:r>
        <w:rPr>
          <w:rFonts w:ascii="Times New Roman" w:hAnsi="Times New Roman" w:cs="Times New Roman"/>
        </w:rPr>
        <w:t>（2）电源内循环冷却水系统</w:t>
      </w:r>
    </w:p>
    <w:p>
      <w:pPr>
        <w:ind w:firstLine="560" w:firstLineChars="200"/>
        <w:rPr>
          <w:rFonts w:ascii="Times New Roman" w:hAnsi="Times New Roman" w:cs="Times New Roman"/>
        </w:rPr>
      </w:pPr>
      <w:r>
        <w:rPr>
          <w:rFonts w:ascii="Times New Roman" w:hAnsi="Times New Roman" w:cs="Times New Roman"/>
        </w:rPr>
        <w:t>电源内循环冷却水循环总量为160m³/h，冷却水供水温度为32℃，回水温度为47℃，供水压力为0.40MPa。电源内循环水系统是通过电源循环水泵站的板式换热器由外循环冷却水系统进行冷却。外循环冷却水系统水量为200m³/h。电源内循环系统补水量约为2.4m³/h，通过人工定期进行补充。</w:t>
      </w:r>
    </w:p>
    <w:p>
      <w:pPr>
        <w:ind w:firstLine="560" w:firstLineChars="200"/>
        <w:rPr>
          <w:rFonts w:ascii="Times New Roman" w:hAnsi="Times New Roman" w:cs="Times New Roman"/>
        </w:rPr>
      </w:pPr>
      <w:r>
        <w:rPr>
          <w:rFonts w:ascii="Times New Roman" w:hAnsi="Times New Roman" w:cs="Times New Roman"/>
        </w:rPr>
        <w:t>（4）外循环冷却水系统</w:t>
      </w:r>
    </w:p>
    <w:p>
      <w:pPr>
        <w:ind w:firstLine="560" w:firstLineChars="200"/>
        <w:rPr>
          <w:rFonts w:ascii="Times New Roman" w:hAnsi="Times New Roman" w:cs="Times New Roman"/>
        </w:rPr>
      </w:pPr>
      <w:r>
        <w:rPr>
          <w:rFonts w:ascii="Times New Roman" w:hAnsi="Times New Roman" w:cs="Times New Roman"/>
        </w:rPr>
        <w:t>外循环冷却水总循环量为1000m³/h，供装置本体内循环冷却水泵站、电源内循环水泵站冷却使用。由一钢现有的不锈钢线VOD炉循环冷却供水系统统一供给。</w:t>
      </w:r>
    </w:p>
    <w:p>
      <w:pPr>
        <w:ind w:firstLine="560" w:firstLineChars="200"/>
        <w:rPr>
          <w:rFonts w:ascii="Times New Roman" w:hAnsi="Times New Roman" w:cs="Times New Roman"/>
        </w:rPr>
      </w:pPr>
      <w:r>
        <w:rPr>
          <w:rFonts w:ascii="Times New Roman" w:hAnsi="Times New Roman" w:cs="Times New Roman"/>
        </w:rPr>
        <w:t>3、排水系统</w:t>
      </w:r>
    </w:p>
    <w:p>
      <w:pPr>
        <w:ind w:firstLine="560" w:firstLineChars="200"/>
        <w:rPr>
          <w:rFonts w:ascii="Times New Roman" w:hAnsi="Times New Roman" w:cs="Times New Roman"/>
        </w:rPr>
      </w:pPr>
      <w:r>
        <w:rPr>
          <w:rFonts w:ascii="Times New Roman" w:hAnsi="Times New Roman" w:cs="Times New Roman"/>
        </w:rPr>
        <w:t>净循环水排水量约7.2m³/h，排至太钢能源动力总厂高线水泵房，并排至浊循环水系统循环使用。</w:t>
      </w:r>
    </w:p>
    <w:p>
      <w:pPr>
        <w:ind w:firstLine="560" w:firstLineChars="200"/>
        <w:rPr>
          <w:rFonts w:ascii="Times New Roman" w:hAnsi="Times New Roman" w:cs="Times New Roman"/>
        </w:rPr>
      </w:pPr>
      <w:r>
        <w:rPr>
          <w:rFonts w:ascii="Times New Roman" w:hAnsi="Times New Roman" w:cs="Times New Roman"/>
        </w:rPr>
        <w:t>4、水量平衡</w:t>
      </w:r>
    </w:p>
    <w:p>
      <w:pPr>
        <w:ind w:firstLine="560" w:firstLineChars="200"/>
        <w:rPr>
          <w:rFonts w:ascii="Times New Roman" w:hAnsi="Times New Roman" w:cs="Times New Roman"/>
        </w:rPr>
      </w:pPr>
      <w:r>
        <w:rPr>
          <w:rFonts w:ascii="Times New Roman" w:hAnsi="Times New Roman" w:cs="Times New Roman"/>
        </w:rPr>
        <w:t>本项目各部分给排水量情况见下表。项目水平衡见下图。</w:t>
      </w:r>
    </w:p>
    <w:p>
      <w:pPr>
        <w:jc w:val="center"/>
        <w:rPr>
          <w:rFonts w:ascii="Times New Roman" w:hAnsi="Times New Roman" w:cs="Times New Roman"/>
        </w:rPr>
      </w:pPr>
      <w:r>
        <w:rPr>
          <w:rFonts w:ascii="Times New Roman" w:hAnsi="Times New Roman" w:eastAsia="宋体" w:cs="Times New Roman"/>
          <w:kern w:val="2"/>
          <w:sz w:val="28"/>
          <w:szCs w:val="22"/>
          <w:lang w:val="en-US" w:eastAsia="zh-CN" w:bidi="ar-SA"/>
        </w:rPr>
        <w:pict>
          <v:group id="画布 8" o:spid="_x0000_s1037" style="position:absolute;left:0;margin-left:-43.35pt;margin-top:155.85pt;height:282pt;width:537pt;mso-position-horizontal-relative:margin;mso-wrap-distance-bottom:0pt;mso-wrap-distance-top:0pt;rotation:0f;z-index:251669504;" coordorigin="0,0" coordsize="10740,5640">
            <o:lock v:ext="edit" position="f" selection="f" grouping="f" rotation="f" cropping="f" text="f" aspectratio="f"/>
            <v:rect id="Rectangle 12" o:spid="_x0000_s1038" style="position:absolute;left:0;top:0;height:5640;width:10740;rotation:0f;" o:ole="f" fillcolor="#FFFFFF" filled="t" o:preferrelative="t" stroked="f" coordsize="21600,21600">
              <v:imagedata gain="65536f" blacklevel="0f" gamma="0"/>
              <o:lock v:ext="edit" position="f" selection="f" grouping="f" rotation="f" cropping="f" text="f" aspectratio="f"/>
            </v:rect>
            <v:rect id="文本框 46" o:spid="_x0000_s1039" style="position:absolute;left:1018;top:2488;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hint="eastAsia" w:ascii="等线" w:hAnsi="等线" w:eastAsia="等线" w:cs="Times New Roman"/>
                        <w:sz w:val="18"/>
                        <w:szCs w:val="18"/>
                      </w:rPr>
                      <w:t>44.1</w:t>
                    </w:r>
                  </w:p>
                </w:txbxContent>
              </v:textbox>
            </v:rect>
            <v:rect id="文本框 46" o:spid="_x0000_s1040" style="position:absolute;left:2983;top:2485;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44.1</w:t>
                    </w:r>
                  </w:p>
                </w:txbxContent>
              </v:textbox>
            </v:rect>
            <v:rect id="文本框 46" o:spid="_x0000_s1041" style="position:absolute;left:9012;top:2593;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14.7</w:t>
                    </w:r>
                  </w:p>
                </w:txbxContent>
              </v:textbox>
            </v:rect>
            <v:rect id="文本框 46" o:spid="_x0000_s1042" style="position:absolute;left:8188;top:3376;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hint="eastAsia" w:ascii="等线" w:hAnsi="等线" w:eastAsia="等线" w:cs="Times New Roman"/>
                        <w:sz w:val="18"/>
                        <w:szCs w:val="18"/>
                      </w:rPr>
                      <w:t>7.</w:t>
                    </w:r>
                    <w:r>
                      <w:rPr>
                        <w:rFonts w:ascii="等线" w:hAnsi="等线" w:eastAsia="等线" w:cs="Times New Roman"/>
                        <w:sz w:val="18"/>
                        <w:szCs w:val="18"/>
                      </w:rPr>
                      <w:t>5</w:t>
                    </w:r>
                  </w:p>
                </w:txbxContent>
              </v:textbox>
            </v:rect>
            <v:rect id="文本框 46" o:spid="_x0000_s1043" style="position:absolute;left:7056;top:3356;height:453;width:907;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hint="eastAsia" w:ascii="等线" w:hAnsi="等线" w:eastAsia="等线" w:cs="Times New Roman"/>
                        <w:sz w:val="18"/>
                        <w:szCs w:val="18"/>
                      </w:rPr>
                      <w:t>100</w:t>
                    </w:r>
                    <w:r>
                      <w:rPr>
                        <w:rFonts w:ascii="等线" w:hAnsi="等线" w:eastAsia="等线" w:cs="Times New Roman"/>
                        <w:sz w:val="18"/>
                        <w:szCs w:val="18"/>
                      </w:rPr>
                      <w:t>7.5</w:t>
                    </w:r>
                  </w:p>
                </w:txbxContent>
              </v:textbox>
            </v:rect>
            <v:rect id="文本框 46" o:spid="_x0000_s1044" style="position:absolute;left:5751;top:2923;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15</w:t>
                    </w:r>
                  </w:p>
                </w:txbxContent>
              </v:textbox>
            </v:rect>
            <v:rect id="文本框 46" o:spid="_x0000_s1045" style="position:absolute;left:3733;top:3598;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hint="eastAsia" w:ascii="等线" w:hAnsi="等线" w:eastAsia="等线" w:cs="Times New Roman"/>
                        <w:sz w:val="18"/>
                        <w:szCs w:val="18"/>
                      </w:rPr>
                      <w:t>2</w:t>
                    </w:r>
                    <w:r>
                      <w:rPr>
                        <w:rFonts w:ascii="等线" w:hAnsi="等线" w:eastAsia="等线" w:cs="Times New Roman"/>
                        <w:sz w:val="18"/>
                        <w:szCs w:val="18"/>
                      </w:rPr>
                      <w:t>2.5</w:t>
                    </w:r>
                  </w:p>
                </w:txbxContent>
              </v:textbox>
            </v:rect>
            <v:rect id="文本框 46" o:spid="_x0000_s1046" style="position:absolute;left:5751;top:4438;height:453;width:680;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1000</w:t>
                    </w:r>
                  </w:p>
                </w:txbxContent>
              </v:textbox>
            </v:rect>
            <v:rect id="文本框 46" o:spid="_x0000_s1047" style="position:absolute;left:7715;top:2350;height:453;width:79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hint="eastAsia" w:ascii="等线" w:hAnsi="等线" w:eastAsia="等线" w:cs="Times New Roman"/>
                        <w:sz w:val="18"/>
                        <w:szCs w:val="18"/>
                      </w:rPr>
                      <w:t>16</w:t>
                    </w:r>
                    <w:r>
                      <w:rPr>
                        <w:rFonts w:ascii="等线" w:hAnsi="等线" w:eastAsia="等线" w:cs="Times New Roman"/>
                        <w:sz w:val="18"/>
                        <w:szCs w:val="18"/>
                      </w:rPr>
                      <w:t>1.2</w:t>
                    </w:r>
                  </w:p>
                </w:txbxContent>
              </v:textbox>
            </v:rect>
            <v:rect id="文本框 46" o:spid="_x0000_s1048" style="position:absolute;left:7738;top:1215;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hint="eastAsia" w:ascii="等线" w:hAnsi="等线" w:eastAsia="等线" w:cs="Times New Roman"/>
                        <w:sz w:val="18"/>
                        <w:szCs w:val="18"/>
                      </w:rPr>
                      <w:t>8</w:t>
                    </w:r>
                    <w:r>
                      <w:rPr>
                        <w:rFonts w:ascii="等线" w:hAnsi="等线" w:eastAsia="等线" w:cs="Times New Roman"/>
                        <w:sz w:val="18"/>
                        <w:szCs w:val="18"/>
                      </w:rPr>
                      <w:t>06</w:t>
                    </w:r>
                  </w:p>
                </w:txbxContent>
              </v:textbox>
            </v:rect>
            <v:rect id="文本框 46" o:spid="_x0000_s1049" style="position:absolute;left:7018;top:2833;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2.4</w:t>
                    </w:r>
                  </w:p>
                </w:txbxContent>
              </v:textbox>
            </v:rect>
            <v:rect id="文本框 46" o:spid="_x0000_s1050" style="position:absolute;left:6808;top:705;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12</w:t>
                    </w:r>
                  </w:p>
                </w:txbxContent>
              </v:textbox>
            </v:rect>
            <v:rect id="文本框 46" o:spid="_x0000_s1051" style="position:absolute;left:5638;top:2341;height:453;width:79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163.6</w:t>
                    </w:r>
                  </w:p>
                </w:txbxContent>
              </v:textbox>
            </v:rect>
            <v:rect id="文本框 46" o:spid="_x0000_s1052" style="position:absolute;left:5685;top:1209;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818</w:t>
                    </w:r>
                  </w:p>
                </w:txbxContent>
              </v:textbox>
            </v:rect>
            <v:rect id="文本框 46" o:spid="_x0000_s1053" style="position:absolute;left:3433;top:1619;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21.6</w:t>
                    </w:r>
                  </w:p>
                </w:txbxContent>
              </v:textbox>
            </v:rect>
            <v:rect id="文本框 46" o:spid="_x0000_s1054" style="position:absolute;left:5212;top:1424;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21.6</w:t>
                    </w:r>
                  </w:p>
                </w:txbxContent>
              </v:textbox>
            </v:rect>
            <v:rect id="文本框 46" o:spid="_x0000_s1055" style="position:absolute;left:6538;top:225;height:453;width:623;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960</w:t>
                    </w:r>
                  </w:p>
                </w:txbxContent>
              </v:textbox>
            </v:rect>
            <v:rect id="文本框 46" o:spid="_x0000_s1056" style="position:absolute;left:8128;top:1612;height:453;width:794;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等线" w:hAnsi="等线" w:eastAsia="等线" w:cs="Times New Roman"/>
                        <w:sz w:val="18"/>
                        <w:szCs w:val="18"/>
                      </w:rPr>
                    </w:pPr>
                    <w:r>
                      <w:rPr>
                        <w:rFonts w:ascii="等线" w:hAnsi="等线" w:eastAsia="等线" w:cs="Times New Roman"/>
                        <w:sz w:val="18"/>
                        <w:szCs w:val="18"/>
                      </w:rPr>
                      <w:t>967.2</w:t>
                    </w:r>
                  </w:p>
                </w:txbxContent>
              </v:textbox>
            </v:rect>
            <v:rect id="文本框 46" o:spid="_x0000_s1057" style="position:absolute;left:8685;top:1587;height:453;width:624;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sz w:val="18"/>
                        <w:szCs w:val="18"/>
                      </w:rPr>
                    </w:pPr>
                    <w:r>
                      <w:rPr>
                        <w:sz w:val="18"/>
                        <w:szCs w:val="18"/>
                      </w:rPr>
                      <w:t>7.2</w:t>
                    </w:r>
                  </w:p>
                </w:txbxContent>
              </v:textbox>
            </v:rect>
            <v:rect id="文本框 9" o:spid="_x0000_s1058" style="position:absolute;left:94;top:2622;height:454;width:1022;rotation:0f;" o:ole="f" fillcolor="#FFFFFF" filled="t" o:preferrelative="t" stroked="t" coordsize="21600,21600">
              <v:stroke weight="0.5pt" color="#000000" color2="#FFFFFF" miterlimit="2"/>
              <v:imagedata gain="65536f" blacklevel="0f" gamma="0"/>
              <o:lock v:ext="edit" position="f" selection="f" grouping="f" rotation="f" cropping="f" text="f" aspectratio="f"/>
              <v:textbox inset="7.21pt,3.60pt,7.21pt,3.60pt">
                <w:txbxContent>
                  <w:p>
                    <w:pPr>
                      <w:spacing w:line="240" w:lineRule="auto"/>
                      <w:rPr>
                        <w:rFonts w:ascii="Times New Roman" w:hAnsi="Times New Roman" w:cs="Times New Roman"/>
                        <w:sz w:val="21"/>
                        <w:szCs w:val="21"/>
                      </w:rPr>
                    </w:pPr>
                    <w:r>
                      <w:rPr>
                        <w:rFonts w:hint="cs" w:ascii="Times New Roman" w:hAnsi="Times New Roman" w:cs="Times New Roman"/>
                        <w:sz w:val="21"/>
                        <w:szCs w:val="21"/>
                      </w:rPr>
                      <w:t>新鲜水</w:t>
                    </w:r>
                  </w:p>
                </w:txbxContent>
              </v:textbox>
            </v:rect>
            <v:shape id="直接箭头连接符 10" o:spid="_x0000_s1059" type="#_x0000_t32" style="position:absolute;left:1114;top:2843;height:0;width:454;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rect id="文本框 9" o:spid="_x0000_s1060" style="position:absolute;left:1598;top:2466;height:795;width:1475;rotation:0f;" o:ole="f" fillcolor="#FFFFFF" filled="t" o:preferrelative="t" stroked="t" coordsize="21600,21600">
              <v:stroke weight="0.5pt" color="#000000" color2="#FFFFFF" miterlimit="2"/>
              <v:imagedata gain="65536f" blacklevel="0f" gamma="0"/>
              <o:lock v:ext="edit" position="f" selection="f" grouping="f" rotation="f" cropping="f" text="f" aspectratio="f"/>
              <v:textbox inset="7.21pt,3.60pt,7.21pt,3.60pt">
                <w:txbxContent>
                  <w:p>
                    <w:pPr>
                      <w:spacing w:line="240" w:lineRule="auto"/>
                      <w:jc w:val="center"/>
                      <w:rPr>
                        <w:rFonts w:ascii="Times New Roman" w:cs="Times New Roman"/>
                        <w:sz w:val="21"/>
                        <w:szCs w:val="21"/>
                      </w:rPr>
                    </w:pPr>
                    <w:r>
                      <w:rPr>
                        <w:rFonts w:hint="eastAsia" w:ascii="Times New Roman" w:cs="Times New Roman"/>
                        <w:sz w:val="21"/>
                        <w:szCs w:val="21"/>
                      </w:rPr>
                      <w:t>V</w:t>
                    </w:r>
                    <w:r>
                      <w:rPr>
                        <w:rFonts w:ascii="Times New Roman" w:cs="Times New Roman"/>
                        <w:sz w:val="21"/>
                        <w:szCs w:val="21"/>
                      </w:rPr>
                      <w:t>OD循环水</w:t>
                    </w:r>
                  </w:p>
                  <w:p>
                    <w:pPr>
                      <w:spacing w:line="240" w:lineRule="auto"/>
                      <w:jc w:val="center"/>
                      <w:rPr>
                        <w:rFonts w:ascii="Times New Roman" w:cs="Times New Roman"/>
                        <w:sz w:val="21"/>
                        <w:szCs w:val="21"/>
                      </w:rPr>
                    </w:pPr>
                    <w:r>
                      <w:rPr>
                        <w:rFonts w:hint="eastAsia" w:ascii="Times New Roman" w:cs="Times New Roman"/>
                        <w:sz w:val="21"/>
                        <w:szCs w:val="21"/>
                      </w:rPr>
                      <w:t>系统</w:t>
                    </w:r>
                  </w:p>
                </w:txbxContent>
              </v:textbox>
            </v:rect>
            <v:shape id="直接箭头连接符 11" o:spid="_x0000_s1061" type="#_x0000_t32" style="position:absolute;left:3081;top:2843;height:0;width:454;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line id="直接连接符 16" o:spid="_x0000_s1062" style="position:absolute;left:3535;top:1957;height:1703;width:0;rotation:0f;" o:ole="f" fillcolor="#FFFFFF" filled="f" o:preferrelative="t" stroked="t" coordsize="21600,21600">
              <v:fill on="f" color2="#FFFFFF" focus="0%"/>
              <v:stroke weight="0.5pt" color="#000000" color2="#FFFFFF" miterlimit="2"/>
              <v:imagedata gain="65536f" blacklevel="0f" gamma="0"/>
              <o:lock v:ext="edit" position="f" selection="f" grouping="f" rotation="f" cropping="f" text="f" aspectratio="f"/>
            </v:line>
            <v:shape id="直接箭头连接符 17" o:spid="_x0000_s1063" type="#_x0000_t32" style="position:absolute;left:3535;top:1957;height:0;width:454;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shape id="直接箭头连接符 20" o:spid="_x0000_s1064" type="#_x0000_t32" style="position:absolute;left:3533;top:3659;height:0;width:1419;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rect id="文本框 9" o:spid="_x0000_s1065" style="position:absolute;left:3974;top:1739;height:454;width:1362;rotation:0f;" o:ole="f" fillcolor="#FFFFFF" filled="t" o:preferrelative="t" stroked="t" coordsize="21600,21600">
              <v:stroke weight="0.5pt" color="#000000" color2="#FFFFFF" miterlimit="2"/>
              <v:imagedata gain="65536f" blacklevel="0f" gamma="0"/>
              <o:lock v:ext="edit" position="f" selection="f" grouping="f" rotation="f" cropping="f" text="f" aspectratio="f"/>
              <v:textbox inset="7.21pt,3.60pt,7.21pt,3.60pt">
                <w:txbxContent>
                  <w:p>
                    <w:pPr>
                      <w:spacing w:line="240" w:lineRule="auto"/>
                      <w:rPr>
                        <w:rFonts w:ascii="Times New Roman" w:cs="Times New Roman"/>
                        <w:sz w:val="21"/>
                        <w:szCs w:val="21"/>
                      </w:rPr>
                    </w:pPr>
                    <w:r>
                      <w:rPr>
                        <w:rFonts w:ascii="Times New Roman" w:cs="Times New Roman"/>
                        <w:sz w:val="21"/>
                        <w:szCs w:val="21"/>
                      </w:rPr>
                      <w:t>板式换热器</w:t>
                    </w:r>
                  </w:p>
                </w:txbxContent>
              </v:textbox>
            </v:rect>
            <v:shape id="直接箭头连接符 21" o:spid="_x0000_s1066" type="#_x0000_t32" style="position:absolute;left:5338;top:1967;height:0;width:454;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line id="直接连接符 23" o:spid="_x0000_s1067" style="position:absolute;left:5790;top:1566;height:852;width:0;rotation:0f;" o:ole="f" fillcolor="#FFFFFF" filled="f" o:preferrelative="t" stroked="t" coordsize="21600,21600">
              <v:fill on="f" color2="#FFFFFF" focus="0%"/>
              <v:stroke weight="0.5pt" color="#000000" color2="#FFFFFF" miterlimit="2"/>
              <v:imagedata gain="65536f" blacklevel="0f" gamma="0"/>
              <o:lock v:ext="edit" position="f" selection="f" grouping="f" rotation="f" cropping="f" text="f" aspectratio="f"/>
            </v:line>
            <v:shape id="直接箭头连接符 24" o:spid="_x0000_s1068" type="#_x0000_t32" style="position:absolute;left:5790;top:1553;height:0;width:454;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rect id="文本框 9" o:spid="_x0000_s1069" style="position:absolute;left:6247;top:1200;height:738;width:1589;rotation:0f;" o:ole="f" fillcolor="#FFFFFF" filled="t" o:preferrelative="t" stroked="t" coordsize="21600,21600">
              <v:stroke weight="0.5pt" color="#000000" color2="#FFFFFF" miterlimit="2"/>
              <v:imagedata gain="65536f" blacklevel="0f" gamma="0"/>
              <o:lock v:ext="edit" position="f" selection="f" grouping="f" rotation="f" cropping="f" text="f" aspectratio="f"/>
              <v:textbox inset="7.21pt,3.60pt,7.21pt,3.60pt">
                <w:txbxContent>
                  <w:p>
                    <w:pPr>
                      <w:spacing w:line="240" w:lineRule="auto"/>
                      <w:jc w:val="center"/>
                      <w:rPr>
                        <w:rFonts w:ascii="Times New Roman" w:cs="Times New Roman"/>
                        <w:sz w:val="21"/>
                        <w:szCs w:val="21"/>
                      </w:rPr>
                    </w:pPr>
                    <w:r>
                      <w:rPr>
                        <w:rFonts w:ascii="Times New Roman" w:cs="Times New Roman"/>
                        <w:sz w:val="21"/>
                        <w:szCs w:val="21"/>
                      </w:rPr>
                      <w:t>装置本体</w:t>
                    </w:r>
                    <w:r>
                      <w:rPr>
                        <w:rFonts w:hint="eastAsia" w:ascii="Times New Roman" w:cs="Times New Roman"/>
                        <w:sz w:val="21"/>
                        <w:szCs w:val="21"/>
                      </w:rPr>
                      <w:t>循环冷却水系统</w:t>
                    </w:r>
                  </w:p>
                </w:txbxContent>
              </v:textbox>
            </v:rect>
            <v:shape id="直接箭头连接符 25" o:spid="_x0000_s1070" type="#_x0000_t32" style="position:absolute;left:5808;top:2402;height:0;width:454;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rect id="文本框 9" o:spid="_x0000_s1071" style="position:absolute;left:6259;top:2065;height:738;width:1589;rotation:0f;" o:ole="f" fillcolor="#FFFFFF" filled="t" o:preferrelative="t" stroked="t" coordsize="21600,21600">
              <v:stroke weight="0.5pt" color="#000000" color2="#FFFFFF" miterlimit="2"/>
              <v:imagedata gain="65536f" blacklevel="0f" gamma="0"/>
              <o:lock v:ext="edit" position="f" selection="f" grouping="f" rotation="f" cropping="f" text="f" aspectratio="f"/>
              <v:textbox inset="7.21pt,3.60pt,7.21pt,3.60pt">
                <w:txbxContent>
                  <w:p>
                    <w:pPr>
                      <w:spacing w:line="240" w:lineRule="auto"/>
                      <w:jc w:val="center"/>
                      <w:rPr>
                        <w:rFonts w:ascii="Times New Roman" w:cs="Times New Roman"/>
                        <w:sz w:val="21"/>
                        <w:szCs w:val="21"/>
                      </w:rPr>
                    </w:pPr>
                    <w:r>
                      <w:rPr>
                        <w:rFonts w:ascii="Times New Roman" w:cs="Times New Roman"/>
                        <w:sz w:val="21"/>
                        <w:szCs w:val="21"/>
                      </w:rPr>
                      <w:t>电源</w:t>
                    </w:r>
                    <w:r>
                      <w:rPr>
                        <w:rFonts w:hint="eastAsia" w:ascii="Times New Roman" w:cs="Times New Roman"/>
                        <w:sz w:val="21"/>
                        <w:szCs w:val="21"/>
                      </w:rPr>
                      <w:t>循环冷却水系统</w:t>
                    </w:r>
                  </w:p>
                </w:txbxContent>
              </v:textbox>
            </v:rect>
            <v:shape id="直接箭头连接符 27" o:spid="_x0000_s1072" type="#_x0000_t32" style="position:absolute;left:7853;top:1563;height:0;width:396;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shape id="直接箭头连接符 31" o:spid="_x0000_s1073" type="#_x0000_t32" style="position:absolute;left:7865;top:2428;height:0;width:397;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rect id="文本框 9" o:spid="_x0000_s1074" style="position:absolute;left:4969;top:3412;height:511;width:2157;rotation:0f;" o:ole="f" fillcolor="#FFFFFF" filled="t" o:preferrelative="t" stroked="t" coordsize="21600,21600">
              <v:stroke weight="0.5pt" color="#000000" color2="#FFFFFF" miterlimit="2"/>
              <v:imagedata gain="65536f" blacklevel="0f" gamma="0"/>
              <o:lock v:ext="edit" position="f" selection="f" grouping="f" rotation="f" cropping="f" text="f" aspectratio="f"/>
              <v:textbox inset="7.21pt,3.60pt,7.21pt,3.60pt">
                <w:txbxContent>
                  <w:p>
                    <w:pPr>
                      <w:spacing w:line="240" w:lineRule="auto"/>
                      <w:jc w:val="center"/>
                      <w:rPr>
                        <w:rFonts w:ascii="Times New Roman" w:cs="Times New Roman"/>
                        <w:sz w:val="21"/>
                        <w:szCs w:val="21"/>
                      </w:rPr>
                    </w:pPr>
                    <w:r>
                      <w:rPr>
                        <w:rFonts w:hint="eastAsia" w:ascii="Times New Roman" w:cs="Times New Roman"/>
                        <w:sz w:val="21"/>
                        <w:szCs w:val="21"/>
                      </w:rPr>
                      <w:t>外循环冷却水系统</w:t>
                    </w:r>
                  </w:p>
                </w:txbxContent>
              </v:textbox>
            </v:rect>
            <v:shape id="直接箭头连接符 32" o:spid="_x0000_s1075" type="#_x0000_t32" style="position:absolute;left:7133;top:3689;height:0;width:1984;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line id="直接连接符 34" o:spid="_x0000_s1076" style="position:absolute;left:8250;top:1550;height:908;width:0;rotation:0f;" o:ole="f" fillcolor="#FFFFFF" filled="f" o:preferrelative="t" stroked="t" coordsize="21600,21600">
              <v:fill on="f" color2="#FFFFFF" focus="0%"/>
              <v:stroke weight="0.5pt" color="#000000" color2="#FFFFFF" miterlimit="2"/>
              <v:imagedata gain="65536f" blacklevel="0f" gamma="0"/>
              <o:lock v:ext="edit" position="f" selection="f" grouping="f" rotation="f" cropping="f" text="f" aspectratio="f"/>
            </v:line>
            <v:shape id="直接箭头连接符 35" o:spid="_x0000_s1077" type="#_x0000_t32" style="position:absolute;left:8295;top:1980;height:0;width:850;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rect id="文本框 9" o:spid="_x0000_s1078" style="position:absolute;left:9626;top:2592;height:737;width:964;rotation:0f;" o:ole="f" fillcolor="#FFFFFF" filled="t" o:preferrelative="t" stroked="t" coordsize="21600,21600">
              <v:stroke weight="0.5pt" color="#000000" color2="#FFFFFF" miterlimit="2"/>
              <v:imagedata gain="65536f" blacklevel="0f" gamma="0"/>
              <o:lock v:ext="edit" position="f" selection="f" grouping="f" rotation="f" cropping="f" text="f" aspectratio="f"/>
              <v:textbox inset="7.21pt,3.60pt,7.21pt,3.60pt">
                <w:txbxContent>
                  <w:p>
                    <w:pPr>
                      <w:spacing w:line="240" w:lineRule="auto"/>
                      <w:jc w:val="center"/>
                      <w:rPr>
                        <w:rFonts w:ascii="Times New Roman" w:cs="Times New Roman"/>
                        <w:sz w:val="21"/>
                        <w:szCs w:val="21"/>
                      </w:rPr>
                    </w:pPr>
                    <w:r>
                      <w:rPr>
                        <w:rFonts w:ascii="Times New Roman" w:cs="Times New Roman"/>
                        <w:sz w:val="21"/>
                        <w:szCs w:val="21"/>
                      </w:rPr>
                      <w:t>浊</w:t>
                    </w:r>
                    <w:r>
                      <w:rPr>
                        <w:rFonts w:hint="eastAsia" w:ascii="Times New Roman" w:cs="Times New Roman"/>
                        <w:sz w:val="21"/>
                        <w:szCs w:val="21"/>
                      </w:rPr>
                      <w:t>循环水系统</w:t>
                    </w:r>
                  </w:p>
                </w:txbxContent>
              </v:textbox>
            </v:rect>
            <v:line id="直接连接符 38" o:spid="_x0000_s1079" style="position:absolute;left:9137;top:1995;height:1701;width:0;rotation:0f;" o:ole="f" fillcolor="#FFFFFF" filled="f" o:preferrelative="t" stroked="t" coordsize="21600,21600">
              <v:fill on="f" color2="#FFFFFF" focus="0%"/>
              <v:stroke weight="0.5pt" color="#000000" color2="#FFFFFF" miterlimit="2"/>
              <v:imagedata gain="65536f" blacklevel="0f" gamma="0"/>
              <o:lock v:ext="edit" position="f" selection="f" grouping="f" rotation="f" cropping="f" text="f" aspectratio="f"/>
            </v:line>
            <v:shape id="直接箭头连接符 39" o:spid="_x0000_s1080" type="#_x0000_t32" style="position:absolute;left:9145;top:2923;height:0;width:454;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line id="直接连接符 40" o:spid="_x0000_s1081" style="position:absolute;left:8730;top:574;height:1418;width:0;rotation:0f;" o:ole="f" fillcolor="#FFFFFF" filled="f" o:preferrelative="t" stroked="t" coordsize="21600,21600">
              <v:fill on="f" color2="#FFFFFF" focus="0%"/>
              <v:stroke weight="0.5pt" color="#000000" color2="#FFFFFF" miterlimit="2"/>
              <v:imagedata gain="65536f" blacklevel="0f" gamma="0"/>
              <o:lock v:ext="edit" position="f" selection="f" grouping="f" rotation="f" cropping="f" text="f" aspectratio="f"/>
            </v:line>
            <v:line id="直接连接符 41" o:spid="_x0000_s1082" style="position:absolute;left:5715;top:570;height:0;width:3005;rotation:0f;" o:ole="f" fillcolor="#FFFFFF" filled="f" o:preferrelative="t" stroked="t" coordsize="21600,21600">
              <v:fill on="f" color2="#FFFFFF" focus="0%"/>
              <v:stroke weight="0.5pt" color="#000000" color2="#FFFFFF" miterlimit="2"/>
              <v:imagedata gain="65536f" blacklevel="0f" gamma="0"/>
              <o:lock v:ext="edit" position="f" selection="f" grouping="f" rotation="f" cropping="f" text="f" aspectratio="f"/>
            </v:line>
            <v:shape id="直接箭头连接符 42" o:spid="_x0000_s1083" type="#_x0000_t32" style="position:absolute;left:5700;top:570;height:1417;width:0;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shape id="直接箭头连接符 43" o:spid="_x0000_s1084" type="#_x0000_t32" style="position:absolute;left:7939;top:3696;height:850;width:0;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line id="直接连接符 44" o:spid="_x0000_s1085" style="position:absolute;left:4534;top:4535;height:0;width:3402;rotation:0f;" o:ole="f" fillcolor="#FFFFFF" filled="f" o:preferrelative="t" stroked="t" coordsize="21600,21600">
              <v:fill on="f" color2="#FFFFFF" focus="0%"/>
              <v:stroke weight="0.5pt" color="#000000" color2="#FFFFFF" miterlimit="2"/>
              <v:imagedata gain="65536f" blacklevel="0f" gamma="0"/>
              <o:lock v:ext="edit" position="f" selection="f" grouping="f" rotation="f" cropping="f" text="f" aspectratio="f"/>
            </v:line>
            <v:shape id="直接箭头连接符 45" o:spid="_x0000_s1086" type="#_x0000_t32" style="position:absolute;left:4530;top:3675;flip:x y;height:850;width:0;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shape id="直接箭头连接符 53" o:spid="_x0000_s1087" type="#_x0000_t32" style="position:absolute;left:6765;top:990;flip:y;height:210;width:180;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shape id="直接箭头连接符 55" o:spid="_x0000_s1088" type="#_x0000_t32" style="position:absolute;left:6960;top:2805;height:196;width:180;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shape id="直接箭头连接符 61" o:spid="_x0000_s1089" type="#_x0000_t32" style="position:absolute;left:5578;top:3180;flip:y;height:232;width:212;rotation:0f;" o:ole="f" fillcolor="#FFFFFF" filled="t" o:preferrelative="t" stroked="t" coordorigin="0,0" coordsize="21600,21600">
              <v:stroke weight="0.5pt" color="#000000" color2="#FFFFFF" miterlimit="2" endarrow="block"/>
              <v:imagedata gain="65536f" blacklevel="0f" gamma="0"/>
              <o:lock v:ext="edit" position="f" selection="f" grouping="f" rotation="f" cropping="f" text="f" aspectratio="f"/>
            </v:shape>
            <v:rect id="文本框 68" o:spid="_x0000_s1090" style="position:absolute;left:4230;top:5055;height:454;width:3201;rotation:0f;"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Times New Roman" w:hAnsi="Times New Roman" w:cs="Times New Roman"/>
                        <w:sz w:val="24"/>
                        <w:szCs w:val="24"/>
                      </w:rPr>
                    </w:pPr>
                    <w:r>
                      <w:rPr>
                        <w:rFonts w:ascii="Times New Roman" w:hAnsi="Times New Roman" w:cs="Times New Roman"/>
                        <w:sz w:val="24"/>
                        <w:szCs w:val="24"/>
                      </w:rPr>
                      <w:t>图</w:t>
                    </w:r>
                    <w:r>
                      <w:rPr>
                        <w:rFonts w:hint="eastAsia" w:ascii="Times New Roman" w:hAnsi="Times New Roman" w:cs="Times New Roman"/>
                        <w:sz w:val="24"/>
                        <w:szCs w:val="24"/>
                      </w:rPr>
                      <w:t>3</w:t>
                    </w:r>
                    <w:r>
                      <w:rPr>
                        <w:rFonts w:ascii="Times New Roman" w:hAnsi="Times New Roman" w:cs="Times New Roman"/>
                        <w:sz w:val="24"/>
                        <w:szCs w:val="24"/>
                      </w:rPr>
                      <w:t>-1  项目</w:t>
                    </w:r>
                    <w:r>
                      <w:rPr>
                        <w:rFonts w:hint="eastAsia" w:ascii="Times New Roman" w:hAnsi="Times New Roman" w:cs="Times New Roman"/>
                        <w:sz w:val="24"/>
                        <w:szCs w:val="24"/>
                      </w:rPr>
                      <w:t>水平衡图</w:t>
                    </w:r>
                  </w:p>
                </w:txbxContent>
              </v:textbox>
            </v:rect>
            <w10:wrap type="topAndBottom"/>
          </v:group>
        </w:pict>
      </w:r>
      <w:r>
        <w:rPr>
          <w:rFonts w:ascii="Times New Roman" w:hAnsi="Times New Roman" w:cs="Times New Roman"/>
        </w:rPr>
        <w:t>表3-10  项目各部分用排水情况表</w:t>
      </w:r>
    </w:p>
    <w:tbl>
      <w:tblPr>
        <w:tblStyle w:val="21"/>
        <w:tblpPr w:leftFromText="180" w:rightFromText="180" w:vertAnchor="text" w:horzAnchor="page" w:tblpX="1759" w:tblpY="19"/>
        <w:tblOverlap w:val="never"/>
        <w:tblW w:w="89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976"/>
        <w:gridCol w:w="1276"/>
        <w:gridCol w:w="1276"/>
        <w:gridCol w:w="1276"/>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5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序号</w:t>
            </w:r>
          </w:p>
        </w:tc>
        <w:tc>
          <w:tcPr>
            <w:tcW w:w="29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用水环节</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循环水量</w:t>
            </w:r>
          </w:p>
          <w:p>
            <w:pPr>
              <w:pStyle w:val="10"/>
              <w:spacing w:line="276" w:lineRule="auto"/>
              <w:rPr>
                <w:rFonts w:ascii="Times New Roman" w:hAnsi="Times New Roman" w:eastAsia="宋体" w:cs="Times New Roman"/>
              </w:rPr>
            </w:pPr>
            <w:r>
              <w:rPr>
                <w:rFonts w:ascii="Times New Roman" w:hAnsi="Times New Roman" w:eastAsia="宋体" w:cs="Times New Roman"/>
              </w:rPr>
              <w:t>（m</w:t>
            </w:r>
            <w:r>
              <w:rPr>
                <w:rFonts w:ascii="Times New Roman" w:hAnsi="Times New Roman" w:eastAsia="宋体" w:cs="Times New Roman"/>
                <w:vertAlign w:val="superscript"/>
              </w:rPr>
              <w:t>3</w:t>
            </w:r>
            <w:r>
              <w:rPr>
                <w:rFonts w:ascii="Times New Roman" w:hAnsi="Times New Roman" w:eastAsia="宋体" w:cs="Times New Roman"/>
              </w:rPr>
              <w:t>/h）</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耗水量</w:t>
            </w:r>
          </w:p>
          <w:p>
            <w:pPr>
              <w:pStyle w:val="10"/>
              <w:spacing w:line="276" w:lineRule="auto"/>
              <w:rPr>
                <w:rFonts w:ascii="Times New Roman" w:hAnsi="Times New Roman" w:eastAsia="宋体" w:cs="Times New Roman"/>
              </w:rPr>
            </w:pPr>
            <w:r>
              <w:rPr>
                <w:rFonts w:ascii="Times New Roman" w:hAnsi="Times New Roman" w:eastAsia="宋体" w:cs="Times New Roman"/>
              </w:rPr>
              <w:t>（m</w:t>
            </w:r>
            <w:r>
              <w:rPr>
                <w:rFonts w:ascii="Times New Roman" w:hAnsi="Times New Roman" w:eastAsia="宋体" w:cs="Times New Roman"/>
                <w:vertAlign w:val="superscript"/>
              </w:rPr>
              <w:t>3</w:t>
            </w:r>
            <w:r>
              <w:rPr>
                <w:rFonts w:ascii="Times New Roman" w:hAnsi="Times New Roman" w:eastAsia="宋体" w:cs="Times New Roman"/>
              </w:rPr>
              <w:t>/h）</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用水制度</w:t>
            </w:r>
          </w:p>
        </w:tc>
        <w:tc>
          <w:tcPr>
            <w:tcW w:w="127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排水量</w:t>
            </w:r>
          </w:p>
          <w:p>
            <w:pPr>
              <w:pStyle w:val="10"/>
              <w:spacing w:line="276" w:lineRule="auto"/>
              <w:rPr>
                <w:rFonts w:ascii="Times New Roman" w:hAnsi="Times New Roman" w:eastAsia="宋体" w:cs="Times New Roman"/>
              </w:rPr>
            </w:pPr>
            <w:r>
              <w:rPr>
                <w:rFonts w:ascii="Times New Roman" w:hAnsi="Times New Roman" w:eastAsia="宋体" w:cs="Times New Roman"/>
              </w:rPr>
              <w:t>（m</w:t>
            </w:r>
            <w:r>
              <w:rPr>
                <w:rFonts w:ascii="Times New Roman" w:hAnsi="Times New Roman" w:eastAsia="宋体" w:cs="Times New Roman"/>
                <w:vertAlign w:val="superscript"/>
              </w:rPr>
              <w:t>3</w:t>
            </w:r>
            <w:r>
              <w:rPr>
                <w:rFonts w:ascii="Times New Roman" w:hAnsi="Times New Roman" w:eastAsia="宋体" w:cs="Times New Roma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5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29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装置本体循环冷却水系统</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800</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12</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连续</w:t>
            </w:r>
          </w:p>
        </w:tc>
        <w:tc>
          <w:tcPr>
            <w:tcW w:w="127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5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29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电源循环冷却水系统</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160</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2.4</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连续</w:t>
            </w:r>
          </w:p>
        </w:tc>
        <w:tc>
          <w:tcPr>
            <w:tcW w:w="127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51"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w:t>
            </w:r>
          </w:p>
        </w:tc>
        <w:tc>
          <w:tcPr>
            <w:tcW w:w="29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外循环冷却水系统</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1000</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15</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连续</w:t>
            </w:r>
          </w:p>
        </w:tc>
        <w:tc>
          <w:tcPr>
            <w:tcW w:w="127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827"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合计</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1960</w:t>
            </w:r>
          </w:p>
        </w:tc>
        <w:tc>
          <w:tcPr>
            <w:tcW w:w="127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29.4</w:t>
            </w:r>
          </w:p>
        </w:tc>
        <w:tc>
          <w:tcPr>
            <w:tcW w:w="1276" w:type="dxa"/>
            <w:vAlign w:val="center"/>
          </w:tcPr>
          <w:p>
            <w:pPr>
              <w:pStyle w:val="10"/>
              <w:spacing w:line="276" w:lineRule="auto"/>
              <w:rPr>
                <w:rFonts w:ascii="Times New Roman" w:hAnsi="Times New Roman" w:eastAsia="宋体" w:cs="Times New Roman"/>
              </w:rPr>
            </w:pPr>
          </w:p>
        </w:tc>
        <w:tc>
          <w:tcPr>
            <w:tcW w:w="127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14.7</w:t>
            </w:r>
          </w:p>
        </w:tc>
      </w:tr>
    </w:tbl>
    <w:p>
      <w:pPr>
        <w:pStyle w:val="4"/>
        <w:rPr>
          <w:rFonts w:ascii="Times New Roman" w:hAnsi="Times New Roman" w:cs="Times New Roman"/>
        </w:rPr>
      </w:pPr>
      <w:bookmarkStart w:id="22" w:name="_Toc1431"/>
      <w:r>
        <w:rPr>
          <w:rFonts w:ascii="Times New Roman" w:hAnsi="Times New Roman" w:cs="Times New Roman"/>
        </w:rPr>
        <w:t>3.5 生产工艺</w:t>
      </w:r>
      <w:bookmarkEnd w:id="22"/>
    </w:p>
    <w:p>
      <w:pPr>
        <w:ind w:firstLine="560" w:firstLineChars="200"/>
        <w:rPr>
          <w:rFonts w:ascii="Times New Roman" w:hAnsi="Times New Roman" w:cs="Times New Roman"/>
        </w:rPr>
      </w:pPr>
      <w:r>
        <w:rPr>
          <w:rFonts w:ascii="Times New Roman" w:hAnsi="Times New Roman" w:cs="Times New Roman"/>
        </w:rPr>
        <w:t>本项目技改完成后配套1座30t合金熔化装置来承担90t电炉熔化铬铁合金的工作，90t电炉承担60t废钢熔化工作，合金熔化装置熔化合金完成后转入电炉进行混匀并进行后步精炼工序，现有后步不锈钢冶炼工艺保持不变。技改后全厂工艺流程示意图见下图。</w:t>
      </w:r>
    </w:p>
    <w:p>
      <w:pPr>
        <w:ind w:firstLine="560" w:firstLineChars="20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6" o:spid="_x0000_s1091" type="#_x0000_t75" style="position:absolute;left:0;margin-top:11.75pt;height:141.7pt;width:342.75pt;mso-position-horizontal:center;mso-position-horizontal-relative:margin;rotation:0f;z-index:251668480;" o:ole="f" fillcolor="#FFFFFF" filled="f" o:preferrelative="t" stroked="f" coordorigin="0,0" coordsize="21600,21600">
            <v:fill on="f" color2="#FFFFFF" focus="0%"/>
            <v:imagedata gain="65536f" blacklevel="0f" gamma="0" o:title="" r:id="rId15"/>
            <o:lock v:ext="edit" position="f" selection="f" grouping="f" rotation="f" cropping="f" text="f" aspectratio="t"/>
            <w10:anchorlock/>
          </v:shape>
        </w:pict>
      </w:r>
    </w:p>
    <w:p>
      <w:pPr>
        <w:ind w:firstLine="560" w:firstLineChars="200"/>
        <w:rPr>
          <w:rFonts w:ascii="Times New Roman" w:hAnsi="Times New Roman" w:cs="Times New Roman"/>
        </w:rPr>
      </w:pPr>
    </w:p>
    <w:p>
      <w:pPr>
        <w:ind w:firstLine="560" w:firstLineChars="200"/>
        <w:rPr>
          <w:rFonts w:ascii="Times New Roman" w:hAnsi="Times New Roman" w:cs="Times New Roman"/>
        </w:rPr>
      </w:pPr>
    </w:p>
    <w:p>
      <w:pPr>
        <w:ind w:firstLine="560" w:firstLineChars="200"/>
        <w:rPr>
          <w:rFonts w:ascii="Times New Roman" w:hAnsi="Times New Roman" w:cs="Times New Roman"/>
        </w:rPr>
      </w:pPr>
    </w:p>
    <w:p>
      <w:pPr>
        <w:ind w:firstLine="560" w:firstLineChars="200"/>
        <w:rPr>
          <w:rFonts w:ascii="Times New Roman" w:hAnsi="Times New Roman" w:cs="Times New Roman"/>
        </w:rPr>
      </w:pPr>
    </w:p>
    <w:p>
      <w:pPr>
        <w:ind w:firstLine="560" w:firstLineChars="200"/>
        <w:rPr>
          <w:rFonts w:ascii="Times New Roman" w:hAnsi="Times New Roman" w:cs="Times New Roman"/>
        </w:rPr>
      </w:pPr>
    </w:p>
    <w:p>
      <w:pPr>
        <w:jc w:val="center"/>
        <w:rPr>
          <w:rFonts w:ascii="Times New Roman" w:hAnsi="Times New Roman" w:cs="Times New Roman"/>
        </w:rPr>
      </w:pPr>
      <w:r>
        <w:rPr>
          <w:rFonts w:ascii="Times New Roman" w:hAnsi="Times New Roman" w:cs="Times New Roman"/>
        </w:rPr>
        <w:t>图3-2  全厂工艺流程示意图</w:t>
      </w:r>
    </w:p>
    <w:p>
      <w:pPr>
        <w:ind w:firstLine="560" w:firstLineChars="200"/>
        <w:rPr>
          <w:rFonts w:ascii="Times New Roman" w:hAnsi="Times New Roman" w:cs="Times New Roman"/>
        </w:rPr>
      </w:pPr>
      <w:r>
        <w:rPr>
          <w:rFonts w:ascii="Times New Roman" w:hAnsi="Times New Roman" w:cs="Times New Roman"/>
        </w:rPr>
        <w:t>技改部分工艺流程为：</w:t>
      </w:r>
    </w:p>
    <w:p>
      <w:pPr>
        <w:ind w:firstLine="560" w:firstLineChars="200"/>
        <w:rPr>
          <w:rFonts w:ascii="Times New Roman" w:hAnsi="Times New Roman" w:cs="Times New Roman"/>
        </w:rPr>
      </w:pPr>
      <w:r>
        <w:rPr>
          <w:rFonts w:ascii="Times New Roman" w:hAnsi="Times New Roman" w:cs="Times New Roman"/>
        </w:rPr>
        <w:t>按照现有90t电炉炉料结构，每炉添加铬铁合金及部分镍生铁，合计30t。合金熔化过程分3次加料，第一次加料采用料盅，打开合金熔化装置炉盖，用天车吊运料盅加入5t左右合金材料进行铺底，并通电进行熔化，熔化过程再分3次加料。加料方式为经汽车运料运输至合金熔化装置地下料坑，并经振动给料机送料至1#大倾角带式输送机，再经2#移动带式输送机转运至合金熔化装置高位料仓，经料仓下电磁振动给料机送至移动式合金加料车，最终进入合金熔化装置。每次加料时间为3min，加料过程炉门为半开状态，加料完成后盖好炉门盖进行熔化，整个熔化周期为60min，熔化温度为1650℃。</w:t>
      </w:r>
    </w:p>
    <w:p>
      <w:pPr>
        <w:ind w:firstLine="560" w:firstLineChars="200"/>
        <w:rPr>
          <w:rFonts w:ascii="Times New Roman" w:hAnsi="Times New Roman" w:cs="Times New Roman"/>
        </w:rPr>
      </w:pPr>
      <w:r>
        <w:rPr>
          <w:rFonts w:ascii="Times New Roman" w:hAnsi="Times New Roman" w:cs="Times New Roman"/>
        </w:rPr>
        <w:t>合金熔化过程同时电炉进行60t废钢的熔化，熔化工序与原有工程一致，熔化时间为70min。合金熔化装置出钢钢包使用连铸钢包作为合金熔化装置钢水周转钢包，周转过程中节省了烘烤时间，通过连铸西侧新建过跨线，由钢包旋转过跨车运至电炉车间。熔化完成后将空钢包经由90t天车吊运至合金熔化装置倾翻台。合金化清后，30t合金钢水倒入兑钢包，由天车吊运，自炉前兑入90t电炉；30t合金钢水和60t废钢在90t电炉内开始冶炼，直至化清，分两包（45t钢包）出钢，分别兑入两座45tAOD炉，再进行后部精炼。因90t电炉废钢装入量为60t左右，故冶炼时间会比熔化90t废钢缩短约10min；合金熔化装置的化清钢水兑入90t电炉也需10min，因此改造后全线其它步骤及用时均不变。混合熔化后钢液仍然分兑2个45t钢包，分别由过跨车运入精炼车间，经AOD炉冶炼后，进入浇铸等后步工序。</w:t>
      </w:r>
    </w:p>
    <w:p>
      <w:pPr>
        <w:ind w:firstLine="560" w:firstLineChars="200"/>
        <w:rPr>
          <w:rFonts w:ascii="Times New Roman" w:hAnsi="Times New Roman" w:cs="Times New Roman"/>
        </w:rPr>
      </w:pPr>
      <w:r>
        <w:rPr>
          <w:rFonts w:ascii="Times New Roman" w:hAnsi="Times New Roman" w:cs="Times New Roman"/>
        </w:rPr>
        <w:t>技改部分生产工艺流程图及产污环节分析如下图。</w:t>
      </w:r>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对象 102" type="#_x0000_t75" style="position:absolute;left:0;margin-left:74.25pt;margin-top:6.6pt;height:402.4pt;width:268.95pt;rotation:0f;z-index:251689984;" o:ole="t" fillcolor="#FFFFFF" filled="f" o:preferrelative="t" stroked="f" coordorigin="0,0" coordsize="21600,21600">
            <v:fill on="f" color2="#FFFFFF" focus="0%"/>
            <v:imagedata gain="65536f" blacklevel="0f" gamma="0" o:title="" r:id="rId17"/>
            <o:lock v:ext="edit" position="f" selection="f" grouping="f" rotation="f" cropping="f" text="f" aspectratio="f"/>
          </v:shape>
          <o:OLEObject Type="Embed" ProgID="Visio.Drawing.11" ShapeID="对象 102" DrawAspect="Content" ObjectID="_67" r:id="rId16"/>
        </w:pic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rect id="文本框 114" o:spid="_x0000_s1093" style="position:absolute;left:0;margin-left:274.25pt;margin-top:8.6pt;height:20.6pt;width:43.8pt;rotation:0f;z-index:251670528;" o:ole="f" fillcolor="#FFFFFF" filled="t" o:preferrelative="t" stroked="f" coordsize="21600,21600">
            <v:imagedata gain="65536f" blacklevel="0f" gamma="0"/>
            <o:lock v:ext="edit" position="f" selection="f" grouping="f" rotation="f" cropping="f" text="f" aspectratio="f"/>
            <v:textbox>
              <w:txbxContent>
                <w:p>
                  <w:pPr>
                    <w:spacing w:line="240" w:lineRule="auto"/>
                    <w:rPr>
                      <w:rFonts w:ascii="仿宋" w:hAnsi="仿宋" w:eastAsia="仿宋" w:cs="仿宋"/>
                      <w:b/>
                      <w:bCs/>
                      <w:sz w:val="16"/>
                      <w:szCs w:val="16"/>
                    </w:rPr>
                  </w:pPr>
                  <w:r>
                    <w:rPr>
                      <w:rFonts w:hint="eastAsia" w:ascii="仿宋" w:hAnsi="仿宋" w:eastAsia="仿宋" w:cs="仿宋"/>
                      <w:b/>
                      <w:bCs/>
                      <w:sz w:val="16"/>
                      <w:szCs w:val="16"/>
                    </w:rPr>
                    <w:t>氟化物</w:t>
                  </w:r>
                </w:p>
              </w:txbxContent>
            </v:textbox>
          </v:rect>
        </w:pict>
      </w:r>
    </w:p>
    <w:p>
      <w:pPr>
        <w:rPr>
          <w:rFonts w:ascii="Times New Roman" w:hAnsi="Times New Roman" w:cs="Times New Roman"/>
        </w:rPr>
      </w:pPr>
    </w:p>
    <w:p>
      <w:pPr>
        <w:rPr>
          <w:rFonts w:ascii="Times New Roman" w:hAnsi="Times New Roman" w:cs="Times New Roman"/>
        </w:rPr>
      </w:pPr>
    </w:p>
    <w:p>
      <w:pPr>
        <w:jc w:val="center"/>
        <w:rPr>
          <w:rFonts w:ascii="Times New Roman" w:hAnsi="Times New Roman" w:cs="Times New Roman"/>
        </w:rPr>
      </w:pPr>
      <w:r>
        <w:rPr>
          <w:rFonts w:ascii="Times New Roman" w:hAnsi="Times New Roman" w:cs="Times New Roman"/>
        </w:rPr>
        <w:t>图3-3  技改部分生产工艺流程及产污环节示意图</w:t>
      </w:r>
    </w:p>
    <w:p>
      <w:pPr>
        <w:pStyle w:val="4"/>
        <w:rPr>
          <w:rFonts w:ascii="Times New Roman" w:hAnsi="Times New Roman" w:cs="Times New Roman"/>
        </w:rPr>
      </w:pPr>
      <w:bookmarkStart w:id="23" w:name="_Toc27181"/>
      <w:r>
        <w:rPr>
          <w:rFonts w:ascii="Times New Roman" w:hAnsi="Times New Roman" w:cs="Times New Roman"/>
        </w:rPr>
        <w:t>3.6 项目变动情况</w:t>
      </w:r>
      <w:bookmarkEnd w:id="23"/>
    </w:p>
    <w:p>
      <w:pPr>
        <w:ind w:firstLine="560" w:firstLineChars="200"/>
        <w:rPr>
          <w:rFonts w:ascii="Times New Roman" w:hAnsi="Times New Roman" w:cs="Times New Roman"/>
        </w:rPr>
      </w:pPr>
      <w:r>
        <w:rPr>
          <w:rFonts w:ascii="Times New Roman" w:hAnsi="Times New Roman" w:cs="Times New Roman"/>
        </w:rPr>
        <w:t>经现场检查，本项目实际</w:t>
      </w:r>
      <w:r>
        <w:rPr>
          <w:rFonts w:hint="eastAsia" w:ascii="Times New Roman" w:hAnsi="Times New Roman" w:cs="Times New Roman"/>
        </w:rPr>
        <w:t>生产过程中产生的废液压油、润滑剂</w:t>
      </w:r>
      <w:r>
        <w:rPr>
          <w:rFonts w:ascii="Times New Roman" w:hAnsi="Times New Roman" w:cs="Times New Roman"/>
        </w:rPr>
        <w:t>由太钢加工厂统一收集</w:t>
      </w:r>
      <w:r>
        <w:rPr>
          <w:rFonts w:hint="eastAsia" w:ascii="Times New Roman" w:hAnsi="Times New Roman" w:cs="Times New Roman"/>
        </w:rPr>
        <w:t>后交由有资质的单位处理，不在车间内暂存，故未建设危废暂存间</w:t>
      </w:r>
      <w:r>
        <w:rPr>
          <w:rFonts w:ascii="Times New Roman" w:hAnsi="Times New Roman" w:cs="Times New Roman"/>
        </w:rPr>
        <w:t>。</w:t>
      </w:r>
      <w:r>
        <w:rPr>
          <w:rFonts w:hint="eastAsia" w:ascii="Times New Roman" w:hAnsi="Times New Roman" w:cs="Times New Roman"/>
        </w:rPr>
        <w:t>其余</w:t>
      </w:r>
      <w:r>
        <w:rPr>
          <w:rFonts w:ascii="Times New Roman" w:hAnsi="Times New Roman" w:cs="Times New Roman"/>
        </w:rPr>
        <w:t>建设内容、建构筑物及设备与环境影响评价中描述相一致，基本无变动内容。</w:t>
      </w: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24" w:name="_Toc22197"/>
      <w:r>
        <w:rPr>
          <w:rFonts w:ascii="Times New Roman" w:hAnsi="Times New Roman" w:cs="Times New Roman"/>
        </w:rPr>
        <w:t>4 环境保护设施</w:t>
      </w:r>
      <w:bookmarkEnd w:id="24"/>
    </w:p>
    <w:p>
      <w:pPr>
        <w:pStyle w:val="4"/>
        <w:rPr>
          <w:rFonts w:ascii="Times New Roman" w:hAnsi="Times New Roman" w:cs="Times New Roman"/>
        </w:rPr>
      </w:pPr>
      <w:bookmarkStart w:id="25" w:name="_Toc20525"/>
      <w:r>
        <w:rPr>
          <w:rFonts w:ascii="Times New Roman" w:hAnsi="Times New Roman" w:cs="Times New Roman"/>
        </w:rPr>
        <w:t>4.1 污染物治理/处置设施</w:t>
      </w:r>
      <w:bookmarkEnd w:id="25"/>
    </w:p>
    <w:p>
      <w:pPr>
        <w:pStyle w:val="5"/>
        <w:rPr>
          <w:rFonts w:ascii="Times New Roman" w:hAnsi="Times New Roman" w:cs="Times New Roman"/>
        </w:rPr>
      </w:pPr>
      <w:r>
        <w:rPr>
          <w:rFonts w:ascii="Times New Roman" w:hAnsi="Times New Roman" w:cs="Times New Roman"/>
        </w:rPr>
        <w:t>4.1.1 废水</w:t>
      </w:r>
    </w:p>
    <w:p>
      <w:pPr>
        <w:ind w:firstLine="560" w:firstLineChars="200"/>
        <w:rPr>
          <w:rFonts w:ascii="Times New Roman" w:hAnsi="Times New Roman" w:cs="Times New Roman"/>
        </w:rPr>
      </w:pPr>
      <w:r>
        <w:rPr>
          <w:rFonts w:ascii="Times New Roman" w:hAnsi="Times New Roman" w:cs="Times New Roman"/>
        </w:rPr>
        <w:t>本项目用水主要包括以下三部分：合金熔化装置本体循环冷却水系统、电源循环冷却水系统和外循环冷却水系统，均为净循环水，排水量约为14.7m³/h。</w:t>
      </w:r>
    </w:p>
    <w:p>
      <w:pPr>
        <w:ind w:firstLine="560" w:firstLineChars="200"/>
        <w:rPr>
          <w:rFonts w:ascii="Times New Roman" w:hAnsi="Times New Roman" w:cs="Times New Roman"/>
        </w:rPr>
      </w:pPr>
      <w:r>
        <w:rPr>
          <w:rFonts w:ascii="Times New Roman" w:hAnsi="Times New Roman" w:cs="Times New Roman"/>
        </w:rPr>
        <w:t>净循环水因不与产品或物料接触，水质不受污染、仅水温升高，故净循环水排水排至浊循环水系统循环使用。</w:t>
      </w:r>
    </w:p>
    <w:p>
      <w:pPr>
        <w:pStyle w:val="5"/>
        <w:rPr>
          <w:rFonts w:ascii="Times New Roman" w:hAnsi="Times New Roman" w:cs="Times New Roman"/>
        </w:rPr>
      </w:pPr>
      <w:r>
        <w:rPr>
          <w:rFonts w:ascii="Times New Roman" w:hAnsi="Times New Roman" w:cs="Times New Roman"/>
        </w:rPr>
        <w:t>4.1.2 废气</w:t>
      </w:r>
    </w:p>
    <w:p>
      <w:pPr>
        <w:ind w:firstLine="560" w:firstLineChars="200"/>
        <w:rPr>
          <w:rFonts w:ascii="Times New Roman" w:hAnsi="Times New Roman" w:cs="Times New Roman"/>
        </w:rPr>
      </w:pPr>
      <w:r>
        <w:rPr>
          <w:rFonts w:ascii="Times New Roman" w:hAnsi="Times New Roman" w:cs="Times New Roman"/>
        </w:rPr>
        <w:t>本项目排放大气污染物主要为：合金熔化装置和配套上投料系统排放烟气中的颗粒物及电炉排放烟气中的颗粒物、二噁英类、氟化物。</w:t>
      </w:r>
    </w:p>
    <w:p>
      <w:pPr>
        <w:pStyle w:val="2"/>
        <w:ind w:firstLine="560"/>
        <w:rPr>
          <w:rFonts w:ascii="Times New Roman" w:hAnsi="Times New Roman" w:cs="Times New Roman"/>
        </w:rPr>
      </w:pPr>
      <w:r>
        <w:rPr>
          <w:rFonts w:ascii="Times New Roman" w:hAnsi="Times New Roman" w:cs="Times New Roman"/>
        </w:rPr>
        <w:t>90t电炉生产工艺及原辅材料配比均未发生改变，因此本次技改电炉烟气中颗粒物、二噁英类、氟化物的量变化不大，集气措施也无变化。</w:t>
      </w:r>
    </w:p>
    <w:p>
      <w:pPr>
        <w:pStyle w:val="2"/>
        <w:ind w:firstLine="560"/>
        <w:rPr>
          <w:rFonts w:ascii="Times New Roman" w:hAnsi="Times New Roman" w:cs="Times New Roman"/>
        </w:rPr>
      </w:pPr>
      <w:r>
        <w:rPr>
          <w:rFonts w:ascii="Times New Roman" w:hAnsi="Times New Roman" w:cs="Times New Roman"/>
        </w:rPr>
        <w:t>新增合金熔化装置产生的粉尘为装置冶炼过程中产生的烟气和配套上投料系统产生的原辅料粉尘。合金熔化装置冶炼烟尘采用吸风管除尘，炉口出钢移动罩采用半密闭顶部吸尘罩处理进行捕集。各上投料系统粉尘采用吸风管或顶部吸尘罩进行多点捕集。</w:t>
      </w:r>
    </w:p>
    <w:p>
      <w:pPr>
        <w:pStyle w:val="2"/>
        <w:ind w:firstLine="560"/>
        <w:rPr>
          <w:rFonts w:ascii="Times New Roman" w:hAnsi="Times New Roman" w:cs="Times New Roman"/>
        </w:rPr>
      </w:pPr>
      <w:r>
        <w:rPr>
          <w:rFonts w:ascii="Times New Roman" w:hAnsi="Times New Roman" w:cs="Times New Roman"/>
        </w:rPr>
        <w:t>合金熔化装置产尘点及集气设施安装方式见下表。</w:t>
      </w:r>
    </w:p>
    <w:p>
      <w:pPr>
        <w:jc w:val="center"/>
        <w:rPr>
          <w:rFonts w:ascii="Times New Roman" w:hAnsi="Times New Roman" w:cs="Times New Roman"/>
        </w:rPr>
      </w:pPr>
      <w:r>
        <w:rPr>
          <w:rFonts w:ascii="Times New Roman" w:hAnsi="Times New Roman" w:cs="Times New Roman"/>
        </w:rPr>
        <w:t>表4-1  合金熔化装置及上投料系统集尘设施一览表</w:t>
      </w:r>
    </w:p>
    <w:tbl>
      <w:tblPr>
        <w:tblStyle w:val="21"/>
        <w:tblW w:w="898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450"/>
        <w:gridCol w:w="2862"/>
        <w:gridCol w:w="1776"/>
        <w:gridCol w:w="1451"/>
        <w:gridCol w:w="14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序号</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除尘点位置</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抽尘方式</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温度（℃）</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风量（m</w:t>
            </w:r>
            <w:r>
              <w:rPr>
                <w:rFonts w:ascii="Times New Roman" w:hAnsi="Times New Roman" w:eastAsia="宋体" w:cs="Times New Roman"/>
                <w:vertAlign w:val="superscript"/>
              </w:rPr>
              <w:t>3</w:t>
            </w:r>
            <w:r>
              <w:rPr>
                <w:rFonts w:ascii="Times New Roman" w:hAnsi="Times New Roman" w:eastAsia="宋体" w:cs="Times New Roman"/>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汽车卸料口</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顶部吸尘罩</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1#皮带输送机机尾</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吸风管</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1#皮带输送机机头</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吸风管</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1#机头至2#落料点</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吸风管</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2#至高位料仓</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吸风管</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6</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称量斗</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吸风管</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振动给料机下料口</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吸尘罩</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8</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合金熔化装置冶炼除尘</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吸风管</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120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9</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合金熔化装置出钢移动罩</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顶部吸尘罩</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250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1450"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w:t>
            </w:r>
          </w:p>
        </w:tc>
        <w:tc>
          <w:tcPr>
            <w:tcW w:w="2862"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拆炉站</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顶部吸尘罩</w:t>
            </w: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r>
              <w:rPr>
                <w:rFonts w:ascii="Times New Roman" w:hAnsi="Times New Roman" w:eastAsia="宋体" w:cs="Times New Roman"/>
              </w:rPr>
              <w:t>20</w:t>
            </w: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7" w:hRule="atLeast"/>
          <w:jc w:val="center"/>
        </w:trPr>
        <w:tc>
          <w:tcPr>
            <w:tcW w:w="4312" w:type="dxa"/>
            <w:gridSpan w:val="2"/>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最大同时除尘风量合计</w:t>
            </w:r>
          </w:p>
        </w:tc>
        <w:tc>
          <w:tcPr>
            <w:tcW w:w="1776"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p>
        </w:tc>
        <w:tc>
          <w:tcPr>
            <w:tcW w:w="1451" w:type="dxa"/>
            <w:tcBorders>
              <w:top w:val="single" w:color="000000" w:sz="4" w:space="0"/>
              <w:left w:val="single" w:color="000000" w:sz="4" w:space="0"/>
              <w:bottom w:val="single" w:color="000000" w:sz="4" w:space="0"/>
              <w:right w:val="single" w:color="000000" w:sz="4" w:space="0"/>
            </w:tcBorders>
            <w:vAlign w:val="top"/>
          </w:tcPr>
          <w:p>
            <w:pPr>
              <w:pStyle w:val="10"/>
              <w:spacing w:line="276" w:lineRule="auto"/>
              <w:rPr>
                <w:rFonts w:ascii="Times New Roman" w:hAnsi="Times New Roman" w:eastAsia="宋体" w:cs="Times New Roman"/>
              </w:rPr>
            </w:pPr>
          </w:p>
        </w:tc>
        <w:tc>
          <w:tcPr>
            <w:tcW w:w="1449" w:type="dxa"/>
            <w:tcBorders>
              <w:top w:val="single" w:color="000000" w:sz="4" w:space="0"/>
              <w:left w:val="single" w:color="000000" w:sz="4" w:space="0"/>
              <w:bottom w:val="single" w:color="000000" w:sz="4" w:space="0"/>
              <w:right w:val="single" w:color="000000" w:sz="4" w:space="0"/>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300000</w:t>
            </w:r>
          </w:p>
        </w:tc>
      </w:tr>
    </w:tbl>
    <w:p>
      <w:pPr>
        <w:ind w:firstLine="560" w:firstLineChars="200"/>
        <w:rPr>
          <w:rFonts w:ascii="Times New Roman" w:hAnsi="Times New Roman" w:cs="Times New Roman"/>
        </w:rPr>
      </w:pPr>
      <w:r>
        <w:rPr>
          <w:rFonts w:ascii="Times New Roman" w:hAnsi="Times New Roman" w:cs="Times New Roman"/>
        </w:rPr>
        <w:t>现有电炉除尘系统为两台布袋除尘器，风机风量均为60万m³/h，配套合金熔化装置处理风量约30万m³/h，故对现有除尘器进行改造，改造后除尘器性能参数见下表。</w:t>
      </w:r>
    </w:p>
    <w:p>
      <w:pPr>
        <w:jc w:val="center"/>
        <w:rPr>
          <w:rFonts w:ascii="Times New Roman" w:hAnsi="Times New Roman" w:cs="Times New Roman"/>
        </w:rPr>
      </w:pPr>
      <w:r>
        <w:rPr>
          <w:rFonts w:ascii="Times New Roman" w:hAnsi="Times New Roman" w:cs="Times New Roman"/>
        </w:rPr>
        <w:t>表4-2  除尘器性能参数一览表</w:t>
      </w:r>
    </w:p>
    <w:tbl>
      <w:tblPr>
        <w:tblStyle w:val="21"/>
        <w:tblW w:w="88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942"/>
        <w:gridCol w:w="2494"/>
        <w:gridCol w:w="1835"/>
        <w:gridCol w:w="1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序号</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名称</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改造后电炉+合金熔化装置除尘系统</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备注</w:t>
            </w:r>
          </w:p>
        </w:tc>
        <w:tc>
          <w:tcPr>
            <w:tcW w:w="182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原有除尘器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捕集产尘点</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电炉各产尘点+合金熔化装置各产尘点</w:t>
            </w:r>
          </w:p>
        </w:tc>
        <w:tc>
          <w:tcPr>
            <w:tcW w:w="1835" w:type="dxa"/>
            <w:vAlign w:val="center"/>
          </w:tcPr>
          <w:p>
            <w:pPr>
              <w:pStyle w:val="10"/>
              <w:spacing w:line="276" w:lineRule="auto"/>
              <w:rPr>
                <w:rFonts w:ascii="Times New Roman" w:hAnsi="Times New Roman" w:eastAsia="宋体" w:cs="Times New Roman"/>
              </w:rPr>
            </w:pPr>
          </w:p>
        </w:tc>
        <w:tc>
          <w:tcPr>
            <w:tcW w:w="182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电炉各产尘点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过滤面积(m</w:t>
            </w:r>
            <w:r>
              <w:rPr>
                <w:rFonts w:ascii="Times New Roman" w:hAnsi="Times New Roman" w:eastAsia="宋体" w:cs="Times New Roman"/>
                <w:vertAlign w:val="superscript"/>
              </w:rPr>
              <w:t>2</w:t>
            </w:r>
            <w:r>
              <w:rPr>
                <w:rFonts w:ascii="Times New Roman" w:hAnsi="Times New Roman" w:eastAsia="宋体" w:cs="Times New Roman"/>
              </w:rPr>
              <w:t>)</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单台过滤面积20833.5m</w:t>
            </w:r>
            <w:r>
              <w:rPr>
                <w:rFonts w:ascii="Times New Roman" w:hAnsi="Times New Roman" w:eastAsia="宋体" w:cs="Times New Roman"/>
                <w:vertAlign w:val="superscript"/>
              </w:rPr>
              <w:t>2</w:t>
            </w:r>
            <w:r>
              <w:rPr>
                <w:rFonts w:ascii="Times New Roman" w:hAnsi="Times New Roman" w:eastAsia="宋体" w:cs="Times New Roman"/>
              </w:rPr>
              <w:t>，合计41667m</w:t>
            </w:r>
            <w:r>
              <w:rPr>
                <w:rFonts w:ascii="Times New Roman" w:hAnsi="Times New Roman" w:eastAsia="宋体" w:cs="Times New Roman"/>
                <w:vertAlign w:val="superscript"/>
              </w:rPr>
              <w:t>2</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单台新增12357.5m</w:t>
            </w:r>
            <w:r>
              <w:rPr>
                <w:rFonts w:ascii="Times New Roman" w:hAnsi="Times New Roman" w:eastAsia="宋体" w:cs="Times New Roman"/>
                <w:vertAlign w:val="superscript"/>
              </w:rPr>
              <w:t>2</w:t>
            </w:r>
            <w:r>
              <w:rPr>
                <w:rFonts w:ascii="Times New Roman" w:hAnsi="Times New Roman" w:eastAsia="宋体" w:cs="Times New Roman"/>
              </w:rPr>
              <w:t>，合计：24715m</w:t>
            </w:r>
            <w:r>
              <w:rPr>
                <w:rFonts w:ascii="Times New Roman" w:hAnsi="Times New Roman" w:eastAsia="宋体" w:cs="Times New Roman"/>
                <w:vertAlign w:val="superscript"/>
              </w:rPr>
              <w:t>2</w:t>
            </w:r>
          </w:p>
        </w:tc>
        <w:tc>
          <w:tcPr>
            <w:tcW w:w="182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单台过滤面积8478㎡，合计16596m</w:t>
            </w:r>
            <w:r>
              <w:rPr>
                <w:rFonts w:ascii="Times New Roman" w:hAnsi="Times New Roman" w:eastAsia="宋体" w:cs="Times New Roman"/>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3</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滤袋规格</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160×7000</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超细纤维</w:t>
            </w:r>
          </w:p>
        </w:tc>
        <w:tc>
          <w:tcPr>
            <w:tcW w:w="182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500g涤纶针刺毡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过滤风速(m/min)</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0.6</w:t>
            </w:r>
          </w:p>
        </w:tc>
        <w:tc>
          <w:tcPr>
            <w:tcW w:w="1835" w:type="dxa"/>
            <w:vAlign w:val="center"/>
          </w:tcPr>
          <w:p>
            <w:pPr>
              <w:pStyle w:val="10"/>
              <w:spacing w:line="276" w:lineRule="auto"/>
              <w:rPr>
                <w:rFonts w:ascii="Times New Roman" w:hAnsi="Times New Roman" w:eastAsia="宋体" w:cs="Times New Roman"/>
              </w:rPr>
            </w:pPr>
          </w:p>
        </w:tc>
        <w:tc>
          <w:tcPr>
            <w:tcW w:w="182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主管道直径（m）</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5.2</w:t>
            </w:r>
          </w:p>
        </w:tc>
        <w:tc>
          <w:tcPr>
            <w:tcW w:w="1835" w:type="dxa"/>
            <w:vAlign w:val="center"/>
          </w:tcPr>
          <w:p>
            <w:pPr>
              <w:pStyle w:val="10"/>
              <w:spacing w:line="276" w:lineRule="auto"/>
              <w:rPr>
                <w:rFonts w:ascii="Times New Roman" w:hAnsi="Times New Roman" w:eastAsia="宋体" w:cs="Times New Roman"/>
              </w:rPr>
            </w:pPr>
          </w:p>
        </w:tc>
        <w:tc>
          <w:tcPr>
            <w:tcW w:w="1826" w:type="dxa"/>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6</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主管流速(m/s)</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～19.6</w:t>
            </w:r>
          </w:p>
        </w:tc>
        <w:tc>
          <w:tcPr>
            <w:tcW w:w="1835" w:type="dxa"/>
            <w:vAlign w:val="center"/>
          </w:tcPr>
          <w:p>
            <w:pPr>
              <w:pStyle w:val="10"/>
              <w:spacing w:line="276" w:lineRule="auto"/>
              <w:rPr>
                <w:rFonts w:ascii="Times New Roman" w:hAnsi="Times New Roman" w:eastAsia="宋体" w:cs="Times New Roman"/>
              </w:rPr>
            </w:pPr>
          </w:p>
        </w:tc>
        <w:tc>
          <w:tcPr>
            <w:tcW w:w="182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排气筒直径(m)</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4.5m</w:t>
            </w:r>
          </w:p>
        </w:tc>
        <w:tc>
          <w:tcPr>
            <w:tcW w:w="1835" w:type="dxa"/>
            <w:vAlign w:val="center"/>
          </w:tcPr>
          <w:p>
            <w:pPr>
              <w:pStyle w:val="10"/>
              <w:spacing w:line="276" w:lineRule="auto"/>
              <w:rPr>
                <w:rFonts w:ascii="Times New Roman" w:hAnsi="Times New Roman" w:eastAsia="宋体" w:cs="Times New Roman"/>
              </w:rPr>
            </w:pPr>
          </w:p>
        </w:tc>
        <w:tc>
          <w:tcPr>
            <w:tcW w:w="182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4.5m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8</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排气筒流速(m/s)</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～13</w:t>
            </w:r>
          </w:p>
        </w:tc>
        <w:tc>
          <w:tcPr>
            <w:tcW w:w="1835" w:type="dxa"/>
            <w:vAlign w:val="center"/>
          </w:tcPr>
          <w:p>
            <w:pPr>
              <w:pStyle w:val="10"/>
              <w:spacing w:line="276" w:lineRule="auto"/>
              <w:rPr>
                <w:rFonts w:ascii="Times New Roman" w:hAnsi="Times New Roman" w:eastAsia="宋体" w:cs="Times New Roman"/>
              </w:rPr>
            </w:pPr>
          </w:p>
        </w:tc>
        <w:tc>
          <w:tcPr>
            <w:tcW w:w="1826"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9</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清灰制式</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离线脉冲清灰</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9</w:t>
            </w:r>
          </w:p>
        </w:tc>
        <w:tc>
          <w:tcPr>
            <w:tcW w:w="1826" w:type="dxa"/>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除尘器耐温℃</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130</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w:t>
            </w:r>
          </w:p>
        </w:tc>
        <w:tc>
          <w:tcPr>
            <w:tcW w:w="1826" w:type="dxa"/>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11</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除尘器差压pa</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1500</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11</w:t>
            </w:r>
          </w:p>
        </w:tc>
        <w:tc>
          <w:tcPr>
            <w:tcW w:w="1826" w:type="dxa"/>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12</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介质密度kg/m</w:t>
            </w:r>
            <w:r>
              <w:rPr>
                <w:rFonts w:ascii="Times New Roman" w:hAnsi="Times New Roman" w:eastAsia="宋体" w:cs="Times New Roman"/>
                <w:vertAlign w:val="superscript"/>
              </w:rPr>
              <w:t>3</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1.02</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12</w:t>
            </w:r>
          </w:p>
        </w:tc>
        <w:tc>
          <w:tcPr>
            <w:tcW w:w="1826" w:type="dxa"/>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13</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电机额定功率KW</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2000</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13</w:t>
            </w:r>
          </w:p>
        </w:tc>
        <w:tc>
          <w:tcPr>
            <w:tcW w:w="1826" w:type="dxa"/>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15</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电机额定电压KV</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10</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15</w:t>
            </w:r>
          </w:p>
        </w:tc>
        <w:tc>
          <w:tcPr>
            <w:tcW w:w="1826" w:type="dxa"/>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电机额定电流A</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73.92</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w:t>
            </w:r>
          </w:p>
        </w:tc>
        <w:tc>
          <w:tcPr>
            <w:tcW w:w="1826" w:type="dxa"/>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17</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电机额定频率HZ</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50</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17</w:t>
            </w:r>
          </w:p>
        </w:tc>
        <w:tc>
          <w:tcPr>
            <w:tcW w:w="1826" w:type="dxa"/>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18</w:t>
            </w:r>
          </w:p>
        </w:tc>
        <w:tc>
          <w:tcPr>
            <w:tcW w:w="1942"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电机额定转速r/min</w:t>
            </w:r>
          </w:p>
        </w:tc>
        <w:tc>
          <w:tcPr>
            <w:tcW w:w="24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596</w:t>
            </w:r>
          </w:p>
        </w:tc>
        <w:tc>
          <w:tcPr>
            <w:tcW w:w="183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18</w:t>
            </w:r>
          </w:p>
        </w:tc>
        <w:tc>
          <w:tcPr>
            <w:tcW w:w="1826" w:type="dxa"/>
            <w:vAlign w:val="center"/>
          </w:tcPr>
          <w:p>
            <w:pPr>
              <w:pStyle w:val="10"/>
              <w:spacing w:line="276" w:lineRule="auto"/>
              <w:rPr>
                <w:rFonts w:ascii="Times New Roman" w:hAnsi="Times New Roman" w:eastAsia="宋体" w:cs="Times New Roman"/>
              </w:rPr>
            </w:pPr>
          </w:p>
        </w:tc>
      </w:tr>
    </w:tbl>
    <w:p>
      <w:pPr>
        <w:pStyle w:val="2"/>
        <w:ind w:firstLine="560"/>
        <w:rPr>
          <w:rFonts w:ascii="Times New Roman" w:hAnsi="Times New Roman" w:cs="Times New Roman"/>
        </w:rPr>
      </w:pPr>
      <w:r>
        <w:rPr>
          <w:rFonts w:ascii="Times New Roman" w:hAnsi="Times New Roman" w:cs="Times New Roman"/>
        </w:rPr>
        <w:t>综上所述，本项目废气治理措施见下表。</w:t>
      </w:r>
    </w:p>
    <w:p>
      <w:pPr>
        <w:jc w:val="center"/>
        <w:rPr>
          <w:rFonts w:ascii="Times New Roman" w:hAnsi="Times New Roman" w:cs="Times New Roman"/>
        </w:rPr>
      </w:pPr>
      <w:r>
        <w:rPr>
          <w:rFonts w:ascii="Times New Roman" w:hAnsi="Times New Roman" w:cs="Times New Roman"/>
        </w:rPr>
        <w:t>表4-3  废气治理措施一览表</w:t>
      </w:r>
    </w:p>
    <w:tbl>
      <w:tblPr>
        <w:tblStyle w:val="21"/>
        <w:tblpPr w:leftFromText="180" w:rightFromText="180" w:vertAnchor="text" w:horzAnchor="page" w:tblpXSpec="center" w:tblpY="423"/>
        <w:tblOverlap w:val="never"/>
        <w:tblW w:w="8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125"/>
        <w:gridCol w:w="948"/>
        <w:gridCol w:w="6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序号</w:t>
            </w:r>
          </w:p>
        </w:tc>
        <w:tc>
          <w:tcPr>
            <w:tcW w:w="2073" w:type="dxa"/>
            <w:gridSpan w:val="2"/>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污染源及污染物</w:t>
            </w:r>
          </w:p>
        </w:tc>
        <w:tc>
          <w:tcPr>
            <w:tcW w:w="600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w:t>
            </w:r>
          </w:p>
        </w:tc>
        <w:tc>
          <w:tcPr>
            <w:tcW w:w="1125"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合金熔化装置</w:t>
            </w:r>
          </w:p>
        </w:tc>
        <w:tc>
          <w:tcPr>
            <w:tcW w:w="94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颗粒物</w:t>
            </w:r>
          </w:p>
        </w:tc>
        <w:tc>
          <w:tcPr>
            <w:tcW w:w="600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汽车卸料地坑、料槽至1#皮带尾部、1#皮带-2#皮带落料点、2#皮带至中间料仓、称量斗、接料小车、合金熔化装置冶炼除尘、合金熔化装置出钢移动罩等产尘点均设置集气罩，集气后废气经管道输送与电炉废气合并输送至改造后除尘系统处理，并经现有30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w:t>
            </w:r>
          </w:p>
        </w:tc>
        <w:tc>
          <w:tcPr>
            <w:tcW w:w="1125"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电炉</w:t>
            </w:r>
          </w:p>
        </w:tc>
        <w:tc>
          <w:tcPr>
            <w:tcW w:w="94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颗粒物</w:t>
            </w:r>
          </w:p>
        </w:tc>
        <w:tc>
          <w:tcPr>
            <w:tcW w:w="6008"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屋顶罩、狗窝、扒渣站、上料系统、四孔、拆炉站及修包站等产尘点废气经收集后经管道输送与合金熔化装置废气合并输送至改造后除尘系统处理，并经现有30m高排气筒排放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Merge w:val="continue"/>
            <w:vAlign w:val="center"/>
          </w:tcPr>
          <w:p>
            <w:pPr>
              <w:pStyle w:val="10"/>
              <w:spacing w:line="276" w:lineRule="auto"/>
              <w:rPr>
                <w:rFonts w:ascii="Times New Roman" w:hAnsi="Times New Roman" w:eastAsia="宋体" w:cs="Times New Roman"/>
              </w:rPr>
            </w:pPr>
          </w:p>
        </w:tc>
        <w:tc>
          <w:tcPr>
            <w:tcW w:w="1125" w:type="dxa"/>
            <w:vMerge w:val="continue"/>
            <w:vAlign w:val="center"/>
          </w:tcPr>
          <w:p>
            <w:pPr>
              <w:pStyle w:val="10"/>
              <w:spacing w:line="276" w:lineRule="auto"/>
              <w:rPr>
                <w:rFonts w:ascii="Times New Roman" w:hAnsi="Times New Roman" w:eastAsia="宋体" w:cs="Times New Roman"/>
              </w:rPr>
            </w:pPr>
          </w:p>
        </w:tc>
        <w:tc>
          <w:tcPr>
            <w:tcW w:w="94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二噁英</w:t>
            </w:r>
          </w:p>
        </w:tc>
        <w:tc>
          <w:tcPr>
            <w:tcW w:w="6008" w:type="dxa"/>
            <w:vMerge w:val="continue"/>
            <w:vAlign w:val="center"/>
          </w:tcPr>
          <w:p>
            <w:pPr>
              <w:pStyle w:val="10"/>
              <w:spacing w:line="276"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94" w:type="dxa"/>
            <w:vMerge w:val="continue"/>
            <w:vAlign w:val="center"/>
          </w:tcPr>
          <w:p>
            <w:pPr>
              <w:pStyle w:val="10"/>
              <w:spacing w:line="276" w:lineRule="auto"/>
              <w:rPr>
                <w:rFonts w:ascii="Times New Roman" w:hAnsi="Times New Roman" w:eastAsia="宋体" w:cs="Times New Roman"/>
              </w:rPr>
            </w:pPr>
          </w:p>
        </w:tc>
        <w:tc>
          <w:tcPr>
            <w:tcW w:w="1125" w:type="dxa"/>
            <w:vMerge w:val="continue"/>
            <w:vAlign w:val="center"/>
          </w:tcPr>
          <w:p>
            <w:pPr>
              <w:pStyle w:val="10"/>
              <w:spacing w:line="276" w:lineRule="auto"/>
              <w:rPr>
                <w:rFonts w:ascii="Times New Roman" w:hAnsi="Times New Roman" w:eastAsia="宋体" w:cs="Times New Roman"/>
              </w:rPr>
            </w:pPr>
          </w:p>
        </w:tc>
        <w:tc>
          <w:tcPr>
            <w:tcW w:w="948"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氟化物</w:t>
            </w:r>
          </w:p>
        </w:tc>
        <w:tc>
          <w:tcPr>
            <w:tcW w:w="6008" w:type="dxa"/>
            <w:vMerge w:val="continue"/>
            <w:vAlign w:val="center"/>
          </w:tcPr>
          <w:p>
            <w:pPr>
              <w:pStyle w:val="10"/>
              <w:spacing w:line="276" w:lineRule="auto"/>
              <w:rPr>
                <w:rFonts w:ascii="Times New Roman" w:hAnsi="Times New Roman" w:eastAsia="宋体" w:cs="Times New Roman"/>
              </w:rPr>
            </w:pPr>
          </w:p>
        </w:tc>
      </w:tr>
    </w:tbl>
    <w:p>
      <w:pPr>
        <w:pStyle w:val="5"/>
        <w:rPr>
          <w:rFonts w:ascii="Times New Roman" w:hAnsi="Times New Roman" w:cs="Times New Roman"/>
        </w:rPr>
      </w:pPr>
      <w:r>
        <w:rPr>
          <w:rFonts w:ascii="Times New Roman" w:hAnsi="Times New Roman" w:cs="Times New Roman"/>
        </w:rPr>
        <w:t>4.1.3 噪声</w:t>
      </w:r>
    </w:p>
    <w:p>
      <w:pPr>
        <w:ind w:firstLine="560" w:firstLineChars="200"/>
        <w:rPr>
          <w:rFonts w:ascii="Times New Roman" w:hAnsi="Times New Roman" w:cs="Times New Roman"/>
        </w:rPr>
      </w:pPr>
      <w:r>
        <w:rPr>
          <w:rFonts w:ascii="Times New Roman" w:hAnsi="Times New Roman" w:cs="Times New Roman"/>
        </w:rPr>
        <w:t>本项目涉及噪声主要为</w:t>
      </w:r>
      <w:r>
        <w:rPr>
          <w:rFonts w:ascii="Times New Roman" w:hAnsi="Times New Roman" w:cs="Times New Roman"/>
          <w:lang w:val="zh-CN"/>
        </w:rPr>
        <w:t>电炉熔化阶段</w:t>
      </w:r>
      <w:r>
        <w:rPr>
          <w:rFonts w:ascii="Times New Roman" w:hAnsi="Times New Roman" w:cs="Times New Roman"/>
        </w:rPr>
        <w:t>产生的噪声、合金熔化装置运行时产生的噪声、除尘器风机产生的噪声。噪声治理措施见下表。</w:t>
      </w:r>
    </w:p>
    <w:p>
      <w:pPr>
        <w:pStyle w:val="2"/>
        <w:ind w:firstLine="0" w:firstLineChars="0"/>
        <w:jc w:val="center"/>
        <w:rPr>
          <w:rFonts w:ascii="Times New Roman" w:hAnsi="Times New Roman" w:cs="Times New Roman"/>
        </w:rPr>
      </w:pPr>
      <w:r>
        <w:rPr>
          <w:rFonts w:ascii="Times New Roman" w:hAnsi="Times New Roman" w:cs="Times New Roman"/>
        </w:rPr>
        <w:t>表4-4  噪声治理措施一览表</w:t>
      </w:r>
    </w:p>
    <w:tbl>
      <w:tblPr>
        <w:tblStyle w:val="21"/>
        <w:tblW w:w="9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1247"/>
        <w:gridCol w:w="1045"/>
        <w:gridCol w:w="1275"/>
        <w:gridCol w:w="4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31" w:type="dxa"/>
            <w:vAlign w:val="center"/>
          </w:tcPr>
          <w:p>
            <w:pPr>
              <w:pStyle w:val="12"/>
              <w:spacing w:line="276" w:lineRule="auto"/>
              <w:rPr>
                <w:sz w:val="24"/>
              </w:rPr>
            </w:pPr>
            <w:r>
              <w:rPr>
                <w:sz w:val="24"/>
              </w:rPr>
              <w:t>声源位置</w:t>
            </w:r>
          </w:p>
        </w:tc>
        <w:tc>
          <w:tcPr>
            <w:tcW w:w="1247" w:type="dxa"/>
            <w:vAlign w:val="center"/>
          </w:tcPr>
          <w:p>
            <w:pPr>
              <w:pStyle w:val="12"/>
              <w:spacing w:line="276" w:lineRule="auto"/>
              <w:rPr>
                <w:sz w:val="24"/>
              </w:rPr>
            </w:pPr>
            <w:r>
              <w:rPr>
                <w:sz w:val="24"/>
              </w:rPr>
              <w:t>声源名称</w:t>
            </w:r>
          </w:p>
        </w:tc>
        <w:tc>
          <w:tcPr>
            <w:tcW w:w="1045" w:type="dxa"/>
            <w:vAlign w:val="center"/>
          </w:tcPr>
          <w:p>
            <w:pPr>
              <w:pStyle w:val="12"/>
              <w:spacing w:line="276" w:lineRule="auto"/>
              <w:rPr>
                <w:sz w:val="24"/>
              </w:rPr>
            </w:pPr>
            <w:r>
              <w:rPr>
                <w:sz w:val="24"/>
              </w:rPr>
              <w:t>数量（台）</w:t>
            </w:r>
          </w:p>
        </w:tc>
        <w:tc>
          <w:tcPr>
            <w:tcW w:w="1275" w:type="dxa"/>
            <w:vAlign w:val="center"/>
          </w:tcPr>
          <w:p>
            <w:pPr>
              <w:pStyle w:val="12"/>
              <w:spacing w:line="276" w:lineRule="auto"/>
              <w:rPr>
                <w:sz w:val="24"/>
              </w:rPr>
            </w:pPr>
            <w:r>
              <w:rPr>
                <w:sz w:val="24"/>
              </w:rPr>
              <w:t>噪声值</w:t>
            </w:r>
          </w:p>
          <w:p>
            <w:pPr>
              <w:pStyle w:val="12"/>
              <w:spacing w:line="276" w:lineRule="auto"/>
              <w:rPr>
                <w:sz w:val="24"/>
              </w:rPr>
            </w:pPr>
            <w:r>
              <w:rPr>
                <w:sz w:val="24"/>
              </w:rPr>
              <w:t>dB（A）</w:t>
            </w:r>
          </w:p>
        </w:tc>
        <w:tc>
          <w:tcPr>
            <w:tcW w:w="4509" w:type="dxa"/>
            <w:vAlign w:val="center"/>
          </w:tcPr>
          <w:p>
            <w:pPr>
              <w:pStyle w:val="12"/>
              <w:spacing w:line="276" w:lineRule="auto"/>
              <w:rPr>
                <w:sz w:val="24"/>
              </w:rPr>
            </w:pPr>
            <w:r>
              <w:rPr>
                <w:sz w:val="24"/>
              </w:rPr>
              <w:t>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31" w:type="dxa"/>
            <w:vMerge w:val="restart"/>
            <w:vAlign w:val="center"/>
          </w:tcPr>
          <w:p>
            <w:pPr>
              <w:pStyle w:val="12"/>
              <w:spacing w:line="276" w:lineRule="auto"/>
              <w:rPr>
                <w:sz w:val="24"/>
              </w:rPr>
            </w:pPr>
            <w:r>
              <w:rPr>
                <w:sz w:val="24"/>
              </w:rPr>
              <w:t>电炉跨</w:t>
            </w:r>
          </w:p>
        </w:tc>
        <w:tc>
          <w:tcPr>
            <w:tcW w:w="1247" w:type="dxa"/>
            <w:vAlign w:val="center"/>
          </w:tcPr>
          <w:p>
            <w:pPr>
              <w:pStyle w:val="12"/>
              <w:spacing w:line="276" w:lineRule="auto"/>
              <w:rPr>
                <w:sz w:val="24"/>
              </w:rPr>
            </w:pPr>
            <w:r>
              <w:rPr>
                <w:sz w:val="24"/>
              </w:rPr>
              <w:t>电炉</w:t>
            </w:r>
          </w:p>
        </w:tc>
        <w:tc>
          <w:tcPr>
            <w:tcW w:w="1045" w:type="dxa"/>
            <w:vAlign w:val="center"/>
          </w:tcPr>
          <w:p>
            <w:pPr>
              <w:pStyle w:val="12"/>
              <w:spacing w:line="276" w:lineRule="auto"/>
              <w:rPr>
                <w:sz w:val="24"/>
              </w:rPr>
            </w:pPr>
            <w:r>
              <w:rPr>
                <w:sz w:val="24"/>
              </w:rPr>
              <w:t>1</w:t>
            </w:r>
          </w:p>
        </w:tc>
        <w:tc>
          <w:tcPr>
            <w:tcW w:w="1275" w:type="dxa"/>
            <w:vAlign w:val="center"/>
          </w:tcPr>
          <w:p>
            <w:pPr>
              <w:pStyle w:val="12"/>
              <w:spacing w:line="276" w:lineRule="auto"/>
              <w:rPr>
                <w:sz w:val="24"/>
              </w:rPr>
            </w:pPr>
            <w:r>
              <w:rPr>
                <w:sz w:val="24"/>
              </w:rPr>
              <w:t>93.6</w:t>
            </w:r>
          </w:p>
        </w:tc>
        <w:tc>
          <w:tcPr>
            <w:tcW w:w="4509" w:type="dxa"/>
            <w:vAlign w:val="center"/>
          </w:tcPr>
          <w:p>
            <w:pPr>
              <w:pStyle w:val="12"/>
              <w:spacing w:line="276" w:lineRule="auto"/>
              <w:rPr>
                <w:sz w:val="24"/>
              </w:rPr>
            </w:pPr>
            <w:r>
              <w:rPr>
                <w:sz w:val="24"/>
              </w:rPr>
              <w:t>厂房隔声，距离衰减，设置全封闭“狗窝”隔声罩，向南延长的42m车间墙体及屋顶采用矿棉板进行降噪封闭处理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31" w:type="dxa"/>
            <w:vMerge w:val="continue"/>
            <w:vAlign w:val="center"/>
          </w:tcPr>
          <w:p>
            <w:pPr>
              <w:pStyle w:val="12"/>
              <w:spacing w:line="276" w:lineRule="auto"/>
              <w:rPr>
                <w:sz w:val="24"/>
              </w:rPr>
            </w:pPr>
          </w:p>
        </w:tc>
        <w:tc>
          <w:tcPr>
            <w:tcW w:w="1247" w:type="dxa"/>
            <w:vAlign w:val="center"/>
          </w:tcPr>
          <w:p>
            <w:pPr>
              <w:pStyle w:val="12"/>
              <w:spacing w:line="276" w:lineRule="auto"/>
              <w:rPr>
                <w:sz w:val="24"/>
              </w:rPr>
            </w:pPr>
            <w:r>
              <w:rPr>
                <w:sz w:val="24"/>
              </w:rPr>
              <w:t>合金熔化</w:t>
            </w:r>
          </w:p>
          <w:p>
            <w:pPr>
              <w:pStyle w:val="12"/>
              <w:spacing w:line="276" w:lineRule="auto"/>
              <w:rPr>
                <w:sz w:val="24"/>
              </w:rPr>
            </w:pPr>
            <w:r>
              <w:rPr>
                <w:sz w:val="24"/>
              </w:rPr>
              <w:t>装置</w:t>
            </w:r>
          </w:p>
        </w:tc>
        <w:tc>
          <w:tcPr>
            <w:tcW w:w="1045" w:type="dxa"/>
            <w:vAlign w:val="center"/>
          </w:tcPr>
          <w:p>
            <w:pPr>
              <w:pStyle w:val="12"/>
              <w:spacing w:line="276" w:lineRule="auto"/>
              <w:rPr>
                <w:sz w:val="24"/>
              </w:rPr>
            </w:pPr>
            <w:r>
              <w:rPr>
                <w:sz w:val="24"/>
              </w:rPr>
              <w:t>1</w:t>
            </w:r>
          </w:p>
        </w:tc>
        <w:tc>
          <w:tcPr>
            <w:tcW w:w="1275" w:type="dxa"/>
            <w:vAlign w:val="center"/>
          </w:tcPr>
          <w:p>
            <w:pPr>
              <w:pStyle w:val="12"/>
              <w:spacing w:line="276" w:lineRule="auto"/>
              <w:rPr>
                <w:sz w:val="24"/>
              </w:rPr>
            </w:pPr>
            <w:r>
              <w:rPr>
                <w:sz w:val="24"/>
              </w:rPr>
              <w:t>70</w:t>
            </w:r>
          </w:p>
        </w:tc>
        <w:tc>
          <w:tcPr>
            <w:tcW w:w="4509" w:type="dxa"/>
            <w:vAlign w:val="center"/>
          </w:tcPr>
          <w:p>
            <w:pPr>
              <w:pStyle w:val="12"/>
              <w:spacing w:line="276" w:lineRule="auto"/>
              <w:rPr>
                <w:sz w:val="24"/>
              </w:rPr>
            </w:pPr>
            <w:r>
              <w:rPr>
                <w:sz w:val="24"/>
              </w:rPr>
              <w:t>合金熔化装置设置独立的装置本体平台、下部全封闭室、磁轭共振处理、设置盖板及排烟罩、增设旋转式降噪吸风盖等多项消音处理，向南延长的42m车间墙体及屋顶采用矿棉板进行降噪封闭处理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31" w:type="dxa"/>
            <w:vAlign w:val="center"/>
          </w:tcPr>
          <w:p>
            <w:pPr>
              <w:pStyle w:val="12"/>
              <w:spacing w:line="276" w:lineRule="auto"/>
              <w:rPr>
                <w:sz w:val="24"/>
              </w:rPr>
            </w:pPr>
            <w:r>
              <w:rPr>
                <w:sz w:val="24"/>
              </w:rPr>
              <w:t>除尘器</w:t>
            </w:r>
          </w:p>
        </w:tc>
        <w:tc>
          <w:tcPr>
            <w:tcW w:w="1247" w:type="dxa"/>
            <w:vAlign w:val="center"/>
          </w:tcPr>
          <w:p>
            <w:pPr>
              <w:pStyle w:val="12"/>
              <w:spacing w:line="276" w:lineRule="auto"/>
              <w:rPr>
                <w:sz w:val="24"/>
              </w:rPr>
            </w:pPr>
            <w:r>
              <w:rPr>
                <w:sz w:val="24"/>
              </w:rPr>
              <w:t>风机</w:t>
            </w:r>
          </w:p>
        </w:tc>
        <w:tc>
          <w:tcPr>
            <w:tcW w:w="1045" w:type="dxa"/>
            <w:vAlign w:val="center"/>
          </w:tcPr>
          <w:p>
            <w:pPr>
              <w:pStyle w:val="12"/>
              <w:spacing w:line="276" w:lineRule="auto"/>
              <w:rPr>
                <w:sz w:val="24"/>
              </w:rPr>
            </w:pPr>
            <w:r>
              <w:rPr>
                <w:sz w:val="24"/>
              </w:rPr>
              <w:t>2</w:t>
            </w:r>
          </w:p>
        </w:tc>
        <w:tc>
          <w:tcPr>
            <w:tcW w:w="1275" w:type="dxa"/>
            <w:vAlign w:val="center"/>
          </w:tcPr>
          <w:p>
            <w:pPr>
              <w:pStyle w:val="12"/>
              <w:spacing w:line="276" w:lineRule="auto"/>
              <w:rPr>
                <w:sz w:val="24"/>
              </w:rPr>
            </w:pPr>
            <w:r>
              <w:rPr>
                <w:sz w:val="24"/>
              </w:rPr>
              <w:t>95</w:t>
            </w:r>
          </w:p>
        </w:tc>
        <w:tc>
          <w:tcPr>
            <w:tcW w:w="4509" w:type="dxa"/>
            <w:vAlign w:val="center"/>
          </w:tcPr>
          <w:p>
            <w:pPr>
              <w:pStyle w:val="12"/>
              <w:spacing w:line="276" w:lineRule="auto"/>
              <w:rPr>
                <w:sz w:val="24"/>
              </w:rPr>
            </w:pPr>
            <w:r>
              <w:rPr>
                <w:sz w:val="24"/>
              </w:rPr>
              <w:t>除尘器电机采用隔声间全封闭，风机采用岩棉包扎、基础减振措施进行降噪，排放筒增设消声器。</w:t>
            </w:r>
          </w:p>
        </w:tc>
      </w:tr>
    </w:tbl>
    <w:p>
      <w:pPr>
        <w:pStyle w:val="5"/>
        <w:rPr>
          <w:rFonts w:ascii="Times New Roman" w:hAnsi="Times New Roman" w:cs="Times New Roman"/>
        </w:rPr>
      </w:pPr>
      <w:r>
        <w:rPr>
          <w:rFonts w:ascii="Times New Roman" w:hAnsi="Times New Roman" w:cs="Times New Roman"/>
        </w:rPr>
        <w:t>4.1.4 固体废物（危险废物）</w:t>
      </w:r>
    </w:p>
    <w:p>
      <w:pPr>
        <w:ind w:firstLine="560" w:firstLineChars="200"/>
        <w:rPr>
          <w:rFonts w:ascii="Times New Roman" w:hAnsi="Times New Roman" w:cs="Times New Roman"/>
        </w:rPr>
      </w:pPr>
      <w:r>
        <w:rPr>
          <w:rFonts w:ascii="Times New Roman" w:hAnsi="Times New Roman" w:cs="Times New Roman"/>
        </w:rPr>
        <w:t>本项目涉及一般固体废物主要为废耐火材料、危险废物为除尘器产生除尘灰、废润滑油及液压油。</w:t>
      </w:r>
    </w:p>
    <w:p>
      <w:pPr>
        <w:ind w:firstLine="560" w:firstLineChars="200"/>
        <w:rPr>
          <w:rFonts w:ascii="Times New Roman" w:hAnsi="Times New Roman" w:cs="Times New Roman"/>
        </w:rPr>
      </w:pPr>
      <w:r>
        <w:rPr>
          <w:rFonts w:ascii="Times New Roman" w:hAnsi="Times New Roman" w:cs="Times New Roman"/>
        </w:rPr>
        <w:t>（1）废耐火材料</w:t>
      </w:r>
    </w:p>
    <w:p>
      <w:pPr>
        <w:ind w:firstLine="560" w:firstLineChars="200"/>
        <w:rPr>
          <w:rFonts w:ascii="Times New Roman" w:hAnsi="Times New Roman" w:cs="Times New Roman"/>
        </w:rPr>
      </w:pPr>
      <w:r>
        <w:rPr>
          <w:rFonts w:ascii="Times New Roman" w:hAnsi="Times New Roman" w:cs="Times New Roman"/>
        </w:rPr>
        <w:t>技改后产生废耐火材料环节增加合金熔化炉炉衬更换，全厂其余工序产生废耐火材料量不变，因此技改后增加废耐火材料量为1460t/a，由太钢加工厂统一处理。</w:t>
      </w:r>
    </w:p>
    <w:p>
      <w:pPr>
        <w:ind w:firstLine="560" w:firstLineChars="200"/>
        <w:rPr>
          <w:rFonts w:ascii="Times New Roman" w:hAnsi="Times New Roman" w:cs="Times New Roman"/>
        </w:rPr>
      </w:pPr>
      <w:r>
        <w:rPr>
          <w:rFonts w:ascii="Times New Roman" w:hAnsi="Times New Roman" w:cs="Times New Roman"/>
        </w:rPr>
        <w:t>（2）除尘灰</w:t>
      </w:r>
    </w:p>
    <w:p>
      <w:pPr>
        <w:ind w:firstLine="560" w:firstLineChars="200"/>
        <w:rPr>
          <w:rFonts w:ascii="Times New Roman" w:hAnsi="Times New Roman" w:cs="Times New Roman"/>
        </w:rPr>
      </w:pPr>
      <w:r>
        <w:rPr>
          <w:rFonts w:ascii="Times New Roman" w:hAnsi="Times New Roman" w:cs="Times New Roman"/>
        </w:rPr>
        <w:t>本项目增加了合金熔化装置及配套设施产尘点，且电炉除尘器改造后排放浓度降低，除尘效率提高，因此除尘灰产生量增加。增加除尘灰产生量为376t/a，全部送太钢烧结车间回用。</w:t>
      </w:r>
    </w:p>
    <w:p>
      <w:pPr>
        <w:ind w:firstLine="560" w:firstLineChars="200"/>
        <w:rPr>
          <w:rFonts w:ascii="Times New Roman" w:hAnsi="Times New Roman" w:cs="Times New Roman"/>
        </w:rPr>
      </w:pPr>
      <w:r>
        <w:rPr>
          <w:rFonts w:ascii="Times New Roman" w:hAnsi="Times New Roman" w:cs="Times New Roman"/>
        </w:rPr>
        <w:t>（3）废润滑油及液压油</w:t>
      </w:r>
    </w:p>
    <w:p>
      <w:pPr>
        <w:ind w:firstLine="560" w:firstLineChars="200"/>
        <w:rPr>
          <w:rFonts w:ascii="Times New Roman" w:hAnsi="Times New Roman" w:cs="Times New Roman"/>
        </w:rPr>
      </w:pPr>
      <w:bookmarkStart w:id="26" w:name="_Hlk91171803"/>
      <w:r>
        <w:rPr>
          <w:rFonts w:ascii="Times New Roman" w:hAnsi="Times New Roman" w:cs="Times New Roman"/>
        </w:rPr>
        <w:t>本项目新增了合金熔化装置及配套设施，设备维修维护产生废液压油、废润滑油量有所增加，技改后增加废液压油、废润滑油产生量为1.5t/a</w:t>
      </w:r>
      <w:r>
        <w:rPr>
          <w:rFonts w:hint="eastAsia" w:ascii="Times New Roman" w:hAnsi="Times New Roman" w:cs="Times New Roman"/>
        </w:rPr>
        <w:t>，</w:t>
      </w:r>
      <w:r>
        <w:rPr>
          <w:rFonts w:ascii="Times New Roman" w:hAnsi="Times New Roman" w:cs="Times New Roman"/>
        </w:rPr>
        <w:t>由太钢加工厂统一收集处理。</w:t>
      </w:r>
    </w:p>
    <w:bookmarkEnd w:id="26"/>
    <w:p>
      <w:pPr>
        <w:pStyle w:val="4"/>
        <w:rPr>
          <w:rFonts w:ascii="Times New Roman" w:hAnsi="Times New Roman" w:cs="Times New Roman"/>
        </w:rPr>
      </w:pPr>
      <w:bookmarkStart w:id="27" w:name="_Toc15559"/>
      <w:r>
        <w:rPr>
          <w:rFonts w:ascii="Times New Roman" w:hAnsi="Times New Roman" w:cs="Times New Roman"/>
        </w:rPr>
        <w:t>4.2 其他环境保护设施</w:t>
      </w:r>
      <w:bookmarkEnd w:id="27"/>
    </w:p>
    <w:p>
      <w:pPr>
        <w:ind w:firstLine="560" w:firstLineChars="200"/>
        <w:rPr>
          <w:rFonts w:ascii="Times New Roman" w:hAnsi="Times New Roman" w:cs="Times New Roman"/>
        </w:rPr>
      </w:pPr>
      <w:r>
        <w:rPr>
          <w:rFonts w:ascii="Times New Roman" w:hAnsi="Times New Roman" w:cs="Times New Roman"/>
        </w:rPr>
        <w:t>本项目选址位于兰村泉域一级保护区范围，上料坑等区域进行严格防渗处理。具体防渗措施见下表。</w:t>
      </w:r>
    </w:p>
    <w:p>
      <w:pPr>
        <w:pStyle w:val="2"/>
        <w:ind w:firstLine="0" w:firstLineChars="0"/>
        <w:jc w:val="center"/>
        <w:rPr>
          <w:rFonts w:ascii="Times New Roman" w:hAnsi="Times New Roman" w:cs="Times New Roman"/>
        </w:rPr>
      </w:pPr>
      <w:r>
        <w:rPr>
          <w:rFonts w:ascii="Times New Roman" w:hAnsi="Times New Roman" w:cs="Times New Roman"/>
        </w:rPr>
        <w:t>表4-5  防渗措施一览表</w:t>
      </w:r>
    </w:p>
    <w:tbl>
      <w:tblPr>
        <w:tblStyle w:val="21"/>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239"/>
        <w:gridCol w:w="3970"/>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40" w:type="dxa"/>
            <w:vAlign w:val="center"/>
          </w:tcPr>
          <w:p>
            <w:pPr>
              <w:pStyle w:val="12"/>
              <w:spacing w:line="276" w:lineRule="auto"/>
              <w:rPr>
                <w:sz w:val="24"/>
              </w:rPr>
            </w:pPr>
            <w:bookmarkStart w:id="28" w:name="_Hlk91171451"/>
            <w:r>
              <w:rPr>
                <w:sz w:val="24"/>
              </w:rPr>
              <w:t>序号</w:t>
            </w:r>
          </w:p>
        </w:tc>
        <w:tc>
          <w:tcPr>
            <w:tcW w:w="1239" w:type="dxa"/>
            <w:vAlign w:val="center"/>
          </w:tcPr>
          <w:p>
            <w:pPr>
              <w:pStyle w:val="12"/>
              <w:spacing w:line="276" w:lineRule="auto"/>
              <w:rPr>
                <w:sz w:val="24"/>
              </w:rPr>
            </w:pPr>
            <w:r>
              <w:rPr>
                <w:sz w:val="24"/>
              </w:rPr>
              <w:t>防渗地点</w:t>
            </w:r>
          </w:p>
        </w:tc>
        <w:tc>
          <w:tcPr>
            <w:tcW w:w="3970" w:type="dxa"/>
            <w:vAlign w:val="top"/>
          </w:tcPr>
          <w:p>
            <w:pPr>
              <w:pStyle w:val="12"/>
              <w:spacing w:line="276" w:lineRule="auto"/>
              <w:rPr>
                <w:sz w:val="24"/>
              </w:rPr>
            </w:pPr>
            <w:r>
              <w:rPr>
                <w:sz w:val="24"/>
              </w:rPr>
              <w:t>环评要求防渗措施</w:t>
            </w:r>
          </w:p>
        </w:tc>
        <w:tc>
          <w:tcPr>
            <w:tcW w:w="4111" w:type="dxa"/>
            <w:vAlign w:val="center"/>
          </w:tcPr>
          <w:p>
            <w:pPr>
              <w:pStyle w:val="12"/>
              <w:spacing w:line="276" w:lineRule="auto"/>
              <w:rPr>
                <w:sz w:val="24"/>
              </w:rPr>
            </w:pPr>
            <w:r>
              <w:rPr>
                <w:sz w:val="24"/>
              </w:rPr>
              <w:t>实际防渗措施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40" w:type="dxa"/>
            <w:vAlign w:val="center"/>
          </w:tcPr>
          <w:p>
            <w:pPr>
              <w:pStyle w:val="12"/>
              <w:spacing w:line="276" w:lineRule="auto"/>
              <w:rPr>
                <w:sz w:val="24"/>
              </w:rPr>
            </w:pPr>
            <w:r>
              <w:rPr>
                <w:rFonts w:hint="eastAsia"/>
                <w:sz w:val="24"/>
              </w:rPr>
              <w:t>1</w:t>
            </w:r>
          </w:p>
        </w:tc>
        <w:tc>
          <w:tcPr>
            <w:tcW w:w="1239" w:type="dxa"/>
            <w:vAlign w:val="center"/>
          </w:tcPr>
          <w:p>
            <w:pPr>
              <w:pStyle w:val="12"/>
              <w:spacing w:line="276" w:lineRule="auto"/>
              <w:rPr>
                <w:sz w:val="24"/>
              </w:rPr>
            </w:pPr>
            <w:r>
              <w:rPr>
                <w:sz w:val="24"/>
              </w:rPr>
              <w:t>上料地坑</w:t>
            </w:r>
          </w:p>
        </w:tc>
        <w:tc>
          <w:tcPr>
            <w:tcW w:w="3970" w:type="dxa"/>
            <w:vAlign w:val="top"/>
          </w:tcPr>
          <w:p>
            <w:pPr>
              <w:pStyle w:val="12"/>
              <w:spacing w:line="276" w:lineRule="auto"/>
              <w:rPr>
                <w:sz w:val="24"/>
              </w:rPr>
            </w:pPr>
            <w:r>
              <w:rPr>
                <w:sz w:val="24"/>
              </w:rPr>
              <w:t>上料坑基础采用抗渗钢筋混凝土。混凝土的强度等级不低于C30，抗渗等级不低于P8，厚度不小于100mm。混凝土防渗层在墙、柱、基础交接处应设衔接缝，渗透系数不大于1.0×10</w:t>
            </w:r>
            <w:r>
              <w:rPr>
                <w:sz w:val="24"/>
                <w:vertAlign w:val="superscript"/>
              </w:rPr>
              <w:t>-10</w:t>
            </w:r>
            <w:r>
              <w:rPr>
                <w:sz w:val="24"/>
              </w:rPr>
              <w:t>cm/s。</w:t>
            </w:r>
          </w:p>
        </w:tc>
        <w:tc>
          <w:tcPr>
            <w:tcW w:w="4111" w:type="dxa"/>
            <w:vAlign w:val="center"/>
          </w:tcPr>
          <w:p>
            <w:pPr>
              <w:pStyle w:val="12"/>
              <w:spacing w:line="276" w:lineRule="auto"/>
              <w:rPr>
                <w:sz w:val="24"/>
              </w:rPr>
            </w:pPr>
            <w:r>
              <w:rPr>
                <w:sz w:val="24"/>
              </w:rPr>
              <w:t>上料坑基础采用抗渗钢筋混凝土。混凝土的强度等级</w:t>
            </w:r>
            <w:r>
              <w:rPr>
                <w:rFonts w:hint="eastAsia"/>
                <w:sz w:val="24"/>
              </w:rPr>
              <w:t>为</w:t>
            </w:r>
            <w:r>
              <w:rPr>
                <w:sz w:val="24"/>
              </w:rPr>
              <w:t>C30，抗渗等级</w:t>
            </w:r>
            <w:r>
              <w:rPr>
                <w:rFonts w:hint="eastAsia"/>
                <w:sz w:val="24"/>
              </w:rPr>
              <w:t>为</w:t>
            </w:r>
            <w:r>
              <w:rPr>
                <w:sz w:val="24"/>
              </w:rPr>
              <w:t>P8，厚度</w:t>
            </w:r>
            <w:r>
              <w:rPr>
                <w:rFonts w:hint="eastAsia"/>
                <w:sz w:val="24"/>
              </w:rPr>
              <w:t>为</w:t>
            </w:r>
            <w:r>
              <w:rPr>
                <w:sz w:val="24"/>
              </w:rPr>
              <w:t>100mm。混凝土防渗层在墙、柱、基础交接处设衔接缝，渗透系数不大于1.0×10</w:t>
            </w:r>
            <w:r>
              <w:rPr>
                <w:sz w:val="24"/>
                <w:vertAlign w:val="superscript"/>
              </w:rPr>
              <w:t>-10</w:t>
            </w:r>
            <w:r>
              <w:rPr>
                <w:sz w:val="24"/>
              </w:rPr>
              <w:t>cm/s。</w:t>
            </w:r>
          </w:p>
        </w:tc>
      </w:tr>
      <w:bookmarkEnd w:id="28"/>
    </w:tbl>
    <w:p>
      <w:pPr>
        <w:pStyle w:val="4"/>
        <w:rPr>
          <w:rFonts w:ascii="Times New Roman" w:hAnsi="Times New Roman" w:cs="Times New Roman"/>
        </w:rPr>
      </w:pPr>
      <w:bookmarkStart w:id="29" w:name="_Toc26984"/>
      <w:r>
        <w:rPr>
          <w:rFonts w:ascii="Times New Roman" w:hAnsi="Times New Roman" w:cs="Times New Roman"/>
        </w:rPr>
        <w:t>4.3 环保设施投资及“三同时”落实情况</w:t>
      </w:r>
      <w:bookmarkEnd w:id="29"/>
    </w:p>
    <w:p>
      <w:pPr>
        <w:ind w:firstLine="560" w:firstLineChars="200"/>
        <w:rPr>
          <w:rFonts w:ascii="Times New Roman" w:hAnsi="Times New Roman" w:cs="Times New Roman"/>
        </w:rPr>
        <w:sectPr>
          <w:pgSz w:w="11906" w:h="16838"/>
          <w:pgMar w:top="1440" w:right="1800" w:bottom="1440" w:left="1800" w:header="851" w:footer="992" w:gutter="0"/>
          <w:cols w:space="720" w:num="1"/>
          <w:docGrid w:type="lines" w:linePitch="312" w:charSpace="0"/>
        </w:sectPr>
      </w:pPr>
      <w:r>
        <w:rPr>
          <w:rFonts w:ascii="Times New Roman" w:hAnsi="Times New Roman" w:cs="Times New Roman"/>
        </w:rPr>
        <w:t>本项目备案总投资7833.86万元，其中环保投资4300万元，占总投资的54.9%；实际总投资9362.99万元，其中环保投资</w:t>
      </w:r>
      <w:r>
        <w:rPr>
          <w:rFonts w:hint="eastAsia" w:ascii="Times New Roman" w:hAnsi="Times New Roman" w:cs="Times New Roman"/>
        </w:rPr>
        <w:t>4750</w:t>
      </w:r>
      <w:r>
        <w:rPr>
          <w:rFonts w:ascii="Times New Roman" w:hAnsi="Times New Roman" w:cs="Times New Roman"/>
        </w:rPr>
        <w:t>万元，占总投资的</w:t>
      </w:r>
      <w:r>
        <w:rPr>
          <w:rFonts w:hint="eastAsia" w:ascii="Times New Roman" w:hAnsi="Times New Roman" w:cs="Times New Roman"/>
        </w:rPr>
        <w:t>50.7</w:t>
      </w:r>
      <w:r>
        <w:rPr>
          <w:rFonts w:ascii="Times New Roman" w:hAnsi="Times New Roman" w:cs="Times New Roman"/>
        </w:rPr>
        <w:t>%。废气、废水、噪声、固体废物等环保设施投资见下表。</w:t>
      </w:r>
    </w:p>
    <w:p>
      <w:pPr>
        <w:pStyle w:val="2"/>
        <w:ind w:firstLine="0" w:firstLineChars="0"/>
        <w:jc w:val="center"/>
        <w:rPr>
          <w:rFonts w:ascii="Times New Roman" w:hAnsi="Times New Roman" w:cs="Times New Roman"/>
        </w:rPr>
      </w:pPr>
      <w:r>
        <w:rPr>
          <w:rFonts w:ascii="Times New Roman" w:hAnsi="Times New Roman" w:cs="Times New Roman"/>
        </w:rPr>
        <w:t>表4-6  环保设施投资一览表</w:t>
      </w:r>
    </w:p>
    <w:tbl>
      <w:tblPr>
        <w:tblStyle w:val="21"/>
        <w:tblW w:w="141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309"/>
        <w:gridCol w:w="4819"/>
        <w:gridCol w:w="1217"/>
        <w:gridCol w:w="4819"/>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类别</w:t>
            </w:r>
          </w:p>
        </w:tc>
        <w:tc>
          <w:tcPr>
            <w:tcW w:w="130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污染源</w:t>
            </w:r>
          </w:p>
        </w:tc>
        <w:tc>
          <w:tcPr>
            <w:tcW w:w="481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环评环保措施</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估算环保投资</w:t>
            </w:r>
          </w:p>
        </w:tc>
        <w:tc>
          <w:tcPr>
            <w:tcW w:w="481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实际环保措施</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实际环保投资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废气</w:t>
            </w:r>
          </w:p>
        </w:tc>
        <w:tc>
          <w:tcPr>
            <w:tcW w:w="130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电炉</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电炉除尘器本体部分不做改造，仅更换滤袋，将现有500g涤纶针刺毡更换为550g超细纤维滤料；现有电炉除尘器新增过滤面积24715m</w:t>
            </w:r>
            <w:r>
              <w:rPr>
                <w:rFonts w:ascii="Times New Roman" w:hAnsi="Times New Roman" w:eastAsia="宋体" w:cs="Times New Roman"/>
                <w:vertAlign w:val="superscript"/>
              </w:rPr>
              <w:t>2</w:t>
            </w:r>
            <w:r>
              <w:rPr>
                <w:rFonts w:ascii="Times New Roman" w:hAnsi="Times New Roman" w:eastAsia="宋体" w:cs="Times New Roman"/>
              </w:rPr>
              <w:t>，采用160×7600超细纤维滤袋，单台风机处理风量75万m</w:t>
            </w:r>
            <w:r>
              <w:rPr>
                <w:rFonts w:ascii="Times New Roman" w:hAnsi="Times New Roman" w:eastAsia="宋体" w:cs="Times New Roman"/>
                <w:vertAlign w:val="superscript"/>
              </w:rPr>
              <w:t>3</w:t>
            </w:r>
            <w:r>
              <w:rPr>
                <w:rFonts w:ascii="Times New Roman" w:hAnsi="Times New Roman" w:eastAsia="宋体" w:cs="Times New Roman"/>
              </w:rPr>
              <w:t>/h，电炉及合金熔化装置废气合并后并入改造后除尘系统处理；</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1688</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更换2台除尘器滤袋，采用160×7600，550g超细纤维滤袋，新增过滤面积24715m</w:t>
            </w:r>
            <w:r>
              <w:rPr>
                <w:rFonts w:ascii="Times New Roman" w:hAnsi="Times New Roman" w:eastAsia="宋体" w:cs="Times New Roman"/>
                <w:vertAlign w:val="superscript"/>
              </w:rPr>
              <w:t>2</w:t>
            </w:r>
            <w:r>
              <w:rPr>
                <w:rFonts w:ascii="Times New Roman" w:hAnsi="Times New Roman" w:eastAsia="宋体" w:cs="Times New Roman"/>
              </w:rPr>
              <w:t>，改造后单台风机处理风量75万m</w:t>
            </w:r>
            <w:r>
              <w:rPr>
                <w:rFonts w:ascii="Times New Roman" w:hAnsi="Times New Roman" w:eastAsia="宋体" w:cs="Times New Roman"/>
                <w:vertAlign w:val="superscript"/>
              </w:rPr>
              <w:t>3</w:t>
            </w:r>
            <w:r>
              <w:rPr>
                <w:rFonts w:ascii="Times New Roman" w:hAnsi="Times New Roman" w:eastAsia="宋体" w:cs="Times New Roman"/>
              </w:rPr>
              <w:t>/h。电炉及合金熔化装置废气合并后并入改造后除尘系统处理，并经现有30m高排气筒排放。</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continue"/>
            <w:vAlign w:val="center"/>
          </w:tcPr>
          <w:p>
            <w:pPr>
              <w:pStyle w:val="10"/>
              <w:spacing w:line="276" w:lineRule="auto"/>
              <w:rPr>
                <w:rFonts w:ascii="Times New Roman" w:hAnsi="Times New Roman" w:eastAsia="宋体" w:cs="Times New Roman"/>
              </w:rPr>
            </w:pPr>
          </w:p>
        </w:tc>
        <w:tc>
          <w:tcPr>
            <w:tcW w:w="130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合金熔化装置</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汽车卸料地坑、料槽至1#皮带尾部、1#皮带-2#皮带落料点、2#皮带至中间料仓、称量斗、接料小车、合金熔化装置冶炼除尘、合金熔化装置出钢移动罩等产尘点均设置集气罩，集气后废气经管道输送与电炉废气合并输送至改造后电炉除尘系统处理，并经现有30m高排气筒排放</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130</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汽车卸料地坑、料槽至1#皮带尾部、1#皮带-2#皮带落料点、2#皮带至中间料仓、称量斗、接料小车、合金熔化装置冶炼除尘、合金熔化装置出钢移动罩等产尘点均设置集气罩，集气后废气经管道输送与电炉废气合并输送至改造后除尘系统处理，并经现有30m高排气筒排放。</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废水</w:t>
            </w:r>
          </w:p>
        </w:tc>
        <w:tc>
          <w:tcPr>
            <w:tcW w:w="130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设备循环冷却系统排水</w:t>
            </w:r>
          </w:p>
        </w:tc>
        <w:tc>
          <w:tcPr>
            <w:tcW w:w="481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回用于炼钢一厂浊循环系统</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w:t>
            </w:r>
          </w:p>
        </w:tc>
        <w:tc>
          <w:tcPr>
            <w:tcW w:w="481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回用于炼钢一厂浊循环系统</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噪声</w:t>
            </w:r>
          </w:p>
        </w:tc>
        <w:tc>
          <w:tcPr>
            <w:tcW w:w="130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合金熔化装置</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合金熔化装置本体通过设置独立的装置本体平台、下部全封闭室、磁轭共振处理、设置盖板及排烟罩、增设旋转式降噪吸风盖等多项消音处理，根据设备厂家提供噪声情况说明，设备平台半密闭罩外1m处的声源强度小于70dB(A)，并在新建车间内墙及屋顶设置镀锌钢板+岩棉隔音层，新建车间不设门窗。类比一钢厂料场封闭后车间噪声隔声量为23分贝。</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2060</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合金熔化装置本体设置独立的装置本体平台、下部全封闭室、磁轭共振处理、设置盖板及排烟罩、增设旋转式降噪吸风盖等，并在新建车间内墙及屋顶设置镀锌钢板+岩棉隔音层。</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continue"/>
            <w:vAlign w:val="center"/>
          </w:tcPr>
          <w:p>
            <w:pPr>
              <w:pStyle w:val="10"/>
              <w:spacing w:line="276" w:lineRule="auto"/>
              <w:rPr>
                <w:rFonts w:ascii="Times New Roman" w:hAnsi="Times New Roman" w:eastAsia="宋体" w:cs="Times New Roman"/>
              </w:rPr>
            </w:pPr>
          </w:p>
        </w:tc>
        <w:tc>
          <w:tcPr>
            <w:tcW w:w="130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风机</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基础减震、排气烟囱安装消声器；风机及室外除尘管道设置隔声包裹；增设风机隔音房，隔音墙体材质：岩棉+彩钢板；风机隔音房建设面积为2×50m</w:t>
            </w:r>
            <w:r>
              <w:rPr>
                <w:rFonts w:ascii="Times New Roman" w:hAnsi="Times New Roman" w:eastAsia="宋体" w:cs="Times New Roman"/>
                <w:vertAlign w:val="superscript"/>
              </w:rPr>
              <w:t>2</w:t>
            </w:r>
            <w:r>
              <w:rPr>
                <w:rFonts w:ascii="Times New Roman" w:hAnsi="Times New Roman" w:eastAsia="宋体" w:cs="Times New Roman"/>
              </w:rPr>
              <w:t>，不设窗户。类比一钢厂料场封闭后车间噪声隔声量为23分贝。</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112</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风机采用岩棉包扎、基础减振措施进行降噪。除尘器电机采用隔声间全封闭，隔音墙体材质：内侧冲孔板+100mm厚岩棉+单层压型钢板；电机隔音房建设面积为2×20m2。排放筒增设消声器。</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continue"/>
            <w:vAlign w:val="center"/>
          </w:tcPr>
          <w:p>
            <w:pPr>
              <w:pStyle w:val="10"/>
              <w:spacing w:line="276" w:lineRule="auto"/>
              <w:rPr>
                <w:rFonts w:ascii="Times New Roman" w:hAnsi="Times New Roman" w:eastAsia="宋体" w:cs="Times New Roman"/>
              </w:rPr>
            </w:pPr>
          </w:p>
        </w:tc>
        <w:tc>
          <w:tcPr>
            <w:tcW w:w="130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新建厂房隔声</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新建车间墙体及屋顶采用矿棉板进行降噪封闭处理，新建车间内墙设复合隔音保温墙面，外侧0.6mm厚单层压型钢板，材质为镀铝锌板，中间130厚岩棉（A级燃烧性能)+钢丝网，钢丝网规格选用3.6#*40*40；内侧0.6厚冲孔压型钢板）；复合隔音保温屋面顶板0.8厚单层压型钢板，材质为镀铝锌版，中间Z100*40*20*2.5镀锌檩条+100mm厚岩棉，容重大于16kg；底板0.8厚楼承板，延长车间长为42m、跨度48m，新建车间不设门窗。类比一钢厂料场封闭后车间噪声隔声量为23分贝。</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225</w:t>
            </w:r>
          </w:p>
        </w:tc>
        <w:tc>
          <w:tcPr>
            <w:tcW w:w="4819" w:type="dxa"/>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延长车间长为42m、跨度48m，墙体及屋顶采用矿棉板进行降噪封闭处理。</w:t>
            </w:r>
          </w:p>
          <w:p>
            <w:pPr>
              <w:pStyle w:val="10"/>
              <w:spacing w:line="276" w:lineRule="auto"/>
              <w:jc w:val="both"/>
              <w:rPr>
                <w:rFonts w:ascii="Times New Roman" w:hAnsi="Times New Roman" w:eastAsia="宋体" w:cs="Times New Roman"/>
              </w:rPr>
            </w:pPr>
            <w:r>
              <w:rPr>
                <w:rFonts w:ascii="Times New Roman" w:hAnsi="Times New Roman" w:eastAsia="宋体" w:cs="Times New Roman"/>
              </w:rPr>
              <w:t>复合隔音保温墙面：外侧0.6mm厚单层压型钢板，材质为镀铝锌板，中间130厚岩棉（A级燃烧性能)+钢丝网，钢丝网规格选用3.6#*40*40；内侧0.6厚冲孔压型钢板。</w:t>
            </w:r>
          </w:p>
          <w:p>
            <w:pPr>
              <w:pStyle w:val="10"/>
              <w:spacing w:line="276" w:lineRule="auto"/>
              <w:jc w:val="both"/>
              <w:rPr>
                <w:rFonts w:ascii="Times New Roman" w:hAnsi="Times New Roman" w:eastAsia="宋体" w:cs="Times New Roman"/>
              </w:rPr>
            </w:pPr>
            <w:r>
              <w:rPr>
                <w:rFonts w:ascii="Times New Roman" w:hAnsi="Times New Roman" w:eastAsia="宋体" w:cs="Times New Roman"/>
              </w:rPr>
              <w:t>复合隔音保温屋面：顶板0.8厚单层压型钢板，材质为镀铝锌版，中间Z100*40*20*2.5镀锌檩条+100mm厚岩棉，容重大于16kg，底板0.8厚楼承板。</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固废（危险废物）</w:t>
            </w:r>
          </w:p>
        </w:tc>
        <w:tc>
          <w:tcPr>
            <w:tcW w:w="13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除尘器除尘灰</w:t>
            </w:r>
            <w:r>
              <w:rPr>
                <w:rFonts w:ascii="Times New Roman" w:hAnsi="Times New Roman" w:cs="Times New Roman"/>
              </w:rPr>
              <w:t>（危险废物）</w:t>
            </w:r>
          </w:p>
        </w:tc>
        <w:tc>
          <w:tcPr>
            <w:tcW w:w="481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送太钢烧结车间回用</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w:t>
            </w:r>
          </w:p>
        </w:tc>
        <w:tc>
          <w:tcPr>
            <w:tcW w:w="4819"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送太钢烧结车间回用</w:t>
            </w:r>
          </w:p>
        </w:tc>
        <w:tc>
          <w:tcPr>
            <w:tcW w:w="1217" w:type="dxa"/>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continue"/>
            <w:vAlign w:val="center"/>
          </w:tcPr>
          <w:p>
            <w:pPr>
              <w:pStyle w:val="10"/>
              <w:spacing w:line="276" w:lineRule="auto"/>
              <w:rPr>
                <w:rFonts w:ascii="Times New Roman" w:hAnsi="Times New Roman" w:eastAsia="宋体" w:cs="Times New Roman"/>
              </w:rPr>
            </w:pPr>
          </w:p>
        </w:tc>
        <w:tc>
          <w:tcPr>
            <w:tcW w:w="1309" w:type="dxa"/>
            <w:vAlign w:val="center"/>
          </w:tcPr>
          <w:p>
            <w:pPr>
              <w:pStyle w:val="12"/>
              <w:spacing w:line="276" w:lineRule="auto"/>
              <w:rPr>
                <w:sz w:val="24"/>
              </w:rPr>
            </w:pPr>
            <w:r>
              <w:rPr>
                <w:sz w:val="24"/>
              </w:rPr>
              <w:t>废耐火材料</w:t>
            </w:r>
          </w:p>
        </w:tc>
        <w:tc>
          <w:tcPr>
            <w:tcW w:w="4819" w:type="dxa"/>
            <w:vAlign w:val="center"/>
          </w:tcPr>
          <w:p>
            <w:pPr>
              <w:pStyle w:val="7"/>
              <w:spacing w:line="276" w:lineRule="auto"/>
              <w:rPr>
                <w:sz w:val="24"/>
                <w:szCs w:val="24"/>
              </w:rPr>
            </w:pPr>
            <w:r>
              <w:rPr>
                <w:sz w:val="24"/>
                <w:szCs w:val="24"/>
              </w:rPr>
              <w:t>由太钢加工厂统一处理</w:t>
            </w:r>
          </w:p>
        </w:tc>
        <w:tc>
          <w:tcPr>
            <w:tcW w:w="1217" w:type="dxa"/>
            <w:vAlign w:val="center"/>
          </w:tcPr>
          <w:p>
            <w:pPr>
              <w:pStyle w:val="7"/>
              <w:spacing w:line="276" w:lineRule="auto"/>
              <w:rPr>
                <w:sz w:val="24"/>
                <w:szCs w:val="24"/>
              </w:rPr>
            </w:pPr>
            <w:r>
              <w:rPr>
                <w:sz w:val="24"/>
                <w:szCs w:val="24"/>
              </w:rPr>
              <w:t>--</w:t>
            </w:r>
          </w:p>
        </w:tc>
        <w:tc>
          <w:tcPr>
            <w:tcW w:w="4819" w:type="dxa"/>
            <w:vAlign w:val="center"/>
          </w:tcPr>
          <w:p>
            <w:pPr>
              <w:pStyle w:val="7"/>
              <w:spacing w:line="276" w:lineRule="auto"/>
              <w:rPr>
                <w:sz w:val="24"/>
                <w:szCs w:val="24"/>
              </w:rPr>
            </w:pPr>
            <w:r>
              <w:rPr>
                <w:sz w:val="24"/>
                <w:szCs w:val="24"/>
              </w:rPr>
              <w:t>由太钢加工厂统一处理</w:t>
            </w:r>
          </w:p>
        </w:tc>
        <w:tc>
          <w:tcPr>
            <w:tcW w:w="1217" w:type="dxa"/>
            <w:vAlign w:val="center"/>
          </w:tcPr>
          <w:p>
            <w:pPr>
              <w:pStyle w:val="7"/>
              <w:spacing w:line="276" w:lineRule="auto"/>
              <w:rPr>
                <w:sz w:val="24"/>
                <w:szCs w:val="24"/>
              </w:rPr>
            </w:pP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continue"/>
            <w:vAlign w:val="center"/>
          </w:tcPr>
          <w:p>
            <w:pPr>
              <w:pStyle w:val="10"/>
              <w:spacing w:line="276" w:lineRule="auto"/>
              <w:rPr>
                <w:rFonts w:ascii="Times New Roman" w:hAnsi="Times New Roman" w:eastAsia="宋体" w:cs="Times New Roman"/>
              </w:rPr>
            </w:pPr>
          </w:p>
        </w:tc>
        <w:tc>
          <w:tcPr>
            <w:tcW w:w="1309" w:type="dxa"/>
            <w:vAlign w:val="center"/>
          </w:tcPr>
          <w:p>
            <w:pPr>
              <w:pStyle w:val="12"/>
              <w:spacing w:line="276" w:lineRule="auto"/>
              <w:rPr>
                <w:sz w:val="24"/>
              </w:rPr>
            </w:pPr>
            <w:r>
              <w:rPr>
                <w:sz w:val="24"/>
              </w:rPr>
              <w:t>废液压油、润滑剂</w:t>
            </w:r>
            <w:r>
              <w:t>（危险废物）</w:t>
            </w:r>
          </w:p>
        </w:tc>
        <w:tc>
          <w:tcPr>
            <w:tcW w:w="4819" w:type="dxa"/>
            <w:vAlign w:val="center"/>
          </w:tcPr>
          <w:p>
            <w:pPr>
              <w:pStyle w:val="7"/>
              <w:spacing w:line="276" w:lineRule="auto"/>
              <w:rPr>
                <w:sz w:val="24"/>
                <w:szCs w:val="24"/>
              </w:rPr>
            </w:pPr>
            <w:r>
              <w:rPr>
                <w:sz w:val="24"/>
                <w:szCs w:val="24"/>
              </w:rPr>
              <w:t>由太钢加工厂统一处理</w:t>
            </w:r>
          </w:p>
        </w:tc>
        <w:tc>
          <w:tcPr>
            <w:tcW w:w="1217" w:type="dxa"/>
            <w:vAlign w:val="center"/>
          </w:tcPr>
          <w:p>
            <w:pPr>
              <w:pStyle w:val="7"/>
              <w:spacing w:line="276" w:lineRule="auto"/>
              <w:rPr>
                <w:sz w:val="24"/>
                <w:szCs w:val="24"/>
              </w:rPr>
            </w:pPr>
            <w:r>
              <w:rPr>
                <w:sz w:val="24"/>
                <w:szCs w:val="24"/>
              </w:rPr>
              <w:t>--</w:t>
            </w:r>
          </w:p>
        </w:tc>
        <w:tc>
          <w:tcPr>
            <w:tcW w:w="4819" w:type="dxa"/>
            <w:vAlign w:val="center"/>
          </w:tcPr>
          <w:p>
            <w:pPr>
              <w:pStyle w:val="7"/>
              <w:spacing w:line="276" w:lineRule="auto"/>
              <w:rPr>
                <w:sz w:val="24"/>
                <w:szCs w:val="24"/>
              </w:rPr>
            </w:pPr>
            <w:r>
              <w:rPr>
                <w:sz w:val="24"/>
                <w:szCs w:val="24"/>
              </w:rPr>
              <w:t>由太钢加工厂统一处理</w:t>
            </w:r>
          </w:p>
        </w:tc>
        <w:tc>
          <w:tcPr>
            <w:tcW w:w="1217" w:type="dxa"/>
            <w:vAlign w:val="center"/>
          </w:tcPr>
          <w:p>
            <w:pPr>
              <w:pStyle w:val="7"/>
              <w:spacing w:line="276" w:lineRule="auto"/>
              <w:rPr>
                <w:sz w:val="24"/>
                <w:szCs w:val="24"/>
              </w:rPr>
            </w:pP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restart"/>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地下水</w:t>
            </w:r>
          </w:p>
        </w:tc>
        <w:tc>
          <w:tcPr>
            <w:tcW w:w="1309" w:type="dxa"/>
            <w:vAlign w:val="center"/>
          </w:tcPr>
          <w:p>
            <w:pPr>
              <w:pStyle w:val="12"/>
              <w:spacing w:line="276" w:lineRule="auto"/>
              <w:rPr>
                <w:sz w:val="24"/>
                <w:highlight w:val="yellow"/>
              </w:rPr>
            </w:pPr>
            <w:r>
              <w:rPr>
                <w:sz w:val="24"/>
              </w:rPr>
              <w:t>危废暂存间</w:t>
            </w:r>
          </w:p>
        </w:tc>
        <w:tc>
          <w:tcPr>
            <w:tcW w:w="4819" w:type="dxa"/>
            <w:vAlign w:val="center"/>
          </w:tcPr>
          <w:p>
            <w:pPr>
              <w:pStyle w:val="7"/>
              <w:spacing w:line="276" w:lineRule="auto"/>
              <w:jc w:val="both"/>
              <w:rPr>
                <w:sz w:val="24"/>
                <w:szCs w:val="24"/>
                <w:highlight w:val="yellow"/>
              </w:rPr>
            </w:pPr>
            <w:r>
              <w:rPr>
                <w:sz w:val="24"/>
                <w:szCs w:val="24"/>
              </w:rPr>
              <w:t>暂存区地面必须进行防渗，防渗层为至少1m厚黏土层（渗透系数≤10</w:t>
            </w:r>
            <w:r>
              <w:rPr>
                <w:sz w:val="24"/>
                <w:szCs w:val="24"/>
                <w:vertAlign w:val="superscript"/>
              </w:rPr>
              <w:t>-7</w:t>
            </w:r>
            <w:r>
              <w:rPr>
                <w:sz w:val="24"/>
                <w:szCs w:val="24"/>
              </w:rPr>
              <w:t>cm/s）或2mm厚的其他人工材料，渗透系数≤10</w:t>
            </w:r>
            <w:r>
              <w:rPr>
                <w:sz w:val="24"/>
                <w:szCs w:val="24"/>
                <w:vertAlign w:val="superscript"/>
              </w:rPr>
              <w:t>-10</w:t>
            </w:r>
            <w:r>
              <w:rPr>
                <w:sz w:val="24"/>
                <w:szCs w:val="24"/>
              </w:rPr>
              <w:t>cm/s。</w:t>
            </w:r>
          </w:p>
        </w:tc>
        <w:tc>
          <w:tcPr>
            <w:tcW w:w="1217" w:type="dxa"/>
            <w:vAlign w:val="center"/>
          </w:tcPr>
          <w:p>
            <w:pPr>
              <w:pStyle w:val="7"/>
              <w:spacing w:line="276" w:lineRule="auto"/>
              <w:rPr>
                <w:sz w:val="24"/>
                <w:szCs w:val="24"/>
                <w:highlight w:val="yellow"/>
              </w:rPr>
            </w:pPr>
            <w:r>
              <w:rPr>
                <w:sz w:val="24"/>
                <w:szCs w:val="24"/>
              </w:rPr>
              <w:t>20</w:t>
            </w:r>
          </w:p>
        </w:tc>
        <w:tc>
          <w:tcPr>
            <w:tcW w:w="4819" w:type="dxa"/>
            <w:vAlign w:val="center"/>
          </w:tcPr>
          <w:p>
            <w:pPr>
              <w:pStyle w:val="7"/>
              <w:spacing w:line="276" w:lineRule="auto"/>
              <w:rPr>
                <w:sz w:val="24"/>
                <w:szCs w:val="24"/>
              </w:rPr>
            </w:pPr>
            <w:r>
              <w:rPr>
                <w:rFonts w:hint="eastAsia"/>
                <w:sz w:val="24"/>
                <w:szCs w:val="24"/>
              </w:rPr>
              <w:t>--</w:t>
            </w:r>
          </w:p>
        </w:tc>
        <w:tc>
          <w:tcPr>
            <w:tcW w:w="1217" w:type="dxa"/>
            <w:vAlign w:val="center"/>
          </w:tcPr>
          <w:p>
            <w:pPr>
              <w:pStyle w:val="7"/>
              <w:spacing w:line="276" w:lineRule="auto"/>
              <w:rPr>
                <w:sz w:val="24"/>
                <w:szCs w:val="24"/>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 w:type="dxa"/>
            <w:vMerge w:val="continue"/>
            <w:vAlign w:val="center"/>
          </w:tcPr>
          <w:p>
            <w:pPr>
              <w:pStyle w:val="10"/>
              <w:spacing w:line="276" w:lineRule="auto"/>
              <w:rPr>
                <w:rFonts w:ascii="Times New Roman" w:hAnsi="Times New Roman" w:eastAsia="宋体" w:cs="Times New Roman"/>
              </w:rPr>
            </w:pPr>
          </w:p>
        </w:tc>
        <w:tc>
          <w:tcPr>
            <w:tcW w:w="1309" w:type="dxa"/>
            <w:vAlign w:val="center"/>
          </w:tcPr>
          <w:p>
            <w:pPr>
              <w:pStyle w:val="12"/>
              <w:spacing w:line="276" w:lineRule="auto"/>
              <w:rPr>
                <w:sz w:val="24"/>
              </w:rPr>
            </w:pPr>
            <w:r>
              <w:rPr>
                <w:sz w:val="24"/>
              </w:rPr>
              <w:t>上料地坑</w:t>
            </w:r>
          </w:p>
        </w:tc>
        <w:tc>
          <w:tcPr>
            <w:tcW w:w="4819" w:type="dxa"/>
            <w:vAlign w:val="center"/>
          </w:tcPr>
          <w:p>
            <w:pPr>
              <w:pStyle w:val="7"/>
              <w:spacing w:line="276" w:lineRule="auto"/>
              <w:jc w:val="both"/>
              <w:rPr>
                <w:sz w:val="24"/>
                <w:szCs w:val="24"/>
              </w:rPr>
            </w:pPr>
            <w:r>
              <w:rPr>
                <w:sz w:val="24"/>
                <w:szCs w:val="24"/>
              </w:rPr>
              <w:t>上料坑基础采用抗渗钢筋混凝土。混凝土的强度等级不应低于C30，抗渗等级不应低于P8，厚度不应小于100mm。混凝土防渗层在墙、柱、基础交接处应设衔接缝，渗透系数不大于1.0×10</w:t>
            </w:r>
            <w:r>
              <w:rPr>
                <w:sz w:val="24"/>
                <w:szCs w:val="24"/>
                <w:vertAlign w:val="superscript"/>
              </w:rPr>
              <w:t>-10</w:t>
            </w:r>
            <w:r>
              <w:rPr>
                <w:sz w:val="24"/>
                <w:szCs w:val="24"/>
              </w:rPr>
              <w:t>cm/s</w:t>
            </w:r>
          </w:p>
        </w:tc>
        <w:tc>
          <w:tcPr>
            <w:tcW w:w="1217" w:type="dxa"/>
            <w:vAlign w:val="center"/>
          </w:tcPr>
          <w:p>
            <w:pPr>
              <w:pStyle w:val="7"/>
              <w:spacing w:line="276" w:lineRule="auto"/>
              <w:rPr>
                <w:sz w:val="24"/>
                <w:szCs w:val="24"/>
              </w:rPr>
            </w:pPr>
            <w:r>
              <w:rPr>
                <w:sz w:val="24"/>
                <w:szCs w:val="24"/>
              </w:rPr>
              <w:t>25</w:t>
            </w:r>
          </w:p>
        </w:tc>
        <w:tc>
          <w:tcPr>
            <w:tcW w:w="4819" w:type="dxa"/>
            <w:vAlign w:val="center"/>
          </w:tcPr>
          <w:p>
            <w:pPr>
              <w:pStyle w:val="7"/>
              <w:spacing w:line="276" w:lineRule="auto"/>
              <w:jc w:val="both"/>
              <w:rPr>
                <w:sz w:val="24"/>
                <w:szCs w:val="24"/>
                <w:highlight w:val="yellow"/>
              </w:rPr>
            </w:pPr>
            <w:r>
              <w:rPr>
                <w:sz w:val="24"/>
                <w:szCs w:val="24"/>
              </w:rPr>
              <w:t>上料坑基础采用抗渗钢筋混凝土。混凝土的强度等级为C30，抗渗等级设P8，厚度为100mm。混凝土防渗层在墙、柱、基础交接处设衔接缝，渗透系数不大于1.0×10</w:t>
            </w:r>
            <w:r>
              <w:rPr>
                <w:sz w:val="24"/>
                <w:szCs w:val="24"/>
                <w:vertAlign w:val="superscript"/>
              </w:rPr>
              <w:t>-10</w:t>
            </w:r>
            <w:r>
              <w:rPr>
                <w:sz w:val="24"/>
                <w:szCs w:val="24"/>
              </w:rPr>
              <w:t>cm/s</w:t>
            </w:r>
          </w:p>
        </w:tc>
        <w:tc>
          <w:tcPr>
            <w:tcW w:w="1217" w:type="dxa"/>
            <w:vAlign w:val="center"/>
          </w:tcPr>
          <w:p>
            <w:pPr>
              <w:pStyle w:val="7"/>
              <w:spacing w:line="276" w:lineRule="auto"/>
              <w:rPr>
                <w:sz w:val="24"/>
                <w:szCs w:val="24"/>
              </w:rPr>
            </w:pPr>
            <w:r>
              <w:rPr>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89" w:type="dxa"/>
            <w:gridSpan w:val="2"/>
            <w:vAlign w:val="center"/>
          </w:tcPr>
          <w:p>
            <w:pPr>
              <w:pStyle w:val="12"/>
              <w:spacing w:line="276" w:lineRule="auto"/>
              <w:rPr>
                <w:sz w:val="24"/>
              </w:rPr>
            </w:pPr>
            <w:r>
              <w:rPr>
                <w:sz w:val="24"/>
              </w:rPr>
              <w:t>合计</w:t>
            </w:r>
          </w:p>
        </w:tc>
        <w:tc>
          <w:tcPr>
            <w:tcW w:w="4819" w:type="dxa"/>
            <w:vAlign w:val="center"/>
          </w:tcPr>
          <w:p>
            <w:pPr>
              <w:pStyle w:val="7"/>
              <w:spacing w:line="276" w:lineRule="auto"/>
              <w:rPr>
                <w:sz w:val="24"/>
                <w:szCs w:val="24"/>
              </w:rPr>
            </w:pPr>
          </w:p>
        </w:tc>
        <w:tc>
          <w:tcPr>
            <w:tcW w:w="1217" w:type="dxa"/>
            <w:vAlign w:val="center"/>
          </w:tcPr>
          <w:p>
            <w:pPr>
              <w:pStyle w:val="7"/>
              <w:spacing w:line="276" w:lineRule="auto"/>
              <w:rPr>
                <w:sz w:val="24"/>
                <w:szCs w:val="24"/>
              </w:rPr>
            </w:pPr>
            <w:r>
              <w:rPr>
                <w:sz w:val="24"/>
                <w:szCs w:val="24"/>
              </w:rPr>
              <w:t>4300</w:t>
            </w:r>
          </w:p>
        </w:tc>
        <w:tc>
          <w:tcPr>
            <w:tcW w:w="4819" w:type="dxa"/>
            <w:vAlign w:val="center"/>
          </w:tcPr>
          <w:p>
            <w:pPr>
              <w:pStyle w:val="7"/>
              <w:spacing w:line="276" w:lineRule="auto"/>
              <w:rPr>
                <w:sz w:val="24"/>
                <w:szCs w:val="24"/>
              </w:rPr>
            </w:pPr>
          </w:p>
        </w:tc>
        <w:tc>
          <w:tcPr>
            <w:tcW w:w="1217" w:type="dxa"/>
            <w:vAlign w:val="center"/>
          </w:tcPr>
          <w:p>
            <w:pPr>
              <w:pStyle w:val="7"/>
              <w:spacing w:line="276" w:lineRule="auto"/>
              <w:rPr>
                <w:sz w:val="24"/>
                <w:szCs w:val="24"/>
              </w:rPr>
            </w:pPr>
            <w:r>
              <w:rPr>
                <w:rFonts w:hint="eastAsia"/>
                <w:sz w:val="24"/>
                <w:szCs w:val="24"/>
              </w:rPr>
              <w:t>4750</w:t>
            </w:r>
          </w:p>
        </w:tc>
      </w:tr>
    </w:tbl>
    <w:p>
      <w:pPr>
        <w:ind w:firstLine="560" w:firstLineChars="200"/>
        <w:rPr>
          <w:rFonts w:ascii="Times New Roman" w:hAnsi="Times New Roman" w:cs="Times New Roman"/>
        </w:rPr>
      </w:pPr>
      <w:r>
        <w:rPr>
          <w:rFonts w:ascii="Times New Roman" w:hAnsi="Times New Roman" w:cs="Times New Roman"/>
        </w:rPr>
        <w:t>本项目环保设施设计单位为山西太钢工程技术有限公司，施工单位为山西钢铁建设（集团）有限公司、山西钢联冶金建设有限公司、无锡市东方环境工程设计研究所有限公司。本项目环保设施与主体工程同时设计、同时施工、同时投入生产和使用。项目环保设施环评、初步设计、实际建设情况见下表。</w:t>
      </w:r>
    </w:p>
    <w:p>
      <w:pPr>
        <w:pStyle w:val="2"/>
        <w:ind w:firstLine="0" w:firstLineChars="0"/>
        <w:jc w:val="center"/>
        <w:rPr>
          <w:rFonts w:ascii="Times New Roman" w:hAnsi="Times New Roman" w:cs="Times New Roman"/>
        </w:rPr>
      </w:pPr>
      <w:r>
        <w:rPr>
          <w:rFonts w:ascii="Times New Roman" w:hAnsi="Times New Roman" w:cs="Times New Roman"/>
        </w:rPr>
        <w:t>表4-7  环保设施建设情况一览表</w:t>
      </w:r>
    </w:p>
    <w:tbl>
      <w:tblPr>
        <w:tblStyle w:val="21"/>
        <w:tblW w:w="148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
      <w:tblGrid>
        <w:gridCol w:w="1912"/>
        <w:gridCol w:w="1235"/>
        <w:gridCol w:w="3402"/>
        <w:gridCol w:w="3402"/>
        <w:gridCol w:w="3402"/>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3147" w:type="dxa"/>
            <w:gridSpan w:val="2"/>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环保设施类别</w:t>
            </w:r>
          </w:p>
        </w:tc>
        <w:tc>
          <w:tcPr>
            <w:tcW w:w="3402" w:type="dxa"/>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环评建设情况</w:t>
            </w:r>
          </w:p>
        </w:tc>
        <w:tc>
          <w:tcPr>
            <w:tcW w:w="3402" w:type="dxa"/>
            <w:tcBorders>
              <w:tl2br w:val="nil"/>
              <w:tr2bl w:val="nil"/>
            </w:tcBorders>
            <w:vAlign w:val="center"/>
          </w:tcPr>
          <w:p>
            <w:pPr>
              <w:pStyle w:val="12"/>
              <w:spacing w:line="276" w:lineRule="auto"/>
              <w:rPr>
                <w:sz w:val="24"/>
              </w:rPr>
            </w:pPr>
            <w:r>
              <w:rPr>
                <w:sz w:val="24"/>
              </w:rPr>
              <w:t>初步设计建设情况</w:t>
            </w:r>
          </w:p>
        </w:tc>
        <w:tc>
          <w:tcPr>
            <w:tcW w:w="3402" w:type="dxa"/>
            <w:tcBorders>
              <w:tl2br w:val="nil"/>
              <w:tr2bl w:val="nil"/>
            </w:tcBorders>
            <w:vAlign w:val="center"/>
          </w:tcPr>
          <w:p>
            <w:pPr>
              <w:pStyle w:val="12"/>
              <w:spacing w:line="276" w:lineRule="auto"/>
              <w:rPr>
                <w:sz w:val="24"/>
              </w:rPr>
            </w:pPr>
            <w:r>
              <w:rPr>
                <w:sz w:val="24"/>
              </w:rPr>
              <w:t>实际建设情况</w:t>
            </w:r>
          </w:p>
        </w:tc>
        <w:tc>
          <w:tcPr>
            <w:tcW w:w="1474" w:type="dxa"/>
            <w:tcBorders>
              <w:tl2br w:val="nil"/>
              <w:tr2bl w:val="nil"/>
            </w:tcBorders>
            <w:vAlign w:val="center"/>
          </w:tcPr>
          <w:p>
            <w:pPr>
              <w:pStyle w:val="12"/>
              <w:spacing w:line="276" w:lineRule="auto"/>
              <w:rPr>
                <w:sz w:val="24"/>
              </w:rPr>
            </w:pPr>
            <w:r>
              <w:rPr>
                <w:sz w:val="24"/>
              </w:rPr>
              <w:t>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1912" w:type="dxa"/>
            <w:tcBorders>
              <w:tl2br w:val="nil"/>
              <w:tr2bl w:val="nil"/>
            </w:tcBorders>
            <w:vAlign w:val="center"/>
          </w:tcPr>
          <w:p>
            <w:pPr>
              <w:pStyle w:val="12"/>
              <w:spacing w:line="276" w:lineRule="auto"/>
              <w:rPr>
                <w:sz w:val="24"/>
              </w:rPr>
            </w:pPr>
            <w:r>
              <w:rPr>
                <w:sz w:val="24"/>
              </w:rPr>
              <w:t>大气污染物治理设施</w:t>
            </w:r>
          </w:p>
        </w:tc>
        <w:tc>
          <w:tcPr>
            <w:tcW w:w="1235" w:type="dxa"/>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合金熔化装置</w:t>
            </w:r>
          </w:p>
        </w:tc>
        <w:tc>
          <w:tcPr>
            <w:tcW w:w="3402"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汽车卸料地坑、料槽至1#皮带尾部、1#皮带-2#皮带落料点、2#皮带至中间料仓、称量斗、接料小车、合金熔化装置冶炼除尘、合金熔化装置出钢移动罩等产尘点均设置集气罩，集气后废气经管道输送与电炉烟气合并送至技改后除尘系统处理，并经现有2根30m高排气筒排放。</w:t>
            </w:r>
          </w:p>
        </w:tc>
        <w:tc>
          <w:tcPr>
            <w:tcW w:w="3402" w:type="dxa"/>
            <w:tcBorders>
              <w:tl2br w:val="nil"/>
              <w:tr2bl w:val="nil"/>
            </w:tcBorders>
            <w:vAlign w:val="center"/>
          </w:tcPr>
          <w:p>
            <w:pPr>
              <w:pStyle w:val="12"/>
              <w:spacing w:line="276" w:lineRule="auto"/>
              <w:jc w:val="both"/>
              <w:rPr>
                <w:sz w:val="24"/>
              </w:rPr>
            </w:pPr>
            <w:r>
              <w:rPr>
                <w:sz w:val="24"/>
              </w:rPr>
              <w:t>汽车卸料地坑、料槽至1#皮带尾部、1#皮带-2#皮带落料点、2#皮带至中间料仓、称量斗、接料小车、合金熔化装置冶炼除尘、合金熔化装置出钢移动罩等产尘点均设置集气罩，集气后废气经管道输送与电炉烟气合并送至技改后除尘系统处理，并经现有2根30m高排气筒排放。</w:t>
            </w:r>
          </w:p>
        </w:tc>
        <w:tc>
          <w:tcPr>
            <w:tcW w:w="3402" w:type="dxa"/>
            <w:tcBorders>
              <w:tl2br w:val="nil"/>
              <w:tr2bl w:val="nil"/>
            </w:tcBorders>
            <w:vAlign w:val="center"/>
          </w:tcPr>
          <w:p>
            <w:pPr>
              <w:pStyle w:val="12"/>
              <w:spacing w:line="276" w:lineRule="auto"/>
              <w:jc w:val="both"/>
              <w:rPr>
                <w:sz w:val="24"/>
              </w:rPr>
            </w:pPr>
            <w:r>
              <w:rPr>
                <w:sz w:val="24"/>
              </w:rPr>
              <w:t>汽车卸料地坑、料槽至1#皮带尾部、1#皮带-2#皮带落料点、2#皮带至中间料仓、称量斗、接料小车、合金熔化装置冶炼除尘、合金熔化装置出钢移动罩等产尘点均设置集气罩，集气后废气经管道输送与电炉烟气合并送至技改后除尘系统处理，并经现有2根30m高排气筒排放。</w:t>
            </w:r>
          </w:p>
        </w:tc>
        <w:tc>
          <w:tcPr>
            <w:tcW w:w="1474"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1912" w:type="dxa"/>
            <w:vMerge w:val="restart"/>
            <w:tcBorders>
              <w:tl2br w:val="nil"/>
              <w:tr2bl w:val="nil"/>
            </w:tcBorders>
            <w:vAlign w:val="center"/>
          </w:tcPr>
          <w:p>
            <w:pPr>
              <w:pStyle w:val="12"/>
              <w:spacing w:line="276" w:lineRule="auto"/>
              <w:rPr>
                <w:sz w:val="24"/>
              </w:rPr>
            </w:pPr>
            <w:r>
              <w:rPr>
                <w:sz w:val="24"/>
              </w:rPr>
              <w:t>噪声防治措施</w:t>
            </w:r>
          </w:p>
        </w:tc>
        <w:tc>
          <w:tcPr>
            <w:tcW w:w="1235" w:type="dxa"/>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电炉</w:t>
            </w:r>
          </w:p>
        </w:tc>
        <w:tc>
          <w:tcPr>
            <w:tcW w:w="3402"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设置1套30t合金熔化装置及配套设施，作为不锈钢冶炼专用合金熔化装置，实现90t电炉送电时炉内就有液态熔池，从而直接实现埋弧操作，降低供电强度，最终有效避免全冷料、高强度、高噪音的供电区间，实现降噪目的。</w:t>
            </w:r>
          </w:p>
        </w:tc>
        <w:tc>
          <w:tcPr>
            <w:tcW w:w="3402" w:type="dxa"/>
            <w:tcBorders>
              <w:tl2br w:val="nil"/>
              <w:tr2bl w:val="nil"/>
            </w:tcBorders>
            <w:vAlign w:val="center"/>
          </w:tcPr>
          <w:p>
            <w:pPr>
              <w:pStyle w:val="12"/>
              <w:spacing w:line="276" w:lineRule="auto"/>
              <w:jc w:val="both"/>
              <w:rPr>
                <w:sz w:val="24"/>
              </w:rPr>
            </w:pPr>
            <w:r>
              <w:rPr>
                <w:sz w:val="24"/>
              </w:rPr>
              <w:t>设置1套30t合金熔化装置及配套设施，作为不锈钢冶炼专用合金熔化装置，实现90t电炉送电时炉内就有液态熔池，从而直接实现埋弧操作，降低供电强度，最终有效避免全冷料、高强度、高噪音的供电区间，实现降噪目的。</w:t>
            </w:r>
          </w:p>
        </w:tc>
        <w:tc>
          <w:tcPr>
            <w:tcW w:w="3402" w:type="dxa"/>
            <w:tcBorders>
              <w:tl2br w:val="nil"/>
              <w:tr2bl w:val="nil"/>
            </w:tcBorders>
            <w:vAlign w:val="center"/>
          </w:tcPr>
          <w:p>
            <w:pPr>
              <w:pStyle w:val="12"/>
              <w:spacing w:line="276" w:lineRule="auto"/>
              <w:jc w:val="both"/>
              <w:rPr>
                <w:sz w:val="24"/>
              </w:rPr>
            </w:pPr>
            <w:r>
              <w:rPr>
                <w:sz w:val="24"/>
              </w:rPr>
              <w:t>设置1套30t合金熔化装置及配套设施，作为不锈钢冶炼专用合金熔化装置，实现90t电炉送电时炉内就有液态熔池，降低供电强度，实现降噪目的。</w:t>
            </w:r>
          </w:p>
        </w:tc>
        <w:tc>
          <w:tcPr>
            <w:tcW w:w="1474"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1912" w:type="dxa"/>
            <w:vMerge w:val="continue"/>
            <w:tcBorders>
              <w:tl2br w:val="nil"/>
              <w:tr2bl w:val="nil"/>
            </w:tcBorders>
            <w:vAlign w:val="center"/>
          </w:tcPr>
          <w:p>
            <w:pPr>
              <w:pStyle w:val="12"/>
              <w:spacing w:line="276" w:lineRule="auto"/>
              <w:rPr>
                <w:sz w:val="24"/>
              </w:rPr>
            </w:pPr>
          </w:p>
        </w:tc>
        <w:tc>
          <w:tcPr>
            <w:tcW w:w="1235" w:type="dxa"/>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合金熔化装置</w:t>
            </w:r>
          </w:p>
        </w:tc>
        <w:tc>
          <w:tcPr>
            <w:tcW w:w="3402"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合金熔化装置本体通过设置独立的装置本体平台、下部全封闭室、磁轭共振处理、设置盖板及排烟罩、增设旋转式降噪吸风盖等多项消音处理，保证设备1m处的声源强度小于70dB(A)，并在新建车间内墙及屋顶设置镀锌钢板+岩棉隔音层。</w:t>
            </w:r>
          </w:p>
        </w:tc>
        <w:tc>
          <w:tcPr>
            <w:tcW w:w="3402" w:type="dxa"/>
            <w:tcBorders>
              <w:tl2br w:val="nil"/>
              <w:tr2bl w:val="nil"/>
            </w:tcBorders>
            <w:vAlign w:val="center"/>
          </w:tcPr>
          <w:p>
            <w:pPr>
              <w:pStyle w:val="12"/>
              <w:spacing w:line="276" w:lineRule="auto"/>
              <w:jc w:val="both"/>
              <w:rPr>
                <w:sz w:val="24"/>
              </w:rPr>
            </w:pPr>
            <w:r>
              <w:rPr>
                <w:sz w:val="24"/>
              </w:rPr>
              <w:t>合金熔化装置本体通过设置独立的装置本体平台、下部全封闭室、磁轭共振处理、设置盖板及排烟罩、增设旋转式降噪吸风盖等多项消音处理，保证设备1m处的声源强度小于70dB(A)，并在新建车间内墙及屋顶设置镀锌钢板+岩棉隔音层。</w:t>
            </w:r>
          </w:p>
        </w:tc>
        <w:tc>
          <w:tcPr>
            <w:tcW w:w="3402" w:type="dxa"/>
            <w:tcBorders>
              <w:tl2br w:val="nil"/>
              <w:tr2bl w:val="nil"/>
            </w:tcBorders>
            <w:vAlign w:val="center"/>
          </w:tcPr>
          <w:p>
            <w:pPr>
              <w:pStyle w:val="12"/>
              <w:spacing w:line="276" w:lineRule="auto"/>
              <w:jc w:val="both"/>
              <w:rPr>
                <w:sz w:val="24"/>
              </w:rPr>
            </w:pPr>
            <w:r>
              <w:rPr>
                <w:sz w:val="24"/>
              </w:rPr>
              <w:t>合金熔化装置本体设置独立的装置本体平台、下部全封闭室、磁轭共振处理、设置盖板及排烟罩、增设旋转式降噪吸风盖等，并在新建车间内墙及屋顶设置镀锌钢板+岩棉隔音层。</w:t>
            </w:r>
          </w:p>
        </w:tc>
        <w:tc>
          <w:tcPr>
            <w:tcW w:w="1474"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1912" w:type="dxa"/>
            <w:vMerge w:val="continue"/>
            <w:tcBorders>
              <w:tl2br w:val="nil"/>
              <w:tr2bl w:val="nil"/>
            </w:tcBorders>
            <w:vAlign w:val="center"/>
          </w:tcPr>
          <w:p>
            <w:pPr>
              <w:pStyle w:val="12"/>
              <w:spacing w:line="276" w:lineRule="auto"/>
              <w:rPr>
                <w:sz w:val="24"/>
              </w:rPr>
            </w:pPr>
          </w:p>
        </w:tc>
        <w:tc>
          <w:tcPr>
            <w:tcW w:w="1235" w:type="dxa"/>
            <w:tcBorders>
              <w:tl2br w:val="nil"/>
              <w:tr2bl w:val="nil"/>
            </w:tcBorders>
            <w:vAlign w:val="center"/>
          </w:tcPr>
          <w:p>
            <w:pPr>
              <w:pStyle w:val="10"/>
              <w:spacing w:line="276" w:lineRule="auto"/>
              <w:rPr>
                <w:rFonts w:ascii="Times New Roman" w:hAnsi="Times New Roman" w:eastAsia="宋体" w:cs="Times New Roman"/>
              </w:rPr>
            </w:pPr>
            <w:r>
              <w:rPr>
                <w:rFonts w:ascii="Times New Roman" w:hAnsi="Times New Roman" w:eastAsia="宋体" w:cs="Times New Roman"/>
              </w:rPr>
              <w:t>风机</w:t>
            </w:r>
          </w:p>
        </w:tc>
        <w:tc>
          <w:tcPr>
            <w:tcW w:w="3402"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增设风机隔音房，隔音墙体材质：内侧冲孔板+130mm厚岩棉+单层压型钢板，风机隔音房建设面积为2×50m</w:t>
            </w:r>
            <w:r>
              <w:rPr>
                <w:rFonts w:ascii="Times New Roman" w:hAnsi="Times New Roman" w:eastAsia="宋体" w:cs="Times New Roman"/>
                <w:vertAlign w:val="superscript"/>
              </w:rPr>
              <w:t>2</w:t>
            </w:r>
            <w:r>
              <w:rPr>
                <w:rFonts w:ascii="Times New Roman" w:hAnsi="Times New Roman" w:eastAsia="宋体" w:cs="Times New Roman"/>
              </w:rPr>
              <w:t>，隔音房不设窗户。类比一钢厂料场封闭后车间噪声隔声量为23分贝。</w:t>
            </w:r>
          </w:p>
        </w:tc>
        <w:tc>
          <w:tcPr>
            <w:tcW w:w="3402" w:type="dxa"/>
            <w:tcBorders>
              <w:tl2br w:val="nil"/>
              <w:tr2bl w:val="nil"/>
            </w:tcBorders>
            <w:vAlign w:val="center"/>
          </w:tcPr>
          <w:p>
            <w:pPr>
              <w:pStyle w:val="12"/>
              <w:spacing w:line="276" w:lineRule="auto"/>
              <w:jc w:val="both"/>
              <w:rPr>
                <w:sz w:val="24"/>
              </w:rPr>
            </w:pPr>
            <w:r>
              <w:rPr>
                <w:sz w:val="24"/>
              </w:rPr>
              <w:t>增设风机隔音房，隔音墙体材质：内侧冲孔板+130mm厚岩棉+单层压型钢板，风机隔音房建设面积为2×50m</w:t>
            </w:r>
            <w:r>
              <w:rPr>
                <w:sz w:val="24"/>
                <w:vertAlign w:val="superscript"/>
              </w:rPr>
              <w:t>2</w:t>
            </w:r>
            <w:r>
              <w:rPr>
                <w:sz w:val="24"/>
              </w:rPr>
              <w:t>，隔音房不设窗户。类比一钢厂料场封闭后车间噪声隔声量为23分贝。</w:t>
            </w:r>
          </w:p>
        </w:tc>
        <w:tc>
          <w:tcPr>
            <w:tcW w:w="3402" w:type="dxa"/>
            <w:tcBorders>
              <w:tl2br w:val="nil"/>
              <w:tr2bl w:val="nil"/>
            </w:tcBorders>
            <w:vAlign w:val="center"/>
          </w:tcPr>
          <w:p>
            <w:pPr>
              <w:pStyle w:val="12"/>
              <w:spacing w:line="276" w:lineRule="auto"/>
              <w:jc w:val="both"/>
              <w:rPr>
                <w:sz w:val="24"/>
              </w:rPr>
            </w:pPr>
            <w:r>
              <w:rPr>
                <w:sz w:val="24"/>
              </w:rPr>
              <w:t>风机采用岩棉包扎、基础减振措施进行降噪。除尘器电机采用隔声间全封闭，隔音墙体材质：内侧冲孔板+100mm厚岩棉+单层压型钢板；电机隔音房建设面积为2×20m²。排放筒增设消声器。</w:t>
            </w:r>
          </w:p>
        </w:tc>
        <w:tc>
          <w:tcPr>
            <w:tcW w:w="1474" w:type="dxa"/>
            <w:tcBorders>
              <w:tl2br w:val="nil"/>
              <w:tr2bl w:val="nil"/>
            </w:tcBorders>
            <w:vAlign w:val="center"/>
          </w:tcPr>
          <w:p>
            <w:pPr>
              <w:pStyle w:val="12"/>
              <w:spacing w:line="276" w:lineRule="auto"/>
              <w:rPr>
                <w:sz w:val="24"/>
              </w:rPr>
            </w:pPr>
            <w:r>
              <w:rPr>
                <w:sz w:val="24"/>
              </w:rPr>
              <w:t>基本一致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1912" w:type="dxa"/>
            <w:vMerge w:val="restart"/>
            <w:tcBorders>
              <w:tl2br w:val="nil"/>
              <w:tr2bl w:val="nil"/>
            </w:tcBorders>
            <w:vAlign w:val="center"/>
          </w:tcPr>
          <w:p>
            <w:pPr>
              <w:pStyle w:val="12"/>
              <w:spacing w:line="276" w:lineRule="auto"/>
              <w:rPr>
                <w:sz w:val="24"/>
              </w:rPr>
            </w:pPr>
            <w:r>
              <w:rPr>
                <w:sz w:val="24"/>
              </w:rPr>
              <w:t>固体废物</w:t>
            </w:r>
          </w:p>
        </w:tc>
        <w:tc>
          <w:tcPr>
            <w:tcW w:w="1235" w:type="dxa"/>
            <w:tcBorders>
              <w:tl2br w:val="nil"/>
              <w:tr2bl w:val="nil"/>
            </w:tcBorders>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除尘器除尘灰</w:t>
            </w:r>
          </w:p>
        </w:tc>
        <w:tc>
          <w:tcPr>
            <w:tcW w:w="3402"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送太钢烧结车间回用。</w:t>
            </w:r>
          </w:p>
        </w:tc>
        <w:tc>
          <w:tcPr>
            <w:tcW w:w="3402" w:type="dxa"/>
            <w:tcBorders>
              <w:tl2br w:val="nil"/>
              <w:tr2bl w:val="nil"/>
            </w:tcBorders>
            <w:vAlign w:val="center"/>
          </w:tcPr>
          <w:p>
            <w:pPr>
              <w:pStyle w:val="10"/>
              <w:spacing w:line="276" w:lineRule="auto"/>
              <w:jc w:val="both"/>
              <w:rPr>
                <w:rFonts w:ascii="Times New Roman" w:hAnsi="Times New Roman" w:eastAsia="宋体" w:cs="Times New Roman"/>
              </w:rPr>
            </w:pPr>
            <w:r>
              <w:rPr>
                <w:rFonts w:ascii="Times New Roman" w:hAnsi="Times New Roman" w:eastAsia="宋体" w:cs="Times New Roman"/>
              </w:rPr>
              <w:t>送太钢烧结车间回用。</w:t>
            </w:r>
          </w:p>
        </w:tc>
        <w:tc>
          <w:tcPr>
            <w:tcW w:w="3402" w:type="dxa"/>
            <w:tcBorders>
              <w:tl2br w:val="nil"/>
              <w:tr2bl w:val="nil"/>
            </w:tcBorders>
            <w:vAlign w:val="center"/>
          </w:tcPr>
          <w:p>
            <w:pPr>
              <w:pStyle w:val="12"/>
              <w:spacing w:line="276" w:lineRule="auto"/>
              <w:jc w:val="both"/>
              <w:rPr>
                <w:sz w:val="24"/>
              </w:rPr>
            </w:pPr>
            <w:r>
              <w:rPr>
                <w:sz w:val="24"/>
              </w:rPr>
              <w:t>送太钢烧结车间回用。</w:t>
            </w:r>
          </w:p>
        </w:tc>
        <w:tc>
          <w:tcPr>
            <w:tcW w:w="1474"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1912" w:type="dxa"/>
            <w:vMerge w:val="continue"/>
            <w:tcBorders>
              <w:tl2br w:val="nil"/>
              <w:tr2bl w:val="nil"/>
            </w:tcBorders>
            <w:vAlign w:val="center"/>
          </w:tcPr>
          <w:p>
            <w:pPr>
              <w:pStyle w:val="12"/>
              <w:spacing w:line="276" w:lineRule="auto"/>
              <w:rPr>
                <w:sz w:val="24"/>
              </w:rPr>
            </w:pPr>
          </w:p>
        </w:tc>
        <w:tc>
          <w:tcPr>
            <w:tcW w:w="1235" w:type="dxa"/>
            <w:tcBorders>
              <w:tl2br w:val="nil"/>
              <w:tr2bl w:val="nil"/>
            </w:tcBorders>
            <w:vAlign w:val="center"/>
          </w:tcPr>
          <w:p>
            <w:pPr>
              <w:pStyle w:val="12"/>
              <w:spacing w:line="276" w:lineRule="auto"/>
              <w:rPr>
                <w:sz w:val="24"/>
              </w:rPr>
            </w:pPr>
            <w:r>
              <w:rPr>
                <w:sz w:val="24"/>
              </w:rPr>
              <w:t>废耐火材料</w:t>
            </w:r>
          </w:p>
        </w:tc>
        <w:tc>
          <w:tcPr>
            <w:tcW w:w="3402" w:type="dxa"/>
            <w:tcBorders>
              <w:tl2br w:val="nil"/>
              <w:tr2bl w:val="nil"/>
            </w:tcBorders>
            <w:vAlign w:val="center"/>
          </w:tcPr>
          <w:p>
            <w:pPr>
              <w:pStyle w:val="7"/>
              <w:spacing w:line="276" w:lineRule="auto"/>
              <w:jc w:val="both"/>
              <w:rPr>
                <w:sz w:val="24"/>
                <w:szCs w:val="24"/>
              </w:rPr>
            </w:pPr>
            <w:r>
              <w:rPr>
                <w:sz w:val="24"/>
                <w:szCs w:val="24"/>
              </w:rPr>
              <w:t>由太钢加工厂统一处理。</w:t>
            </w:r>
          </w:p>
        </w:tc>
        <w:tc>
          <w:tcPr>
            <w:tcW w:w="3402" w:type="dxa"/>
            <w:tcBorders>
              <w:tl2br w:val="nil"/>
              <w:tr2bl w:val="nil"/>
            </w:tcBorders>
            <w:vAlign w:val="center"/>
          </w:tcPr>
          <w:p>
            <w:pPr>
              <w:pStyle w:val="7"/>
              <w:spacing w:line="276" w:lineRule="auto"/>
              <w:jc w:val="both"/>
              <w:rPr>
                <w:sz w:val="24"/>
                <w:szCs w:val="24"/>
              </w:rPr>
            </w:pPr>
            <w:r>
              <w:rPr>
                <w:sz w:val="24"/>
                <w:szCs w:val="24"/>
              </w:rPr>
              <w:t>由太钢加工厂统一处理。</w:t>
            </w:r>
          </w:p>
        </w:tc>
        <w:tc>
          <w:tcPr>
            <w:tcW w:w="3402" w:type="dxa"/>
            <w:tcBorders>
              <w:tl2br w:val="nil"/>
              <w:tr2bl w:val="nil"/>
            </w:tcBorders>
            <w:vAlign w:val="center"/>
          </w:tcPr>
          <w:p>
            <w:pPr>
              <w:pStyle w:val="12"/>
              <w:spacing w:line="276" w:lineRule="auto"/>
              <w:jc w:val="both"/>
              <w:rPr>
                <w:sz w:val="24"/>
              </w:rPr>
            </w:pPr>
            <w:r>
              <w:rPr>
                <w:sz w:val="24"/>
              </w:rPr>
              <w:t>由太钢加工厂统一处理。</w:t>
            </w:r>
          </w:p>
        </w:tc>
        <w:tc>
          <w:tcPr>
            <w:tcW w:w="1474" w:type="dxa"/>
            <w:tcBorders>
              <w:tl2br w:val="nil"/>
              <w:tr2bl w:val="nil"/>
            </w:tcBorders>
            <w:vAlign w:val="center"/>
          </w:tcPr>
          <w:p>
            <w:pPr>
              <w:pStyle w:val="12"/>
              <w:spacing w:line="276" w:lineRule="auto"/>
              <w:rPr>
                <w:sz w:val="24"/>
              </w:rPr>
            </w:pPr>
            <w:r>
              <w:rPr>
                <w:sz w:val="24"/>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85" w:type="dxa"/>
            <w:bottom w:w="28" w:type="dxa"/>
            <w:right w:w="85" w:type="dxa"/>
          </w:tblCellMar>
        </w:tblPrEx>
        <w:trPr>
          <w:trHeight w:val="397" w:hRule="atLeast"/>
          <w:jc w:val="center"/>
        </w:trPr>
        <w:tc>
          <w:tcPr>
            <w:tcW w:w="1912" w:type="dxa"/>
            <w:vMerge w:val="continue"/>
            <w:tcBorders>
              <w:tl2br w:val="nil"/>
              <w:tr2bl w:val="nil"/>
            </w:tcBorders>
            <w:vAlign w:val="center"/>
          </w:tcPr>
          <w:p>
            <w:pPr>
              <w:pStyle w:val="12"/>
              <w:spacing w:line="276" w:lineRule="auto"/>
              <w:rPr>
                <w:sz w:val="24"/>
              </w:rPr>
            </w:pPr>
          </w:p>
        </w:tc>
        <w:tc>
          <w:tcPr>
            <w:tcW w:w="1235" w:type="dxa"/>
            <w:tcBorders>
              <w:tl2br w:val="nil"/>
              <w:tr2bl w:val="nil"/>
            </w:tcBorders>
            <w:vAlign w:val="center"/>
          </w:tcPr>
          <w:p>
            <w:pPr>
              <w:pStyle w:val="12"/>
              <w:spacing w:line="276" w:lineRule="auto"/>
              <w:rPr>
                <w:sz w:val="24"/>
              </w:rPr>
            </w:pPr>
            <w:r>
              <w:rPr>
                <w:sz w:val="24"/>
              </w:rPr>
              <w:t>废液压油、润滑剂</w:t>
            </w:r>
          </w:p>
        </w:tc>
        <w:tc>
          <w:tcPr>
            <w:tcW w:w="3402" w:type="dxa"/>
            <w:tcBorders>
              <w:tl2br w:val="nil"/>
              <w:tr2bl w:val="nil"/>
            </w:tcBorders>
            <w:vAlign w:val="center"/>
          </w:tcPr>
          <w:p>
            <w:pPr>
              <w:pStyle w:val="7"/>
              <w:spacing w:line="276" w:lineRule="auto"/>
              <w:jc w:val="both"/>
              <w:rPr>
                <w:sz w:val="24"/>
                <w:szCs w:val="24"/>
              </w:rPr>
            </w:pPr>
            <w:r>
              <w:rPr>
                <w:sz w:val="24"/>
                <w:szCs w:val="24"/>
              </w:rPr>
              <w:t>车间内危废暂存间暂存，由太钢加工厂统一收集处理。</w:t>
            </w:r>
          </w:p>
        </w:tc>
        <w:tc>
          <w:tcPr>
            <w:tcW w:w="3402" w:type="dxa"/>
            <w:tcBorders>
              <w:tl2br w:val="nil"/>
              <w:tr2bl w:val="nil"/>
            </w:tcBorders>
            <w:vAlign w:val="center"/>
          </w:tcPr>
          <w:p>
            <w:pPr>
              <w:pStyle w:val="7"/>
              <w:spacing w:line="276" w:lineRule="auto"/>
              <w:jc w:val="both"/>
              <w:rPr>
                <w:sz w:val="24"/>
                <w:szCs w:val="24"/>
              </w:rPr>
            </w:pPr>
            <w:r>
              <w:rPr>
                <w:sz w:val="24"/>
                <w:szCs w:val="24"/>
              </w:rPr>
              <w:t>车间内危废暂存间暂存，由太钢加工厂统一收集处理。</w:t>
            </w:r>
          </w:p>
        </w:tc>
        <w:tc>
          <w:tcPr>
            <w:tcW w:w="3402" w:type="dxa"/>
            <w:tcBorders>
              <w:tl2br w:val="nil"/>
              <w:tr2bl w:val="nil"/>
            </w:tcBorders>
            <w:vAlign w:val="center"/>
          </w:tcPr>
          <w:p>
            <w:pPr>
              <w:pStyle w:val="12"/>
              <w:spacing w:line="276" w:lineRule="auto"/>
              <w:jc w:val="both"/>
              <w:rPr>
                <w:sz w:val="24"/>
              </w:rPr>
            </w:pPr>
            <w:r>
              <w:rPr>
                <w:rFonts w:hint="eastAsia"/>
                <w:sz w:val="24"/>
              </w:rPr>
              <w:t>产生的废液压油、润滑剂</w:t>
            </w:r>
            <w:r>
              <w:rPr>
                <w:sz w:val="24"/>
              </w:rPr>
              <w:t>由太钢加工厂统一收集</w:t>
            </w:r>
            <w:r>
              <w:rPr>
                <w:rFonts w:hint="eastAsia"/>
                <w:sz w:val="24"/>
              </w:rPr>
              <w:t>后交由有资质的单位处理，不在车间内暂存</w:t>
            </w:r>
            <w:r>
              <w:rPr>
                <w:sz w:val="24"/>
              </w:rPr>
              <w:t>。</w:t>
            </w:r>
          </w:p>
        </w:tc>
        <w:tc>
          <w:tcPr>
            <w:tcW w:w="1474" w:type="dxa"/>
            <w:tcBorders>
              <w:tl2br w:val="nil"/>
              <w:tr2bl w:val="nil"/>
            </w:tcBorders>
            <w:vAlign w:val="center"/>
          </w:tcPr>
          <w:p>
            <w:pPr>
              <w:pStyle w:val="12"/>
              <w:spacing w:line="276" w:lineRule="auto"/>
              <w:rPr>
                <w:sz w:val="24"/>
              </w:rPr>
            </w:pPr>
            <w:r>
              <w:rPr>
                <w:rFonts w:hint="eastAsia"/>
                <w:sz w:val="24"/>
              </w:rPr>
              <w:t>不在车间内暂存</w:t>
            </w:r>
          </w:p>
        </w:tc>
      </w:tr>
    </w:tbl>
    <w:p>
      <w:pPr>
        <w:ind w:firstLine="560" w:firstLineChars="200"/>
        <w:rPr>
          <w:rFonts w:ascii="Times New Roman" w:hAnsi="Times New Roman" w:cs="Times New Roman"/>
        </w:rPr>
      </w:pPr>
    </w:p>
    <w:p>
      <w:pPr>
        <w:ind w:firstLine="560" w:firstLineChars="200"/>
        <w:rPr>
          <w:rFonts w:ascii="Times New Roman" w:hAnsi="Times New Roman" w:cs="Times New Roman"/>
        </w:rPr>
      </w:pPr>
    </w:p>
    <w:p>
      <w:pPr>
        <w:pStyle w:val="2"/>
        <w:ind w:firstLine="560"/>
        <w:rPr>
          <w:rFonts w:ascii="Times New Roman" w:hAnsi="Times New Roman" w:cs="Times New Roman"/>
        </w:rPr>
      </w:pPr>
    </w:p>
    <w:p>
      <w:pPr>
        <w:rPr>
          <w:rFonts w:ascii="Times New Roman" w:hAnsi="Times New Roman" w:cs="Times New Roman"/>
        </w:rPr>
        <w:sectPr>
          <w:pgSz w:w="16838" w:h="11906" w:orient="landscape"/>
          <w:pgMar w:top="1800" w:right="1440" w:bottom="1800" w:left="1440" w:header="851" w:footer="992" w:gutter="0"/>
          <w:cols w:space="720" w:num="1"/>
          <w:docGrid w:type="lines" w:linePitch="312" w:charSpace="0"/>
        </w:sectPr>
      </w:pPr>
    </w:p>
    <w:p>
      <w:pPr>
        <w:pStyle w:val="3"/>
        <w:rPr>
          <w:rFonts w:ascii="Times New Roman" w:hAnsi="Times New Roman" w:cs="Times New Roman"/>
        </w:rPr>
      </w:pPr>
      <w:bookmarkStart w:id="30" w:name="_Toc21481"/>
      <w:r>
        <w:rPr>
          <w:rFonts w:ascii="Times New Roman" w:hAnsi="Times New Roman" w:cs="Times New Roman"/>
        </w:rPr>
        <w:t>5 环境影响报告书主要结论与建议及其审批部门审批决定</w:t>
      </w:r>
      <w:bookmarkEnd w:id="30"/>
    </w:p>
    <w:p>
      <w:pPr>
        <w:pStyle w:val="4"/>
        <w:rPr>
          <w:rFonts w:ascii="Times New Roman" w:hAnsi="Times New Roman" w:cs="Times New Roman"/>
        </w:rPr>
      </w:pPr>
      <w:bookmarkStart w:id="31" w:name="_Toc11302"/>
      <w:r>
        <w:rPr>
          <w:rFonts w:ascii="Times New Roman" w:hAnsi="Times New Roman" w:cs="Times New Roman"/>
        </w:rPr>
        <w:t>5.1 环境影响报告书主要结论与建议</w:t>
      </w:r>
      <w:bookmarkEnd w:id="31"/>
    </w:p>
    <w:p>
      <w:pPr>
        <w:ind w:firstLine="560" w:firstLineChars="200"/>
        <w:rPr>
          <w:rFonts w:ascii="Times New Roman" w:hAnsi="Times New Roman" w:cs="Times New Roman"/>
        </w:rPr>
      </w:pPr>
      <w:r>
        <w:rPr>
          <w:rFonts w:ascii="Times New Roman" w:hAnsi="Times New Roman" w:cs="Times New Roman"/>
        </w:rPr>
        <w:t>1、本项目环境影响报告书中对废水、废气、固体废物及噪声污染防治设施效果的要求见下表。</w:t>
      </w:r>
    </w:p>
    <w:p>
      <w:pPr>
        <w:pStyle w:val="2"/>
        <w:ind w:firstLine="0" w:firstLineChars="0"/>
        <w:jc w:val="center"/>
        <w:rPr>
          <w:rFonts w:ascii="Times New Roman" w:hAnsi="Times New Roman" w:cs="Times New Roman"/>
        </w:rPr>
      </w:pPr>
      <w:r>
        <w:rPr>
          <w:rFonts w:ascii="Times New Roman" w:hAnsi="Times New Roman" w:cs="Times New Roman"/>
        </w:rPr>
        <w:t>表5-1  环境影响报告书中环保设施防治效果一览表</w:t>
      </w:r>
    </w:p>
    <w:tbl>
      <w:tblPr>
        <w:tblStyle w:val="21"/>
        <w:tblW w:w="14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55"/>
        <w:gridCol w:w="1125"/>
        <w:gridCol w:w="948"/>
        <w:gridCol w:w="8294"/>
        <w:gridCol w:w="2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环境</w:t>
            </w:r>
          </w:p>
          <w:p>
            <w:pPr>
              <w:pStyle w:val="10"/>
              <w:spacing w:line="240" w:lineRule="auto"/>
              <w:rPr>
                <w:rFonts w:ascii="Times New Roman" w:hAnsi="Times New Roman" w:eastAsia="宋体" w:cs="Times New Roman"/>
              </w:rPr>
            </w:pPr>
            <w:r>
              <w:rPr>
                <w:rFonts w:ascii="Times New Roman" w:hAnsi="Times New Roman" w:eastAsia="宋体" w:cs="Times New Roman"/>
              </w:rPr>
              <w:t>要素</w:t>
            </w:r>
          </w:p>
        </w:tc>
        <w:tc>
          <w:tcPr>
            <w:tcW w:w="2828" w:type="dxa"/>
            <w:gridSpan w:val="3"/>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污染源及编号</w:t>
            </w:r>
          </w:p>
        </w:tc>
        <w:tc>
          <w:tcPr>
            <w:tcW w:w="8294"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治理措施</w:t>
            </w:r>
          </w:p>
        </w:tc>
        <w:tc>
          <w:tcPr>
            <w:tcW w:w="2311"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continue"/>
            <w:vAlign w:val="center"/>
          </w:tcPr>
          <w:p>
            <w:pPr>
              <w:pStyle w:val="10"/>
              <w:spacing w:line="240" w:lineRule="auto"/>
              <w:rPr>
                <w:rFonts w:ascii="Times New Roman" w:hAnsi="Times New Roman" w:eastAsia="宋体" w:cs="Times New Roman"/>
              </w:rPr>
            </w:pPr>
          </w:p>
        </w:tc>
        <w:tc>
          <w:tcPr>
            <w:tcW w:w="755"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序号</w:t>
            </w:r>
          </w:p>
        </w:tc>
        <w:tc>
          <w:tcPr>
            <w:tcW w:w="2073" w:type="dxa"/>
            <w:gridSpan w:val="2"/>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污染源及污染物</w:t>
            </w:r>
          </w:p>
        </w:tc>
        <w:tc>
          <w:tcPr>
            <w:tcW w:w="8294" w:type="dxa"/>
            <w:vMerge w:val="continue"/>
            <w:vAlign w:val="center"/>
          </w:tcPr>
          <w:p>
            <w:pPr>
              <w:pStyle w:val="10"/>
              <w:spacing w:line="240" w:lineRule="auto"/>
              <w:rPr>
                <w:rFonts w:ascii="Times New Roman" w:hAnsi="Times New Roman" w:eastAsia="宋体" w:cs="Times New Roman"/>
              </w:rPr>
            </w:pPr>
          </w:p>
        </w:tc>
        <w:tc>
          <w:tcPr>
            <w:tcW w:w="2311" w:type="dxa"/>
            <w:vMerge w:val="continue"/>
            <w:vAlign w:val="center"/>
          </w:tcPr>
          <w:p>
            <w:pPr>
              <w:pStyle w:val="10"/>
              <w:spacing w:line="240"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废气</w:t>
            </w:r>
          </w:p>
        </w:tc>
        <w:tc>
          <w:tcPr>
            <w:tcW w:w="755"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1</w:t>
            </w:r>
          </w:p>
        </w:tc>
        <w:tc>
          <w:tcPr>
            <w:tcW w:w="1125"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合金熔化装置</w:t>
            </w:r>
          </w:p>
        </w:tc>
        <w:tc>
          <w:tcPr>
            <w:tcW w:w="948"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颗粒物</w:t>
            </w:r>
          </w:p>
        </w:tc>
        <w:tc>
          <w:tcPr>
            <w:tcW w:w="8294"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汽车卸料地坑、料槽至1#皮带尾部、1#皮带-2#皮带落料点、2#皮带至中间料仓、称量斗、接料小车、合金熔化装置冶炼除尘、合金熔化装置出钢移动罩等产尘点均设置集气罩，集气后废气经管道输送与电炉废气合并输送至改造后除尘系统处理，并经现有30m高排气筒排放</w:t>
            </w:r>
          </w:p>
        </w:tc>
        <w:tc>
          <w:tcPr>
            <w:tcW w:w="2311"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除尘效率大于99%，排放浓度≤10mg/m</w:t>
            </w:r>
            <w:r>
              <w:rPr>
                <w:rFonts w:ascii="Times New Roman" w:hAnsi="Times New Roman" w:eastAsia="宋体"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continue"/>
            <w:vAlign w:val="center"/>
          </w:tcPr>
          <w:p>
            <w:pPr>
              <w:pStyle w:val="10"/>
              <w:spacing w:line="240" w:lineRule="auto"/>
              <w:rPr>
                <w:rFonts w:ascii="Times New Roman" w:hAnsi="Times New Roman" w:eastAsia="宋体" w:cs="Times New Roman"/>
              </w:rPr>
            </w:pPr>
          </w:p>
        </w:tc>
        <w:tc>
          <w:tcPr>
            <w:tcW w:w="755"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2</w:t>
            </w:r>
          </w:p>
        </w:tc>
        <w:tc>
          <w:tcPr>
            <w:tcW w:w="1125"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电炉</w:t>
            </w:r>
          </w:p>
        </w:tc>
        <w:tc>
          <w:tcPr>
            <w:tcW w:w="948"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颗粒物</w:t>
            </w:r>
          </w:p>
        </w:tc>
        <w:tc>
          <w:tcPr>
            <w:tcW w:w="8294"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屋顶罩、狗窝、扒渣站、上料系统、四孔、拆炉站及修包站等产尘点废气经收集后经管道输送与合金熔化装置废气合并输送至改造后除尘系统处理，并经现有30m高排气筒排放</w:t>
            </w:r>
          </w:p>
        </w:tc>
        <w:tc>
          <w:tcPr>
            <w:tcW w:w="2311" w:type="dxa"/>
            <w:vMerge w:val="continue"/>
            <w:vAlign w:val="center"/>
          </w:tcPr>
          <w:p>
            <w:pPr>
              <w:pStyle w:val="10"/>
              <w:spacing w:line="240"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continue"/>
            <w:vAlign w:val="center"/>
          </w:tcPr>
          <w:p>
            <w:pPr>
              <w:pStyle w:val="10"/>
              <w:spacing w:line="240" w:lineRule="auto"/>
              <w:rPr>
                <w:rFonts w:ascii="Times New Roman" w:hAnsi="Times New Roman" w:eastAsia="宋体" w:cs="Times New Roman"/>
              </w:rPr>
            </w:pPr>
          </w:p>
        </w:tc>
        <w:tc>
          <w:tcPr>
            <w:tcW w:w="755" w:type="dxa"/>
            <w:vMerge w:val="continue"/>
            <w:vAlign w:val="center"/>
          </w:tcPr>
          <w:p>
            <w:pPr>
              <w:pStyle w:val="10"/>
              <w:spacing w:line="240" w:lineRule="auto"/>
              <w:rPr>
                <w:rFonts w:ascii="Times New Roman" w:hAnsi="Times New Roman" w:eastAsia="宋体" w:cs="Times New Roman"/>
              </w:rPr>
            </w:pPr>
          </w:p>
        </w:tc>
        <w:tc>
          <w:tcPr>
            <w:tcW w:w="1125" w:type="dxa"/>
            <w:vMerge w:val="continue"/>
            <w:vAlign w:val="center"/>
          </w:tcPr>
          <w:p>
            <w:pPr>
              <w:pStyle w:val="10"/>
              <w:spacing w:line="240" w:lineRule="auto"/>
              <w:rPr>
                <w:rFonts w:ascii="Times New Roman" w:hAnsi="Times New Roman" w:eastAsia="宋体" w:cs="Times New Roman"/>
              </w:rPr>
            </w:pPr>
          </w:p>
        </w:tc>
        <w:tc>
          <w:tcPr>
            <w:tcW w:w="948"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二噁英</w:t>
            </w:r>
          </w:p>
        </w:tc>
        <w:tc>
          <w:tcPr>
            <w:tcW w:w="8294" w:type="dxa"/>
            <w:vMerge w:val="continue"/>
            <w:vAlign w:val="center"/>
          </w:tcPr>
          <w:p>
            <w:pPr>
              <w:pStyle w:val="10"/>
              <w:spacing w:line="240" w:lineRule="auto"/>
              <w:rPr>
                <w:rFonts w:ascii="Times New Roman" w:hAnsi="Times New Roman" w:eastAsia="宋体" w:cs="Times New Roman"/>
              </w:rPr>
            </w:pPr>
          </w:p>
        </w:tc>
        <w:tc>
          <w:tcPr>
            <w:tcW w:w="2311"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排放量不变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continue"/>
            <w:vAlign w:val="center"/>
          </w:tcPr>
          <w:p>
            <w:pPr>
              <w:pStyle w:val="10"/>
              <w:spacing w:line="240" w:lineRule="auto"/>
              <w:rPr>
                <w:rFonts w:ascii="Times New Roman" w:hAnsi="Times New Roman" w:eastAsia="宋体" w:cs="Times New Roman"/>
              </w:rPr>
            </w:pPr>
          </w:p>
        </w:tc>
        <w:tc>
          <w:tcPr>
            <w:tcW w:w="755" w:type="dxa"/>
            <w:vMerge w:val="continue"/>
            <w:vAlign w:val="center"/>
          </w:tcPr>
          <w:p>
            <w:pPr>
              <w:pStyle w:val="10"/>
              <w:spacing w:line="240" w:lineRule="auto"/>
              <w:rPr>
                <w:rFonts w:ascii="Times New Roman" w:hAnsi="Times New Roman" w:eastAsia="宋体" w:cs="Times New Roman"/>
              </w:rPr>
            </w:pPr>
          </w:p>
        </w:tc>
        <w:tc>
          <w:tcPr>
            <w:tcW w:w="1125" w:type="dxa"/>
            <w:vMerge w:val="continue"/>
            <w:vAlign w:val="center"/>
          </w:tcPr>
          <w:p>
            <w:pPr>
              <w:pStyle w:val="10"/>
              <w:spacing w:line="240" w:lineRule="auto"/>
              <w:rPr>
                <w:rFonts w:ascii="Times New Roman" w:hAnsi="Times New Roman" w:eastAsia="宋体" w:cs="Times New Roman"/>
              </w:rPr>
            </w:pPr>
          </w:p>
        </w:tc>
        <w:tc>
          <w:tcPr>
            <w:tcW w:w="948"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氟化物</w:t>
            </w:r>
          </w:p>
        </w:tc>
        <w:tc>
          <w:tcPr>
            <w:tcW w:w="8294" w:type="dxa"/>
            <w:vMerge w:val="continue"/>
            <w:vAlign w:val="center"/>
          </w:tcPr>
          <w:p>
            <w:pPr>
              <w:pStyle w:val="10"/>
              <w:spacing w:line="240" w:lineRule="auto"/>
              <w:rPr>
                <w:rFonts w:ascii="Times New Roman" w:hAnsi="Times New Roman" w:eastAsia="宋体" w:cs="Times New Roman"/>
              </w:rPr>
            </w:pPr>
          </w:p>
        </w:tc>
        <w:tc>
          <w:tcPr>
            <w:tcW w:w="2311"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排放量不变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废水</w:t>
            </w:r>
          </w:p>
        </w:tc>
        <w:tc>
          <w:tcPr>
            <w:tcW w:w="755"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1</w:t>
            </w:r>
          </w:p>
        </w:tc>
        <w:tc>
          <w:tcPr>
            <w:tcW w:w="2073" w:type="dxa"/>
            <w:gridSpan w:val="2"/>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设备循环冷却系统排水</w:t>
            </w:r>
          </w:p>
        </w:tc>
        <w:tc>
          <w:tcPr>
            <w:tcW w:w="8294"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回用于炼钢一厂浊循环系统</w:t>
            </w:r>
          </w:p>
        </w:tc>
        <w:tc>
          <w:tcPr>
            <w:tcW w:w="2311"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噪声</w:t>
            </w:r>
          </w:p>
        </w:tc>
        <w:tc>
          <w:tcPr>
            <w:tcW w:w="755"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1</w:t>
            </w:r>
          </w:p>
        </w:tc>
        <w:tc>
          <w:tcPr>
            <w:tcW w:w="2073" w:type="dxa"/>
            <w:gridSpan w:val="2"/>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电炉</w:t>
            </w:r>
          </w:p>
        </w:tc>
        <w:tc>
          <w:tcPr>
            <w:tcW w:w="8294"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设置1套30t合金熔化装置及配套设施，作为不锈钢冶炼专用合金熔化装置，取消电炉送电穿井阶段，并且新建车间采用镀铝锌板+130mm厚岩棉+钢丝网+冲孔压型钢板隔声，不设门窗。</w:t>
            </w:r>
          </w:p>
        </w:tc>
        <w:tc>
          <w:tcPr>
            <w:tcW w:w="2311"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满足《工业企业厂界环境噪声排放标准》3类标准限值要求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continue"/>
            <w:vAlign w:val="center"/>
          </w:tcPr>
          <w:p>
            <w:pPr>
              <w:pStyle w:val="10"/>
              <w:spacing w:line="240" w:lineRule="auto"/>
              <w:rPr>
                <w:rFonts w:ascii="Times New Roman" w:hAnsi="Times New Roman" w:eastAsia="宋体" w:cs="Times New Roman"/>
              </w:rPr>
            </w:pPr>
          </w:p>
        </w:tc>
        <w:tc>
          <w:tcPr>
            <w:tcW w:w="755"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2</w:t>
            </w:r>
          </w:p>
        </w:tc>
        <w:tc>
          <w:tcPr>
            <w:tcW w:w="2073" w:type="dxa"/>
            <w:gridSpan w:val="2"/>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合金熔化装置</w:t>
            </w:r>
          </w:p>
        </w:tc>
        <w:tc>
          <w:tcPr>
            <w:tcW w:w="8294"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合金熔化装置本体通过设置独立的装置本体平台、下部全封闭室、磁轭共振处理、设置盖板及排烟罩、增设旋转式降噪吸风盖等多项消音处理，根据设备厂家提供噪声情况说明，设备平台半密闭罩外1m处的声源强度小于70dB(A)。</w:t>
            </w:r>
          </w:p>
        </w:tc>
        <w:tc>
          <w:tcPr>
            <w:tcW w:w="2311" w:type="dxa"/>
            <w:vMerge w:val="continue"/>
            <w:vAlign w:val="center"/>
          </w:tcPr>
          <w:p>
            <w:pPr>
              <w:pStyle w:val="10"/>
              <w:spacing w:line="240"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continue"/>
            <w:vAlign w:val="center"/>
          </w:tcPr>
          <w:p>
            <w:pPr>
              <w:pStyle w:val="10"/>
              <w:spacing w:line="240" w:lineRule="auto"/>
              <w:rPr>
                <w:rFonts w:ascii="Times New Roman" w:hAnsi="Times New Roman" w:eastAsia="宋体" w:cs="Times New Roman"/>
              </w:rPr>
            </w:pPr>
          </w:p>
        </w:tc>
        <w:tc>
          <w:tcPr>
            <w:tcW w:w="755"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3</w:t>
            </w:r>
          </w:p>
        </w:tc>
        <w:tc>
          <w:tcPr>
            <w:tcW w:w="2073" w:type="dxa"/>
            <w:gridSpan w:val="2"/>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风机</w:t>
            </w:r>
          </w:p>
        </w:tc>
        <w:tc>
          <w:tcPr>
            <w:tcW w:w="8294"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增设风机隔音房，隔音墙体材质：岩棉+彩钢板；风机隔音房建设面积为2×50m</w:t>
            </w:r>
            <w:r>
              <w:rPr>
                <w:rFonts w:ascii="Times New Roman" w:hAnsi="Times New Roman" w:eastAsia="宋体" w:cs="Times New Roman"/>
                <w:vertAlign w:val="superscript"/>
              </w:rPr>
              <w:t>2</w:t>
            </w:r>
            <w:r>
              <w:rPr>
                <w:rFonts w:ascii="Times New Roman" w:hAnsi="Times New Roman" w:eastAsia="宋体" w:cs="Times New Roman"/>
              </w:rPr>
              <w:t>，不设窗户。</w:t>
            </w:r>
          </w:p>
        </w:tc>
        <w:tc>
          <w:tcPr>
            <w:tcW w:w="2311" w:type="dxa"/>
            <w:vMerge w:val="continue"/>
            <w:vAlign w:val="center"/>
          </w:tcPr>
          <w:p>
            <w:pPr>
              <w:pStyle w:val="10"/>
              <w:spacing w:line="240" w:lineRule="auto"/>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restart"/>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固废</w:t>
            </w:r>
          </w:p>
        </w:tc>
        <w:tc>
          <w:tcPr>
            <w:tcW w:w="755" w:type="dxa"/>
            <w:vAlign w:val="top"/>
          </w:tcPr>
          <w:p>
            <w:pPr>
              <w:pStyle w:val="10"/>
              <w:spacing w:line="240" w:lineRule="auto"/>
              <w:rPr>
                <w:rFonts w:ascii="Times New Roman" w:hAnsi="Times New Roman" w:eastAsia="宋体" w:cs="Times New Roman"/>
              </w:rPr>
            </w:pPr>
            <w:r>
              <w:rPr>
                <w:rFonts w:ascii="Times New Roman" w:hAnsi="Times New Roman" w:eastAsia="宋体" w:cs="Times New Roman"/>
              </w:rPr>
              <w:t>1</w:t>
            </w:r>
          </w:p>
        </w:tc>
        <w:tc>
          <w:tcPr>
            <w:tcW w:w="2073" w:type="dxa"/>
            <w:gridSpan w:val="2"/>
            <w:vAlign w:val="center"/>
          </w:tcPr>
          <w:p>
            <w:pPr>
              <w:spacing w:line="240" w:lineRule="auto"/>
              <w:jc w:val="center"/>
              <w:rPr>
                <w:rFonts w:ascii="Times New Roman" w:hAnsi="Times New Roman" w:cs="Times New Roman"/>
                <w:sz w:val="24"/>
                <w:szCs w:val="24"/>
              </w:rPr>
            </w:pPr>
            <w:r>
              <w:rPr>
                <w:rFonts w:ascii="Times New Roman" w:hAnsi="Times New Roman" w:cs="Times New Roman"/>
                <w:sz w:val="24"/>
                <w:szCs w:val="24"/>
              </w:rPr>
              <w:t>除尘器除尘灰</w:t>
            </w:r>
          </w:p>
        </w:tc>
        <w:tc>
          <w:tcPr>
            <w:tcW w:w="8294"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送太钢烧结车间回用</w:t>
            </w:r>
          </w:p>
        </w:tc>
        <w:tc>
          <w:tcPr>
            <w:tcW w:w="2311"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continue"/>
            <w:vAlign w:val="top"/>
          </w:tcPr>
          <w:p>
            <w:pPr>
              <w:pStyle w:val="10"/>
              <w:spacing w:line="240" w:lineRule="auto"/>
              <w:rPr>
                <w:rFonts w:ascii="Times New Roman" w:hAnsi="Times New Roman" w:eastAsia="宋体" w:cs="Times New Roman"/>
              </w:rPr>
            </w:pPr>
          </w:p>
        </w:tc>
        <w:tc>
          <w:tcPr>
            <w:tcW w:w="755" w:type="dxa"/>
            <w:vAlign w:val="top"/>
          </w:tcPr>
          <w:p>
            <w:pPr>
              <w:pStyle w:val="10"/>
              <w:spacing w:line="240" w:lineRule="auto"/>
              <w:rPr>
                <w:rFonts w:ascii="Times New Roman" w:hAnsi="Times New Roman" w:eastAsia="宋体" w:cs="Times New Roman"/>
              </w:rPr>
            </w:pPr>
            <w:r>
              <w:rPr>
                <w:rFonts w:ascii="Times New Roman" w:hAnsi="Times New Roman" w:eastAsia="宋体" w:cs="Times New Roman"/>
              </w:rPr>
              <w:t>2</w:t>
            </w:r>
          </w:p>
        </w:tc>
        <w:tc>
          <w:tcPr>
            <w:tcW w:w="2073" w:type="dxa"/>
            <w:gridSpan w:val="2"/>
            <w:vAlign w:val="center"/>
          </w:tcPr>
          <w:p>
            <w:pPr>
              <w:pStyle w:val="12"/>
              <w:spacing w:line="240" w:lineRule="auto"/>
              <w:rPr>
                <w:sz w:val="24"/>
              </w:rPr>
            </w:pPr>
            <w:r>
              <w:rPr>
                <w:sz w:val="24"/>
              </w:rPr>
              <w:t>废耐火材料</w:t>
            </w:r>
          </w:p>
        </w:tc>
        <w:tc>
          <w:tcPr>
            <w:tcW w:w="8294" w:type="dxa"/>
            <w:vAlign w:val="center"/>
          </w:tcPr>
          <w:p>
            <w:pPr>
              <w:pStyle w:val="7"/>
              <w:spacing w:line="240" w:lineRule="auto"/>
              <w:rPr>
                <w:sz w:val="24"/>
                <w:szCs w:val="24"/>
              </w:rPr>
            </w:pPr>
            <w:r>
              <w:rPr>
                <w:sz w:val="24"/>
                <w:szCs w:val="24"/>
              </w:rPr>
              <w:t>由太钢加工厂统一处理</w:t>
            </w:r>
          </w:p>
        </w:tc>
        <w:tc>
          <w:tcPr>
            <w:tcW w:w="2311" w:type="dxa"/>
            <w:vAlign w:val="center"/>
          </w:tcPr>
          <w:p>
            <w:pPr>
              <w:pStyle w:val="7"/>
              <w:spacing w:line="240" w:lineRule="auto"/>
              <w:rPr>
                <w:sz w:val="24"/>
                <w:szCs w:val="24"/>
              </w:rPr>
            </w:pP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continue"/>
            <w:vAlign w:val="top"/>
          </w:tcPr>
          <w:p>
            <w:pPr>
              <w:pStyle w:val="10"/>
              <w:spacing w:line="240" w:lineRule="auto"/>
              <w:rPr>
                <w:rFonts w:ascii="Times New Roman" w:hAnsi="Times New Roman" w:eastAsia="宋体" w:cs="Times New Roman"/>
              </w:rPr>
            </w:pPr>
          </w:p>
        </w:tc>
        <w:tc>
          <w:tcPr>
            <w:tcW w:w="755" w:type="dxa"/>
            <w:vAlign w:val="top"/>
          </w:tcPr>
          <w:p>
            <w:pPr>
              <w:pStyle w:val="10"/>
              <w:spacing w:line="240" w:lineRule="auto"/>
              <w:rPr>
                <w:rFonts w:ascii="Times New Roman" w:hAnsi="Times New Roman" w:eastAsia="宋体" w:cs="Times New Roman"/>
              </w:rPr>
            </w:pPr>
            <w:r>
              <w:rPr>
                <w:rFonts w:ascii="Times New Roman" w:hAnsi="Times New Roman" w:eastAsia="宋体" w:cs="Times New Roman"/>
              </w:rPr>
              <w:t>3</w:t>
            </w:r>
          </w:p>
        </w:tc>
        <w:tc>
          <w:tcPr>
            <w:tcW w:w="2073" w:type="dxa"/>
            <w:gridSpan w:val="2"/>
            <w:vAlign w:val="center"/>
          </w:tcPr>
          <w:p>
            <w:pPr>
              <w:pStyle w:val="12"/>
              <w:spacing w:line="240" w:lineRule="auto"/>
              <w:rPr>
                <w:sz w:val="24"/>
              </w:rPr>
            </w:pPr>
            <w:r>
              <w:rPr>
                <w:sz w:val="24"/>
              </w:rPr>
              <w:t>废液压油、润滑剂</w:t>
            </w:r>
          </w:p>
        </w:tc>
        <w:tc>
          <w:tcPr>
            <w:tcW w:w="8294" w:type="dxa"/>
            <w:vAlign w:val="center"/>
          </w:tcPr>
          <w:p>
            <w:pPr>
              <w:pStyle w:val="7"/>
              <w:spacing w:line="240" w:lineRule="auto"/>
              <w:rPr>
                <w:sz w:val="24"/>
                <w:szCs w:val="24"/>
              </w:rPr>
            </w:pPr>
            <w:r>
              <w:rPr>
                <w:sz w:val="24"/>
                <w:szCs w:val="24"/>
              </w:rPr>
              <w:t>在车间危废暂存间暂存，由太钢加工厂统一收集处理</w:t>
            </w:r>
          </w:p>
        </w:tc>
        <w:tc>
          <w:tcPr>
            <w:tcW w:w="2311" w:type="dxa"/>
            <w:vAlign w:val="center"/>
          </w:tcPr>
          <w:p>
            <w:pPr>
              <w:pStyle w:val="7"/>
              <w:spacing w:line="240" w:lineRule="auto"/>
              <w:rPr>
                <w:sz w:val="24"/>
                <w:szCs w:val="24"/>
              </w:rPr>
            </w:pP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restart"/>
            <w:vAlign w:val="top"/>
          </w:tcPr>
          <w:p>
            <w:pPr>
              <w:pStyle w:val="10"/>
              <w:spacing w:line="240" w:lineRule="auto"/>
              <w:rPr>
                <w:rFonts w:ascii="Times New Roman" w:hAnsi="Times New Roman" w:eastAsia="宋体" w:cs="Times New Roman"/>
              </w:rPr>
            </w:pPr>
            <w:r>
              <w:rPr>
                <w:rFonts w:ascii="Times New Roman" w:hAnsi="Times New Roman" w:eastAsia="宋体" w:cs="Times New Roman"/>
              </w:rPr>
              <w:t>地下水</w:t>
            </w:r>
          </w:p>
        </w:tc>
        <w:tc>
          <w:tcPr>
            <w:tcW w:w="755" w:type="dxa"/>
            <w:vAlign w:val="top"/>
          </w:tcPr>
          <w:p>
            <w:pPr>
              <w:pStyle w:val="10"/>
              <w:spacing w:line="240" w:lineRule="auto"/>
              <w:rPr>
                <w:rFonts w:ascii="Times New Roman" w:hAnsi="Times New Roman" w:eastAsia="宋体" w:cs="Times New Roman"/>
              </w:rPr>
            </w:pPr>
            <w:r>
              <w:rPr>
                <w:rFonts w:ascii="Times New Roman" w:hAnsi="Times New Roman" w:eastAsia="宋体" w:cs="Times New Roman"/>
              </w:rPr>
              <w:t>1</w:t>
            </w:r>
          </w:p>
        </w:tc>
        <w:tc>
          <w:tcPr>
            <w:tcW w:w="2073" w:type="dxa"/>
            <w:gridSpan w:val="2"/>
            <w:vAlign w:val="center"/>
          </w:tcPr>
          <w:p>
            <w:pPr>
              <w:pStyle w:val="12"/>
              <w:spacing w:line="240" w:lineRule="auto"/>
              <w:rPr>
                <w:sz w:val="24"/>
              </w:rPr>
            </w:pPr>
            <w:r>
              <w:rPr>
                <w:sz w:val="24"/>
              </w:rPr>
              <w:t>危废暂存间</w:t>
            </w:r>
          </w:p>
        </w:tc>
        <w:tc>
          <w:tcPr>
            <w:tcW w:w="8294" w:type="dxa"/>
            <w:vAlign w:val="center"/>
          </w:tcPr>
          <w:p>
            <w:pPr>
              <w:pStyle w:val="7"/>
              <w:spacing w:line="240" w:lineRule="auto"/>
              <w:rPr>
                <w:sz w:val="24"/>
                <w:szCs w:val="24"/>
              </w:rPr>
            </w:pPr>
            <w:r>
              <w:rPr>
                <w:sz w:val="24"/>
                <w:szCs w:val="24"/>
              </w:rPr>
              <w:t>暂存区地面必须进行防渗，防渗层为至少1m厚黏土层（渗透系数≤10</w:t>
            </w:r>
            <w:r>
              <w:rPr>
                <w:sz w:val="24"/>
                <w:szCs w:val="24"/>
                <w:vertAlign w:val="superscript"/>
              </w:rPr>
              <w:t>-7</w:t>
            </w:r>
            <w:r>
              <w:rPr>
                <w:sz w:val="24"/>
                <w:szCs w:val="24"/>
              </w:rPr>
              <w:t>cm/s）或2mm厚的其他人工材料，渗透系数≤10</w:t>
            </w:r>
            <w:r>
              <w:rPr>
                <w:sz w:val="24"/>
                <w:szCs w:val="24"/>
                <w:vertAlign w:val="superscript"/>
              </w:rPr>
              <w:t>-10</w:t>
            </w:r>
            <w:r>
              <w:rPr>
                <w:sz w:val="24"/>
                <w:szCs w:val="24"/>
              </w:rPr>
              <w:t xml:space="preserve">cm/s </w:t>
            </w:r>
          </w:p>
        </w:tc>
        <w:tc>
          <w:tcPr>
            <w:tcW w:w="2311" w:type="dxa"/>
            <w:vAlign w:val="center"/>
          </w:tcPr>
          <w:p>
            <w:pPr>
              <w:pStyle w:val="7"/>
              <w:spacing w:line="240" w:lineRule="auto"/>
              <w:rPr>
                <w:sz w:val="24"/>
                <w:szCs w:val="24"/>
              </w:rPr>
            </w:pP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104" w:type="dxa"/>
            <w:vMerge w:val="continue"/>
            <w:vAlign w:val="top"/>
          </w:tcPr>
          <w:p>
            <w:pPr>
              <w:pStyle w:val="10"/>
              <w:spacing w:line="240" w:lineRule="auto"/>
              <w:rPr>
                <w:rFonts w:ascii="Times New Roman" w:hAnsi="Times New Roman" w:eastAsia="宋体" w:cs="Times New Roman"/>
              </w:rPr>
            </w:pPr>
          </w:p>
        </w:tc>
        <w:tc>
          <w:tcPr>
            <w:tcW w:w="755" w:type="dxa"/>
            <w:vAlign w:val="top"/>
          </w:tcPr>
          <w:p>
            <w:pPr>
              <w:pStyle w:val="10"/>
              <w:spacing w:line="240" w:lineRule="auto"/>
              <w:rPr>
                <w:rFonts w:ascii="Times New Roman" w:hAnsi="Times New Roman" w:eastAsia="宋体" w:cs="Times New Roman"/>
              </w:rPr>
            </w:pPr>
            <w:r>
              <w:rPr>
                <w:rFonts w:hint="eastAsia" w:ascii="Times New Roman" w:hAnsi="Times New Roman" w:eastAsia="宋体" w:cs="Times New Roman"/>
              </w:rPr>
              <w:t>2</w:t>
            </w:r>
          </w:p>
        </w:tc>
        <w:tc>
          <w:tcPr>
            <w:tcW w:w="2073" w:type="dxa"/>
            <w:gridSpan w:val="2"/>
            <w:vAlign w:val="center"/>
          </w:tcPr>
          <w:p>
            <w:pPr>
              <w:pStyle w:val="12"/>
              <w:spacing w:line="240" w:lineRule="auto"/>
              <w:rPr>
                <w:sz w:val="24"/>
              </w:rPr>
            </w:pPr>
            <w:r>
              <w:rPr>
                <w:sz w:val="24"/>
              </w:rPr>
              <w:t>上料地坑</w:t>
            </w:r>
          </w:p>
        </w:tc>
        <w:tc>
          <w:tcPr>
            <w:tcW w:w="8294" w:type="dxa"/>
            <w:vAlign w:val="center"/>
          </w:tcPr>
          <w:p>
            <w:pPr>
              <w:pStyle w:val="7"/>
              <w:spacing w:line="240" w:lineRule="auto"/>
              <w:rPr>
                <w:sz w:val="24"/>
                <w:szCs w:val="24"/>
              </w:rPr>
            </w:pPr>
            <w:r>
              <w:rPr>
                <w:sz w:val="24"/>
                <w:szCs w:val="24"/>
              </w:rPr>
              <w:t>上料坑基础采用抗渗钢筋混凝土。混凝土的强度等级不应低于C30，抗渗等级不应低于P8，厚度不应小于100mm。混凝土防渗层在墙、柱、基础交接处应设衔接缝，渗透系数不大于1.0×10</w:t>
            </w:r>
            <w:r>
              <w:rPr>
                <w:sz w:val="24"/>
                <w:szCs w:val="24"/>
                <w:vertAlign w:val="superscript"/>
              </w:rPr>
              <w:t>-10</w:t>
            </w:r>
            <w:r>
              <w:rPr>
                <w:sz w:val="24"/>
                <w:szCs w:val="24"/>
              </w:rPr>
              <w:t>cm/s</w:t>
            </w:r>
          </w:p>
        </w:tc>
        <w:tc>
          <w:tcPr>
            <w:tcW w:w="2311" w:type="dxa"/>
            <w:vAlign w:val="center"/>
          </w:tcPr>
          <w:p>
            <w:pPr>
              <w:pStyle w:val="7"/>
              <w:spacing w:line="240" w:lineRule="auto"/>
              <w:rPr>
                <w:sz w:val="24"/>
                <w:szCs w:val="24"/>
              </w:rPr>
            </w:pP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3932" w:type="dxa"/>
            <w:gridSpan w:val="4"/>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环境管理和监测</w:t>
            </w:r>
          </w:p>
        </w:tc>
        <w:tc>
          <w:tcPr>
            <w:tcW w:w="8294"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购置常规监测设备，加强日常管理；</w:t>
            </w:r>
          </w:p>
        </w:tc>
        <w:tc>
          <w:tcPr>
            <w:tcW w:w="2311" w:type="dxa"/>
            <w:vAlign w:val="center"/>
          </w:tcPr>
          <w:p>
            <w:pPr>
              <w:pStyle w:val="10"/>
              <w:spacing w:line="240" w:lineRule="auto"/>
              <w:rPr>
                <w:rFonts w:ascii="Times New Roman" w:hAnsi="Times New Roman" w:eastAsia="宋体" w:cs="Times New Roman"/>
              </w:rPr>
            </w:pPr>
            <w:r>
              <w:rPr>
                <w:rFonts w:ascii="Times New Roman" w:hAnsi="Times New Roman" w:eastAsia="宋体" w:cs="Times New Roman"/>
              </w:rPr>
              <w:t>-</w:t>
            </w:r>
          </w:p>
        </w:tc>
      </w:tr>
    </w:tbl>
    <w:p>
      <w:pPr>
        <w:ind w:firstLine="560" w:firstLineChars="200"/>
        <w:rPr>
          <w:rFonts w:ascii="Times New Roman" w:hAnsi="Times New Roman" w:cs="Times New Roman"/>
        </w:rPr>
      </w:pPr>
      <w:r>
        <w:rPr>
          <w:rFonts w:ascii="Times New Roman" w:hAnsi="Times New Roman" w:cs="Times New Roman"/>
        </w:rPr>
        <w:t>2、环境影响报告书建议</w:t>
      </w:r>
    </w:p>
    <w:p>
      <w:pPr>
        <w:ind w:firstLine="560" w:firstLineChars="200"/>
        <w:rPr>
          <w:rFonts w:ascii="Times New Roman" w:hAnsi="Times New Roman" w:cs="Times New Roman"/>
        </w:rPr>
      </w:pPr>
      <w:r>
        <w:rPr>
          <w:rFonts w:ascii="Times New Roman" w:hAnsi="Times New Roman" w:cs="Times New Roman"/>
        </w:rPr>
        <w:t>（1）加强管理，保证污染防治设施的正常运行，并在设备选型和具休操作中，最大限度地减少污染排放给环境造成的影响。</w:t>
      </w:r>
    </w:p>
    <w:p>
      <w:pPr>
        <w:ind w:firstLine="560" w:firstLineChars="200"/>
        <w:rPr>
          <w:rFonts w:ascii="Times New Roman" w:hAnsi="Times New Roman" w:cs="Times New Roman"/>
        </w:rPr>
      </w:pPr>
      <w:r>
        <w:rPr>
          <w:rFonts w:ascii="Times New Roman" w:hAnsi="Times New Roman" w:cs="Times New Roman"/>
        </w:rPr>
        <w:t>（2）为提高企业竞争力，建议尽早建立ISO14001环境管理体系和进行清洁生产审核，以文件化、系统化、程序化的管理模式，使该厂成为持续改进、健康发展的新型企业。</w:t>
      </w:r>
    </w:p>
    <w:p>
      <w:pPr>
        <w:pStyle w:val="2"/>
        <w:ind w:firstLine="560"/>
        <w:rPr>
          <w:rFonts w:ascii="Times New Roman" w:hAnsi="Times New Roman" w:cs="Times New Roman"/>
        </w:rPr>
      </w:pPr>
    </w:p>
    <w:p>
      <w:pPr>
        <w:pStyle w:val="2"/>
        <w:ind w:firstLine="560"/>
        <w:rPr>
          <w:rFonts w:ascii="Times New Roman" w:hAnsi="Times New Roman" w:cs="Times New Roman"/>
        </w:rPr>
      </w:pPr>
    </w:p>
    <w:p>
      <w:pPr>
        <w:rPr>
          <w:rFonts w:ascii="Times New Roman" w:hAnsi="Times New Roman" w:cs="Times New Roman"/>
        </w:rPr>
        <w:sectPr>
          <w:pgSz w:w="16838" w:h="11906" w:orient="landscape"/>
          <w:pgMar w:top="1800" w:right="1440" w:bottom="1800" w:left="1440" w:header="851" w:footer="992" w:gutter="0"/>
          <w:cols w:space="720" w:num="1"/>
          <w:docGrid w:type="lines" w:linePitch="312" w:charSpace="0"/>
        </w:sectPr>
      </w:pPr>
    </w:p>
    <w:p>
      <w:pPr>
        <w:pStyle w:val="4"/>
        <w:rPr>
          <w:rFonts w:ascii="Times New Roman" w:hAnsi="Times New Roman" w:cs="Times New Roman"/>
        </w:rPr>
      </w:pPr>
      <w:bookmarkStart w:id="32" w:name="_Toc24929"/>
      <w:r>
        <w:rPr>
          <w:rFonts w:ascii="Times New Roman" w:hAnsi="Times New Roman" w:cs="Times New Roman"/>
        </w:rPr>
        <w:t>5.2 审批部门审批决定</w:t>
      </w:r>
      <w:bookmarkEnd w:id="32"/>
    </w:p>
    <w:p>
      <w:pPr>
        <w:ind w:firstLine="560" w:firstLineChars="200"/>
        <w:rPr>
          <w:rFonts w:ascii="Times New Roman" w:hAnsi="Times New Roman" w:cs="Times New Roman"/>
        </w:rPr>
      </w:pPr>
      <w:r>
        <w:rPr>
          <w:rFonts w:ascii="Times New Roman" w:hAnsi="Times New Roman" w:cs="Times New Roman"/>
        </w:rPr>
        <w:t>根据《中华人民共和国环境影响评价法》及《建设项目环境保护管理条例》有关规定，经对你单位报送的《山西太钢不锈钢股份有限公司不锈钢生产线降噪减排综合治理改造项目环境影响报告书》及有关资料进行审查，该项目符合国家产业政策，经认真研究，同意办理环保审批手续，同时提出如下环境保护要求：</w:t>
      </w:r>
    </w:p>
    <w:p>
      <w:pPr>
        <w:ind w:firstLine="560" w:firstLineChars="200"/>
        <w:rPr>
          <w:rFonts w:ascii="Times New Roman" w:hAnsi="Times New Roman" w:cs="Times New Roman"/>
        </w:rPr>
      </w:pPr>
      <w:r>
        <w:rPr>
          <w:rFonts w:ascii="Times New Roman" w:hAnsi="Times New Roman" w:cs="Times New Roman"/>
        </w:rPr>
        <w:t>一、原则同意报告书结论和专家技术审查意见。该项目位于山西太钢不锈钢股份有限公司炼钢一厂，投资7833.86万元，其中环保投资4300万元，项目建设内容为不锈钢生产线降噪减排综合治理项目，项目主体工程为：新建电炉降噪措施、新建合金熔化炉装置、新建合金熔化炉装置本体降噪措施、风机降噪措施、车间墙体措施、现有电炉除尘器改造、合金熔化装置除尘措施。项目在认真落实报告书及其批复规定的各项环境保护措施的基础上，从环保角度建设可行，如建设项目的性质、规模、地点、采用的工艺或者防治污染、防止生态破坏的措施发生重大变化时，建设单位应当重新报批建设项目的环境影响评价文件。</w:t>
      </w:r>
    </w:p>
    <w:p>
      <w:pPr>
        <w:ind w:firstLine="560" w:firstLineChars="200"/>
        <w:rPr>
          <w:rFonts w:ascii="Times New Roman" w:hAnsi="Times New Roman" w:cs="Times New Roman"/>
        </w:rPr>
      </w:pPr>
      <w:r>
        <w:rPr>
          <w:rFonts w:ascii="Times New Roman" w:hAnsi="Times New Roman" w:cs="Times New Roman"/>
        </w:rPr>
        <w:t>二、同意环评提出的施工期间环境保护措施，施工过程要严格按照《关于进一步加强建筑施工工地环境保护管理的通知》（并环发[2010]18号）和《防治城市扬尘污染技术规范》（HJ/T393-2007）等环境保护要求，施工期间要做好扬尘污染防治工作；施工产生废水进入太钢污水管网进入太钢污水处理系统进行处理；弃土（渣）要严格按照渣土管理部门要求进行合理处置。</w:t>
      </w:r>
    </w:p>
    <w:p>
      <w:pPr>
        <w:ind w:firstLine="560" w:firstLineChars="200"/>
        <w:rPr>
          <w:rFonts w:ascii="Times New Roman" w:hAnsi="Times New Roman" w:cs="Times New Roman"/>
        </w:rPr>
      </w:pPr>
      <w:r>
        <w:rPr>
          <w:rFonts w:ascii="Times New Roman" w:hAnsi="Times New Roman" w:cs="Times New Roman"/>
        </w:rPr>
        <w:t>三、切实落实营运期间环境保护措施</w:t>
      </w:r>
    </w:p>
    <w:p>
      <w:pPr>
        <w:ind w:firstLine="560" w:firstLineChars="200"/>
        <w:rPr>
          <w:rFonts w:ascii="Times New Roman" w:hAnsi="Times New Roman" w:cs="Times New Roman"/>
        </w:rPr>
      </w:pPr>
      <w:r>
        <w:rPr>
          <w:rFonts w:ascii="Times New Roman" w:hAnsi="Times New Roman" w:cs="Times New Roman"/>
        </w:rPr>
        <w:t>1、要认真落实大气污染防治措施。项目生产过程中电炉产生的二噁英、氟化物、颗粒物采取电炉除尘器更换现有滤袋，将现有的500g涤纶针刺毡更换为550g超细纤维滤料，现的电炉降尘采用160×7600超细纤维滤袋，电炉及熔化炉装置废气合并后并入改造后除尘器系统处理；汽车卸料地坑、料槽至1#皮带尾部，1#皮带2#皮带落料点至中间料仓、称量斗、接料车、合金熔化装置冶炼除尘、合金熔化装置等产尘点均设置集气罩，集气后废气经管道输送与电炉全并输送至改造后电炉除尘器系统处理，并经现有的2个30米高排气筒排放；污染物排放执行《炼钢工业大气污染物排放标准》（GB28664-2012）表3大气污染物特别排放浓度限值要求。</w:t>
      </w:r>
    </w:p>
    <w:p>
      <w:pPr>
        <w:ind w:firstLine="560" w:firstLineChars="200"/>
        <w:rPr>
          <w:rFonts w:ascii="Times New Roman" w:hAnsi="Times New Roman" w:cs="Times New Roman"/>
        </w:rPr>
      </w:pPr>
      <w:r>
        <w:rPr>
          <w:rFonts w:ascii="Times New Roman" w:hAnsi="Times New Roman" w:cs="Times New Roman"/>
        </w:rPr>
        <w:t>2、设备冷却循环废水回用于太钢炼钢一厂，不外排。</w:t>
      </w:r>
    </w:p>
    <w:p>
      <w:pPr>
        <w:ind w:firstLine="560" w:firstLineChars="200"/>
        <w:rPr>
          <w:rFonts w:ascii="Times New Roman" w:hAnsi="Times New Roman" w:cs="Times New Roman"/>
        </w:rPr>
      </w:pPr>
      <w:r>
        <w:rPr>
          <w:rFonts w:ascii="Times New Roman" w:hAnsi="Times New Roman" w:cs="Times New Roman"/>
        </w:rPr>
        <w:t>3、要防治噪声污染。合金熔化炉、电炉等产噪设备采用独立的装置本体平台、下部全封闭，磁轭共振处理、设置盖板及排烟罩、增设旋转式降噪吸风盖等多项消音处理，确保厂界噪声达到《工业企业厂界环境噪声排放标准》（GB12348-2008）中的厂界外3类噪声排放限值。</w:t>
      </w:r>
    </w:p>
    <w:p>
      <w:pPr>
        <w:ind w:firstLine="560" w:firstLineChars="200"/>
        <w:rPr>
          <w:rFonts w:ascii="Times New Roman" w:hAnsi="Times New Roman" w:cs="Times New Roman"/>
        </w:rPr>
      </w:pPr>
      <w:r>
        <w:rPr>
          <w:rFonts w:ascii="Times New Roman" w:hAnsi="Times New Roman" w:cs="Times New Roman"/>
        </w:rPr>
        <w:t>4、除尘器除尘灰送至太钢烧结车间回用；废耐火材料由太钢加工厂统一处理；废润滑油、液化油属于危废，根据《危险废物贮存污染控制标准》，暂存于危废暂存间，定期由有资质单位回收处理，危险废物暂存执行《危险废物贮存污染控制标准》（GB18597-2001）。</w:t>
      </w:r>
    </w:p>
    <w:p>
      <w:pPr>
        <w:ind w:firstLine="560" w:firstLineChars="200"/>
        <w:rPr>
          <w:rFonts w:ascii="Times New Roman" w:hAnsi="Times New Roman" w:cs="Times New Roman"/>
        </w:rPr>
      </w:pPr>
      <w:r>
        <w:rPr>
          <w:rFonts w:ascii="Times New Roman" w:hAnsi="Times New Roman" w:cs="Times New Roman"/>
        </w:rPr>
        <w:t>四、项目位于兰村泉域一级保护区范围内，根据《太原市兰村泉域水资源保护条例》的相关规定，你单位应按照水务部门提出的有关要求和意见执行。</w:t>
      </w:r>
    </w:p>
    <w:p>
      <w:pPr>
        <w:ind w:firstLine="560" w:firstLineChars="200"/>
        <w:rPr>
          <w:rFonts w:ascii="Times New Roman" w:hAnsi="Times New Roman" w:cs="Times New Roman"/>
        </w:rPr>
      </w:pPr>
      <w:r>
        <w:rPr>
          <w:rFonts w:ascii="Times New Roman" w:hAnsi="Times New Roman" w:cs="Times New Roman"/>
        </w:rPr>
        <w:t>五、报告书和本批复规定的各项环境保护措施要逐项落实，做到污染防治设施和主体工程同时设计、同时施工、同时投入使用。项目建成后，需按照省环保厅《关于做好建设项目环境保护管理相关工作的通知》（晋环许可函[2018]39号）要求办理竣工验收事宜。我局委托市环境监察支队负责本项目的现场监察和监督管理工作。</w:t>
      </w: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33" w:name="_Toc14411"/>
      <w:r>
        <w:rPr>
          <w:rFonts w:ascii="Times New Roman" w:hAnsi="Times New Roman" w:cs="Times New Roman"/>
        </w:rPr>
        <w:t>6  验收执行标准</w:t>
      </w:r>
      <w:bookmarkEnd w:id="33"/>
    </w:p>
    <w:p>
      <w:pPr>
        <w:pStyle w:val="4"/>
        <w:rPr>
          <w:rFonts w:ascii="Times New Roman" w:hAnsi="Times New Roman" w:cs="Times New Roman"/>
        </w:rPr>
      </w:pPr>
      <w:bookmarkStart w:id="34" w:name="_Toc32361"/>
      <w:r>
        <w:rPr>
          <w:rFonts w:ascii="Times New Roman" w:hAnsi="Times New Roman" w:cs="Times New Roman"/>
        </w:rPr>
        <w:t>6.1 环境质量标准</w:t>
      </w:r>
      <w:bookmarkEnd w:id="34"/>
    </w:p>
    <w:p>
      <w:pPr>
        <w:ind w:firstLine="560" w:firstLineChars="200"/>
        <w:rPr>
          <w:rFonts w:ascii="Times New Roman" w:hAnsi="Times New Roman" w:cs="Times New Roman"/>
        </w:rPr>
      </w:pPr>
      <w:r>
        <w:rPr>
          <w:rFonts w:ascii="Times New Roman" w:hAnsi="Times New Roman" w:cs="Times New Roman"/>
        </w:rPr>
        <w:t>（1）环境空气</w:t>
      </w:r>
    </w:p>
    <w:p>
      <w:pPr>
        <w:ind w:firstLine="560" w:firstLineChars="200"/>
        <w:rPr>
          <w:rFonts w:ascii="Times New Roman" w:hAnsi="Times New Roman" w:cs="Times New Roman"/>
        </w:rPr>
      </w:pPr>
      <w:r>
        <w:rPr>
          <w:rFonts w:ascii="Times New Roman" w:hAnsi="Times New Roman" w:cs="Times New Roman"/>
        </w:rPr>
        <w:t>环境空气：TSP、PM</w:t>
      </w:r>
      <w:r>
        <w:rPr>
          <w:rFonts w:ascii="Times New Roman" w:hAnsi="Times New Roman" w:cs="Times New Roman"/>
          <w:vertAlign w:val="subscript"/>
        </w:rPr>
        <w:t>10</w:t>
      </w:r>
      <w:r>
        <w:rPr>
          <w:rFonts w:ascii="Times New Roman" w:hAnsi="Times New Roman" w:cs="Times New Roman"/>
        </w:rPr>
        <w:t>、SO</w:t>
      </w:r>
      <w:r>
        <w:rPr>
          <w:rFonts w:ascii="Times New Roman" w:hAnsi="Times New Roman" w:cs="Times New Roman"/>
          <w:vertAlign w:val="subscript"/>
        </w:rPr>
        <w:t>2</w:t>
      </w:r>
      <w:r>
        <w:rPr>
          <w:rFonts w:ascii="Times New Roman" w:hAnsi="Times New Roman" w:cs="Times New Roman"/>
        </w:rPr>
        <w:t>、PM</w:t>
      </w:r>
      <w:r>
        <w:rPr>
          <w:rFonts w:ascii="Times New Roman" w:hAnsi="Times New Roman" w:cs="Times New Roman"/>
          <w:vertAlign w:val="subscript"/>
        </w:rPr>
        <w:t>2.5</w:t>
      </w:r>
      <w:r>
        <w:rPr>
          <w:rFonts w:ascii="Times New Roman" w:hAnsi="Times New Roman" w:cs="Times New Roman"/>
        </w:rPr>
        <w:t>、NO</w:t>
      </w:r>
      <w:r>
        <w:rPr>
          <w:rFonts w:ascii="Times New Roman" w:hAnsi="Times New Roman" w:cs="Times New Roman"/>
          <w:vertAlign w:val="subscript"/>
        </w:rPr>
        <w:t>2</w:t>
      </w:r>
      <w:r>
        <w:rPr>
          <w:rFonts w:ascii="Times New Roman" w:hAnsi="Times New Roman" w:cs="Times New Roman"/>
        </w:rPr>
        <w:t>及氟化物执行《环境空气质量标准》（GB3095-2012）二级标准，二噁英参照日本环境厅标准限值，项目环境空气执行标准见下表。</w:t>
      </w:r>
    </w:p>
    <w:p>
      <w:pPr>
        <w:jc w:val="center"/>
        <w:rPr>
          <w:rFonts w:ascii="Times New Roman" w:hAnsi="Times New Roman" w:cs="Times New Roman"/>
        </w:rPr>
      </w:pPr>
      <w:r>
        <w:rPr>
          <w:rFonts w:ascii="Times New Roman" w:hAnsi="Times New Roman" w:cs="Times New Roman"/>
        </w:rPr>
        <w:t>表6-1  环境空气标准限值</w:t>
      </w:r>
    </w:p>
    <w:tbl>
      <w:tblPr>
        <w:tblStyle w:val="22"/>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1417"/>
        <w:gridCol w:w="1701"/>
        <w:gridCol w:w="1701"/>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9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项目</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年平均</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24小时平均</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1小时平均</w:t>
            </w:r>
          </w:p>
        </w:tc>
        <w:tc>
          <w:tcPr>
            <w:tcW w:w="283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9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TSP</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200</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8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《环境空气质量标准》（GB3095-2012）</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二级标准</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单位：μg/m³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91" w:type="dxa"/>
            <w:vAlign w:val="center"/>
          </w:tcPr>
          <w:p>
            <w:pPr>
              <w:spacing w:line="276" w:lineRule="auto"/>
              <w:jc w:val="center"/>
              <w:rPr>
                <w:rFonts w:ascii="Times New Roman" w:hAnsi="Times New Roman" w:cs="Times New Roman"/>
                <w:sz w:val="24"/>
                <w:szCs w:val="24"/>
                <w:vertAlign w:val="subscript"/>
              </w:rPr>
            </w:pPr>
            <w:r>
              <w:rPr>
                <w:rFonts w:ascii="Times New Roman" w:hAnsi="Times New Roman" w:cs="Times New Roman"/>
                <w:sz w:val="24"/>
                <w:szCs w:val="24"/>
              </w:rPr>
              <w:t>PM</w:t>
            </w:r>
            <w:r>
              <w:rPr>
                <w:rFonts w:ascii="Times New Roman" w:hAnsi="Times New Roman" w:cs="Times New Roman"/>
                <w:sz w:val="24"/>
                <w:szCs w:val="24"/>
                <w:vertAlign w:val="subscript"/>
              </w:rPr>
              <w:t>10</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70</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150</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835"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91" w:type="dxa"/>
            <w:vAlign w:val="center"/>
          </w:tcPr>
          <w:p>
            <w:pPr>
              <w:spacing w:line="276" w:lineRule="auto"/>
              <w:jc w:val="center"/>
              <w:rPr>
                <w:rFonts w:ascii="Times New Roman" w:hAnsi="Times New Roman" w:cs="Times New Roman"/>
                <w:sz w:val="24"/>
                <w:szCs w:val="24"/>
                <w:vertAlign w:val="subscript"/>
              </w:rPr>
            </w:pPr>
            <w:r>
              <w:rPr>
                <w:rFonts w:ascii="Times New Roman" w:hAnsi="Times New Roman" w:cs="Times New Roman"/>
                <w:sz w:val="24"/>
                <w:szCs w:val="24"/>
              </w:rPr>
              <w:t>SO</w:t>
            </w:r>
            <w:r>
              <w:rPr>
                <w:rFonts w:ascii="Times New Roman" w:hAnsi="Times New Roman" w:cs="Times New Roman"/>
                <w:sz w:val="24"/>
                <w:szCs w:val="24"/>
                <w:vertAlign w:val="subscript"/>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75</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835"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91" w:type="dxa"/>
            <w:vAlign w:val="center"/>
          </w:tcPr>
          <w:p>
            <w:pPr>
              <w:spacing w:line="276" w:lineRule="auto"/>
              <w:jc w:val="center"/>
              <w:rPr>
                <w:rFonts w:ascii="Times New Roman" w:hAnsi="Times New Roman" w:cs="Times New Roman"/>
                <w:sz w:val="24"/>
                <w:szCs w:val="24"/>
                <w:vertAlign w:val="subscript"/>
              </w:rPr>
            </w:pPr>
            <w:r>
              <w:rPr>
                <w:rFonts w:ascii="Times New Roman" w:hAnsi="Times New Roman" w:cs="Times New Roman"/>
                <w:sz w:val="24"/>
                <w:szCs w:val="24"/>
              </w:rPr>
              <w:t>PM</w:t>
            </w:r>
            <w:r>
              <w:rPr>
                <w:rFonts w:ascii="Times New Roman" w:hAnsi="Times New Roman" w:cs="Times New Roman"/>
                <w:sz w:val="24"/>
                <w:szCs w:val="24"/>
                <w:vertAlign w:val="subscript"/>
              </w:rPr>
              <w:t>2.5</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60</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150</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2835"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9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NO</w:t>
            </w:r>
            <w:r>
              <w:rPr>
                <w:rFonts w:ascii="Times New Roman" w:hAnsi="Times New Roman" w:cs="Times New Roman"/>
                <w:sz w:val="24"/>
                <w:szCs w:val="24"/>
                <w:vertAlign w:val="subscript"/>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80</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200</w:t>
            </w:r>
          </w:p>
        </w:tc>
        <w:tc>
          <w:tcPr>
            <w:tcW w:w="2835"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9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氟化物F</w:t>
            </w:r>
          </w:p>
        </w:tc>
        <w:tc>
          <w:tcPr>
            <w:tcW w:w="1417" w:type="dxa"/>
            <w:vAlign w:val="center"/>
          </w:tcPr>
          <w:p>
            <w:pPr>
              <w:spacing w:line="276" w:lineRule="auto"/>
              <w:jc w:val="center"/>
              <w:rPr>
                <w:rFonts w:ascii="Times New Roman" w:hAnsi="Times New Roman" w:cs="Times New Roman"/>
                <w:sz w:val="24"/>
                <w:szCs w:val="24"/>
              </w:rPr>
            </w:pP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2835"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9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二噁英</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0.6pg/m³</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7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83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日本环境厅制定标准</w:t>
            </w:r>
          </w:p>
        </w:tc>
      </w:tr>
    </w:tbl>
    <w:p>
      <w:pPr>
        <w:ind w:firstLine="560" w:firstLineChars="200"/>
        <w:rPr>
          <w:rFonts w:ascii="Times New Roman" w:hAnsi="Times New Roman" w:cs="Times New Roman"/>
        </w:rPr>
      </w:pPr>
      <w:r>
        <w:rPr>
          <w:rFonts w:ascii="Times New Roman" w:hAnsi="Times New Roman" w:cs="Times New Roman"/>
        </w:rPr>
        <w:t>（2）地表水环境</w:t>
      </w:r>
    </w:p>
    <w:p>
      <w:pPr>
        <w:ind w:firstLine="560" w:firstLineChars="200"/>
        <w:rPr>
          <w:rFonts w:ascii="Times New Roman" w:hAnsi="Times New Roman" w:cs="Times New Roman"/>
        </w:rPr>
      </w:pPr>
      <w:r>
        <w:rPr>
          <w:rFonts w:ascii="Times New Roman" w:hAnsi="Times New Roman" w:cs="Times New Roman"/>
        </w:rPr>
        <w:t>地表水：根据《山西省地表水水环境功能区划》（DB14/67-2014），本项目位于汾河水系铁桥至祥云桥段，水环境功能为城市景观娱乐用水保护，水质要求为Ⅳ类，执行《地表水环境质量标准》（GB3838-2002）中的Ⅳ类标准。</w:t>
      </w:r>
    </w:p>
    <w:p>
      <w:pPr>
        <w:jc w:val="center"/>
        <w:rPr>
          <w:rFonts w:ascii="Times New Roman" w:hAnsi="Times New Roman" w:cs="Times New Roman"/>
        </w:rPr>
      </w:pPr>
      <w:r>
        <w:rPr>
          <w:rFonts w:ascii="Times New Roman" w:hAnsi="Times New Roman" w:cs="Times New Roman"/>
        </w:rPr>
        <w:t>表6-2  地表水标准限值</w:t>
      </w:r>
    </w:p>
    <w:tbl>
      <w:tblPr>
        <w:tblStyle w:val="22"/>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850"/>
        <w:gridCol w:w="850"/>
        <w:gridCol w:w="850"/>
        <w:gridCol w:w="850"/>
        <w:gridCol w:w="1134"/>
        <w:gridCol w:w="113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0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项目</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pH</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COD</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mg/L</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BOD</w:t>
            </w:r>
            <w:r>
              <w:rPr>
                <w:rFonts w:ascii="Times New Roman" w:hAnsi="Times New Roman" w:cs="Times New Roman"/>
                <w:sz w:val="24"/>
                <w:szCs w:val="24"/>
                <w:vertAlign w:val="subscript"/>
              </w:rPr>
              <w:t>5</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mg/L</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氨氮</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mg/L</w:t>
            </w:r>
          </w:p>
        </w:tc>
        <w:tc>
          <w:tcPr>
            <w:tcW w:w="113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石油类</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mg/L</w:t>
            </w:r>
          </w:p>
        </w:tc>
        <w:tc>
          <w:tcPr>
            <w:tcW w:w="113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硫化物</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mg/L</w:t>
            </w:r>
          </w:p>
        </w:tc>
        <w:tc>
          <w:tcPr>
            <w:tcW w:w="226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阴离子表面活性剂</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0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标准限值</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6-9</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13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113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226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r>
    </w:tbl>
    <w:p>
      <w:pPr>
        <w:ind w:firstLine="560" w:firstLineChars="200"/>
        <w:rPr>
          <w:rFonts w:ascii="Times New Roman" w:hAnsi="Times New Roman" w:cs="Times New Roman"/>
        </w:rPr>
      </w:pPr>
      <w:r>
        <w:rPr>
          <w:rFonts w:ascii="Times New Roman" w:hAnsi="Times New Roman" w:cs="Times New Roman"/>
        </w:rPr>
        <w:t>（3）声环境</w:t>
      </w:r>
    </w:p>
    <w:p>
      <w:pPr>
        <w:ind w:firstLine="560" w:firstLineChars="200"/>
        <w:rPr>
          <w:rFonts w:ascii="Times New Roman" w:hAnsi="Times New Roman" w:cs="Times New Roman"/>
        </w:rPr>
      </w:pPr>
      <w:r>
        <w:rPr>
          <w:rFonts w:ascii="Times New Roman" w:hAnsi="Times New Roman" w:cs="Times New Roman"/>
        </w:rPr>
        <w:t>根据《声环境质量标准》（GB3096-2008）和《太原市城市区域环境噪声适用区域划分调整图》，太钢厂区所在区域属于3类区，敏感点声环境执行《声环境质量标准》（GB3096-2008）中的2类标准。</w:t>
      </w:r>
    </w:p>
    <w:p>
      <w:pPr>
        <w:jc w:val="center"/>
        <w:rPr>
          <w:rFonts w:ascii="Times New Roman" w:hAnsi="Times New Roman" w:cs="Times New Roman"/>
        </w:rPr>
      </w:pPr>
      <w:r>
        <w:rPr>
          <w:rFonts w:ascii="Times New Roman" w:hAnsi="Times New Roman" w:cs="Times New Roman"/>
        </w:rPr>
        <w:t>表6-3  声环境质量标准（单位：dB（A））</w:t>
      </w:r>
    </w:p>
    <w:tbl>
      <w:tblPr>
        <w:tblStyle w:val="22"/>
        <w:tblW w:w="8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1"/>
        <w:gridCol w:w="2721"/>
        <w:gridCol w:w="2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功能区类别/时段</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昼间</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3类</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65</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2类</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60</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w:t>
            </w:r>
          </w:p>
        </w:tc>
      </w:tr>
    </w:tbl>
    <w:p>
      <w:pPr>
        <w:pStyle w:val="4"/>
        <w:rPr>
          <w:rFonts w:ascii="Times New Roman" w:hAnsi="Times New Roman" w:cs="Times New Roman"/>
        </w:rPr>
      </w:pPr>
      <w:bookmarkStart w:id="35" w:name="_Toc32619"/>
      <w:r>
        <w:rPr>
          <w:rFonts w:ascii="Times New Roman" w:hAnsi="Times New Roman" w:cs="Times New Roman"/>
        </w:rPr>
        <w:t>6.2 污染物排放标准</w:t>
      </w:r>
      <w:bookmarkEnd w:id="35"/>
    </w:p>
    <w:p>
      <w:pPr>
        <w:ind w:firstLine="560" w:firstLineChars="200"/>
        <w:rPr>
          <w:rFonts w:ascii="Times New Roman" w:hAnsi="Times New Roman" w:cs="Times New Roman"/>
        </w:rPr>
      </w:pPr>
      <w:r>
        <w:rPr>
          <w:rFonts w:ascii="Times New Roman" w:hAnsi="Times New Roman" w:cs="Times New Roman"/>
        </w:rPr>
        <w:t>（1）废气</w:t>
      </w:r>
    </w:p>
    <w:p>
      <w:pPr>
        <w:ind w:firstLine="560" w:firstLineChars="200"/>
        <w:rPr>
          <w:rFonts w:ascii="Times New Roman" w:hAnsi="Times New Roman" w:cs="Times New Roman"/>
        </w:rPr>
      </w:pPr>
      <w:r>
        <w:rPr>
          <w:rFonts w:ascii="Times New Roman" w:hAnsi="Times New Roman" w:cs="Times New Roman"/>
        </w:rPr>
        <w:t>废气：本项目产生废气成分有颗粒物、氟化物、二噁英类，均执行《山西省钢铁工业大气污染物排放标准》（DB14/2249-2020）。</w:t>
      </w:r>
    </w:p>
    <w:p>
      <w:pPr>
        <w:jc w:val="center"/>
        <w:rPr>
          <w:rFonts w:ascii="Times New Roman" w:hAnsi="Times New Roman" w:cs="Times New Roman"/>
        </w:rPr>
      </w:pPr>
      <w:r>
        <w:rPr>
          <w:rFonts w:ascii="Times New Roman" w:hAnsi="Times New Roman" w:cs="Times New Roman"/>
        </w:rPr>
        <w:t>表6-4  大气污染物执行标准</w:t>
      </w:r>
    </w:p>
    <w:tbl>
      <w:tblPr>
        <w:tblStyle w:val="22"/>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2568"/>
        <w:gridCol w:w="1457"/>
        <w:gridCol w:w="1417"/>
        <w:gridCol w:w="2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7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污染因子</w:t>
            </w:r>
          </w:p>
        </w:tc>
        <w:tc>
          <w:tcPr>
            <w:tcW w:w="256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生产工艺或设施</w:t>
            </w:r>
          </w:p>
        </w:tc>
        <w:tc>
          <w:tcPr>
            <w:tcW w:w="14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限值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污染物排放监控位置</w:t>
            </w:r>
          </w:p>
        </w:tc>
        <w:tc>
          <w:tcPr>
            <w:tcW w:w="243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7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颗粒物</w:t>
            </w:r>
          </w:p>
        </w:tc>
        <w:tc>
          <w:tcPr>
            <w:tcW w:w="256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混铁炉及铁水预处理（包括倒灌、扒渣等）、转炉（二次烟气）、精炼炉、电炉</w:t>
            </w:r>
          </w:p>
        </w:tc>
        <w:tc>
          <w:tcPr>
            <w:tcW w:w="14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mg/m³</w:t>
            </w:r>
          </w:p>
        </w:tc>
        <w:tc>
          <w:tcPr>
            <w:tcW w:w="141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车间或生产设施排气筒</w:t>
            </w:r>
          </w:p>
        </w:tc>
        <w:tc>
          <w:tcPr>
            <w:tcW w:w="243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《山西省钢铁工业大气污染物排放标准》</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（DB14/2249-2020）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7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二噁英类</w:t>
            </w:r>
          </w:p>
        </w:tc>
        <w:tc>
          <w:tcPr>
            <w:tcW w:w="256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14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ngTEQ/Nm³</w:t>
            </w:r>
          </w:p>
        </w:tc>
        <w:tc>
          <w:tcPr>
            <w:tcW w:w="1417" w:type="dxa"/>
            <w:vMerge w:val="continue"/>
            <w:vAlign w:val="center"/>
          </w:tcPr>
          <w:p>
            <w:pPr>
              <w:spacing w:line="276" w:lineRule="auto"/>
              <w:jc w:val="center"/>
              <w:rPr>
                <w:rFonts w:ascii="Times New Roman" w:hAnsi="Times New Roman" w:cs="Times New Roman"/>
                <w:sz w:val="24"/>
                <w:szCs w:val="24"/>
              </w:rPr>
            </w:pPr>
          </w:p>
        </w:tc>
        <w:tc>
          <w:tcPr>
            <w:tcW w:w="2438"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7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氟化物</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（以F计）</w:t>
            </w:r>
          </w:p>
        </w:tc>
        <w:tc>
          <w:tcPr>
            <w:tcW w:w="256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电渣冶金</w:t>
            </w:r>
          </w:p>
        </w:tc>
        <w:tc>
          <w:tcPr>
            <w:tcW w:w="14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mg/m³</w:t>
            </w:r>
          </w:p>
        </w:tc>
        <w:tc>
          <w:tcPr>
            <w:tcW w:w="1417" w:type="dxa"/>
            <w:vMerge w:val="continue"/>
            <w:vAlign w:val="center"/>
          </w:tcPr>
          <w:p>
            <w:pPr>
              <w:spacing w:line="276" w:lineRule="auto"/>
              <w:jc w:val="center"/>
              <w:rPr>
                <w:rFonts w:ascii="Times New Roman" w:hAnsi="Times New Roman" w:cs="Times New Roman"/>
                <w:sz w:val="24"/>
                <w:szCs w:val="24"/>
              </w:rPr>
            </w:pPr>
          </w:p>
        </w:tc>
        <w:tc>
          <w:tcPr>
            <w:tcW w:w="2438" w:type="dxa"/>
            <w:vMerge w:val="continue"/>
            <w:vAlign w:val="center"/>
          </w:tcPr>
          <w:p>
            <w:pPr>
              <w:spacing w:line="276" w:lineRule="auto"/>
              <w:jc w:val="center"/>
              <w:rPr>
                <w:rFonts w:ascii="Times New Roman" w:hAnsi="Times New Roman" w:cs="Times New Roman"/>
                <w:sz w:val="24"/>
                <w:szCs w:val="24"/>
              </w:rPr>
            </w:pPr>
          </w:p>
        </w:tc>
      </w:tr>
    </w:tbl>
    <w:p>
      <w:pPr>
        <w:ind w:firstLine="560" w:firstLineChars="200"/>
        <w:rPr>
          <w:rFonts w:ascii="Times New Roman" w:hAnsi="Times New Roman" w:cs="Times New Roman"/>
        </w:rPr>
      </w:pPr>
      <w:r>
        <w:rPr>
          <w:rFonts w:ascii="Times New Roman" w:hAnsi="Times New Roman" w:cs="Times New Roman"/>
        </w:rPr>
        <w:t>（2）噪声</w:t>
      </w:r>
    </w:p>
    <w:p>
      <w:pPr>
        <w:ind w:firstLine="560" w:firstLineChars="200"/>
        <w:rPr>
          <w:rFonts w:ascii="Times New Roman" w:hAnsi="Times New Roman" w:cs="Times New Roman"/>
        </w:rPr>
      </w:pPr>
      <w:r>
        <w:rPr>
          <w:rFonts w:ascii="Times New Roman" w:hAnsi="Times New Roman" w:cs="Times New Roman"/>
        </w:rPr>
        <w:t>厂区边界执行《工业企业厂界环境噪声排放标准》（GB12348-2008）中3类标准。</w:t>
      </w:r>
    </w:p>
    <w:p>
      <w:pPr>
        <w:jc w:val="center"/>
        <w:rPr>
          <w:rFonts w:ascii="Times New Roman" w:hAnsi="Times New Roman" w:cs="Times New Roman"/>
        </w:rPr>
      </w:pPr>
      <w:r>
        <w:rPr>
          <w:rFonts w:ascii="Times New Roman" w:hAnsi="Times New Roman" w:cs="Times New Roman"/>
        </w:rPr>
        <w:t>表6-5  工业企业厂界环境噪声排放标准（单位：dB（A））</w:t>
      </w:r>
    </w:p>
    <w:tbl>
      <w:tblPr>
        <w:tblStyle w:val="22"/>
        <w:tblW w:w="8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1"/>
        <w:gridCol w:w="2721"/>
        <w:gridCol w:w="2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功能区类别/时段</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昼间</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3类</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65</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r>
    </w:tbl>
    <w:p>
      <w:pPr>
        <w:ind w:firstLine="560" w:firstLineChars="200"/>
        <w:rPr>
          <w:rFonts w:ascii="Times New Roman" w:hAnsi="Times New Roman" w:cs="Times New Roman"/>
        </w:rPr>
      </w:pPr>
      <w:r>
        <w:rPr>
          <w:rFonts w:ascii="Times New Roman" w:hAnsi="Times New Roman" w:cs="Times New Roman"/>
        </w:rPr>
        <w:t>（3）固体废物</w:t>
      </w:r>
    </w:p>
    <w:p>
      <w:pPr>
        <w:ind w:firstLine="560" w:firstLineChars="200"/>
        <w:rPr>
          <w:rFonts w:ascii="Times New Roman" w:hAnsi="Times New Roman" w:cs="Times New Roman"/>
        </w:rPr>
      </w:pPr>
      <w:r>
        <w:rPr>
          <w:rFonts w:ascii="Times New Roman" w:hAnsi="Times New Roman" w:cs="Times New Roman"/>
        </w:rPr>
        <w:t>固体废物执行《一般工业固体废物贮存、处置场污染控制标准》（GB 18599-2020）、《危险废物贮存污染控制标准》（GB18597-2001）和环保部公告2013年第36号修改单。</w:t>
      </w:r>
    </w:p>
    <w:p>
      <w:pPr>
        <w:ind w:firstLine="560" w:firstLineChars="200"/>
        <w:rPr>
          <w:rFonts w:ascii="Times New Roman" w:hAnsi="Times New Roman" w:cs="Times New Roman"/>
        </w:rPr>
      </w:pP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36" w:name="_Toc9858"/>
      <w:r>
        <w:rPr>
          <w:rFonts w:ascii="Times New Roman" w:hAnsi="Times New Roman" w:cs="Times New Roman"/>
        </w:rPr>
        <w:t>7 验收监测内容</w:t>
      </w:r>
      <w:bookmarkEnd w:id="36"/>
    </w:p>
    <w:p>
      <w:pPr>
        <w:pStyle w:val="5"/>
        <w:rPr>
          <w:rFonts w:ascii="Times New Roman" w:hAnsi="Times New Roman" w:cs="Times New Roman"/>
        </w:rPr>
      </w:pPr>
      <w:bookmarkStart w:id="37" w:name="_Toc1619"/>
      <w:r>
        <w:rPr>
          <w:rFonts w:ascii="Times New Roman" w:hAnsi="Times New Roman" w:cs="Times New Roman"/>
        </w:rPr>
        <w:t>7.1 废气</w:t>
      </w:r>
      <w:bookmarkEnd w:id="37"/>
    </w:p>
    <w:p>
      <w:pPr>
        <w:ind w:firstLine="560" w:firstLineChars="200"/>
        <w:rPr>
          <w:rFonts w:ascii="Times New Roman" w:hAnsi="Times New Roman" w:cs="Times New Roman"/>
        </w:rPr>
      </w:pPr>
      <w:r>
        <w:rPr>
          <w:rFonts w:ascii="Times New Roman" w:hAnsi="Times New Roman" w:cs="Times New Roman"/>
        </w:rPr>
        <w:t>有组织废气排放监测内容见下表，监测点位布置见下图。</w:t>
      </w:r>
    </w:p>
    <w:p>
      <w:pPr>
        <w:jc w:val="center"/>
        <w:rPr>
          <w:rFonts w:ascii="Times New Roman" w:hAnsi="Times New Roman" w:cs="Times New Roman"/>
        </w:rPr>
      </w:pPr>
      <w:r>
        <w:rPr>
          <w:rFonts w:ascii="Times New Roman" w:hAnsi="Times New Roman" w:cs="Times New Roman"/>
        </w:rPr>
        <w:t>表7-1  有组织废气监测内容一览表</w:t>
      </w:r>
    </w:p>
    <w:tbl>
      <w:tblPr>
        <w:tblStyle w:val="21"/>
        <w:tblW w:w="9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20"/>
        <w:gridCol w:w="850"/>
        <w:gridCol w:w="850"/>
        <w:gridCol w:w="1134"/>
        <w:gridCol w:w="850"/>
        <w:gridCol w:w="262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72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类别</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污染源</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名称</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环保</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设施</w:t>
            </w:r>
          </w:p>
        </w:tc>
        <w:tc>
          <w:tcPr>
            <w:tcW w:w="1134"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监测</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点位</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测点</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个数</w:t>
            </w:r>
          </w:p>
        </w:tc>
        <w:tc>
          <w:tcPr>
            <w:tcW w:w="2624"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监测项目及频次</w:t>
            </w:r>
          </w:p>
        </w:tc>
        <w:tc>
          <w:tcPr>
            <w:tcW w:w="2268"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负荷</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720" w:type="dxa"/>
            <w:vMerge w:val="restart"/>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有组织废气</w:t>
            </w:r>
          </w:p>
        </w:tc>
        <w:tc>
          <w:tcPr>
            <w:tcW w:w="850" w:type="dxa"/>
            <w:vAlign w:val="center"/>
          </w:tcPr>
          <w:p>
            <w:pPr>
              <w:snapToGrid w:val="0"/>
              <w:spacing w:line="276" w:lineRule="auto"/>
              <w:jc w:val="center"/>
              <w:rPr>
                <w:rFonts w:ascii="Times New Roman" w:hAnsi="Times New Roman" w:cs="Times New Roman"/>
                <w:bCs/>
                <w:sz w:val="24"/>
                <w:szCs w:val="24"/>
              </w:rPr>
            </w:pPr>
            <w:r>
              <w:rPr>
                <w:rFonts w:ascii="Times New Roman" w:hAnsi="Times New Roman" w:cs="Times New Roman"/>
                <w:bCs/>
                <w:sz w:val="24"/>
                <w:szCs w:val="24"/>
              </w:rPr>
              <w:t>合金熔化装置</w:t>
            </w:r>
          </w:p>
        </w:tc>
        <w:tc>
          <w:tcPr>
            <w:tcW w:w="850" w:type="dxa"/>
            <w:vAlign w:val="center"/>
          </w:tcPr>
          <w:p>
            <w:pPr>
              <w:snapToGrid w:val="0"/>
              <w:spacing w:line="276" w:lineRule="auto"/>
              <w:jc w:val="center"/>
              <w:rPr>
                <w:rFonts w:ascii="Times New Roman" w:hAnsi="Times New Roman" w:cs="Times New Roman"/>
                <w:bCs/>
                <w:sz w:val="24"/>
                <w:szCs w:val="24"/>
              </w:rPr>
            </w:pPr>
            <w:r>
              <w:rPr>
                <w:rFonts w:ascii="Times New Roman" w:hAnsi="Times New Roman" w:cs="Times New Roman"/>
                <w:bCs/>
                <w:sz w:val="24"/>
                <w:szCs w:val="24"/>
              </w:rPr>
              <w:t>集气罩</w:t>
            </w:r>
          </w:p>
        </w:tc>
        <w:tc>
          <w:tcPr>
            <w:tcW w:w="1134"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进口</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2624"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颗粒物、二噁英、氟化物浓度，监测2天，每天采样3次</w:t>
            </w:r>
          </w:p>
        </w:tc>
        <w:tc>
          <w:tcPr>
            <w:tcW w:w="2268" w:type="dxa"/>
            <w:vMerge w:val="restart"/>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运行负荷≥75%，同时记录烟气流量、温度、压力、湿度、含氧量等基础数据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720" w:type="dxa"/>
            <w:vMerge w:val="continue"/>
            <w:vAlign w:val="center"/>
          </w:tcPr>
          <w:p>
            <w:pPr>
              <w:spacing w:line="276" w:lineRule="auto"/>
              <w:jc w:val="center"/>
              <w:rPr>
                <w:rFonts w:ascii="Times New Roman" w:hAnsi="Times New Roman" w:cs="Times New Roman"/>
                <w:bCs/>
                <w:sz w:val="24"/>
                <w:szCs w:val="24"/>
              </w:rPr>
            </w:pPr>
          </w:p>
        </w:tc>
        <w:tc>
          <w:tcPr>
            <w:tcW w:w="850" w:type="dxa"/>
            <w:vAlign w:val="center"/>
          </w:tcPr>
          <w:p>
            <w:pPr>
              <w:snapToGrid w:val="0"/>
              <w:spacing w:line="276" w:lineRule="auto"/>
              <w:jc w:val="center"/>
              <w:rPr>
                <w:rFonts w:ascii="Times New Roman" w:hAnsi="Times New Roman" w:cs="Times New Roman"/>
                <w:bCs/>
                <w:sz w:val="24"/>
                <w:szCs w:val="24"/>
              </w:rPr>
            </w:pPr>
            <w:r>
              <w:rPr>
                <w:rFonts w:ascii="Times New Roman" w:hAnsi="Times New Roman" w:cs="Times New Roman"/>
                <w:bCs/>
                <w:sz w:val="24"/>
                <w:szCs w:val="24"/>
              </w:rPr>
              <w:t>电炉</w:t>
            </w:r>
          </w:p>
        </w:tc>
        <w:tc>
          <w:tcPr>
            <w:tcW w:w="850" w:type="dxa"/>
            <w:vAlign w:val="center"/>
          </w:tcPr>
          <w:p>
            <w:pPr>
              <w:snapToGrid w:val="0"/>
              <w:spacing w:line="276" w:lineRule="auto"/>
              <w:jc w:val="center"/>
              <w:rPr>
                <w:rFonts w:ascii="Times New Roman" w:hAnsi="Times New Roman" w:cs="Times New Roman"/>
                <w:bCs/>
                <w:sz w:val="24"/>
                <w:szCs w:val="24"/>
              </w:rPr>
            </w:pPr>
            <w:r>
              <w:rPr>
                <w:rFonts w:ascii="Times New Roman" w:hAnsi="Times New Roman" w:cs="Times New Roman"/>
                <w:bCs/>
                <w:sz w:val="24"/>
                <w:szCs w:val="24"/>
              </w:rPr>
              <w:t>除尘器</w:t>
            </w:r>
          </w:p>
        </w:tc>
        <w:tc>
          <w:tcPr>
            <w:tcW w:w="1134"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进、出口</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3</w:t>
            </w:r>
          </w:p>
        </w:tc>
        <w:tc>
          <w:tcPr>
            <w:tcW w:w="2624"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颗粒物、二噁英、氟化物浓度，监测2天，每天采样3次</w:t>
            </w:r>
          </w:p>
        </w:tc>
        <w:tc>
          <w:tcPr>
            <w:tcW w:w="2268" w:type="dxa"/>
            <w:vMerge w:val="continue"/>
            <w:vAlign w:val="center"/>
          </w:tcPr>
          <w:p>
            <w:pPr>
              <w:spacing w:line="276" w:lineRule="auto"/>
              <w:jc w:val="center"/>
              <w:rPr>
                <w:rFonts w:ascii="Times New Roman" w:hAnsi="Times New Roman" w:cs="Times New Roman"/>
                <w:bCs/>
                <w:sz w:val="24"/>
                <w:szCs w:val="24"/>
              </w:rPr>
            </w:pPr>
          </w:p>
        </w:tc>
      </w:tr>
    </w:tbl>
    <w:p>
      <w:pPr>
        <w:jc w:val="center"/>
        <w:rPr>
          <w:rFonts w:ascii="Times New Roman" w:hAnsi="Times New Roman" w:cs="Times New Roman"/>
          <w:highlight w:val="yellow"/>
        </w:rPr>
      </w:pPr>
      <w:r>
        <w:rPr>
          <w:rFonts w:ascii="等线" w:hAnsi="等线" w:eastAsia="宋体" w:cs="黑体"/>
          <w:kern w:val="2"/>
          <w:sz w:val="28"/>
          <w:szCs w:val="22"/>
          <w:lang w:val="en-US" w:eastAsia="zh-CN" w:bidi="ar-SA"/>
        </w:rPr>
        <w:pict>
          <v:shape id="图片 16" o:spid="_x0000_s1094" type="#_x0000_t75" style="position:absolute;left:0;margin-top:26.8pt;height:161.5pt;width:453.55pt;mso-position-horizontal:center;mso-position-horizontal-relative:margin;mso-wrap-distance-bottom:0pt;mso-wrap-distance-top:0pt;rotation:0f;z-index:251692032;" o:ole="f" fillcolor="#FFFFFF" filled="f" o:preferrelative="t" stroked="f" coordorigin="0,0" coordsize="21600,21600">
            <v:fill on="f" color2="#FFFFFF" focus="0%"/>
            <v:imagedata gain="65536f" blacklevel="0f" gamma="0" o:title="" r:id="rId18"/>
            <o:lock v:ext="edit" position="f" selection="f" grouping="f" rotation="f" cropping="f" text="f" aspectratio="t"/>
            <w10:wrap type="topAndBottom"/>
          </v:shape>
        </w:pict>
      </w:r>
    </w:p>
    <w:p>
      <w:pPr>
        <w:jc w:val="center"/>
        <w:rPr>
          <w:rFonts w:ascii="Times New Roman" w:hAnsi="Times New Roman" w:cs="Times New Roman"/>
        </w:rPr>
      </w:pPr>
      <w:r>
        <w:rPr>
          <w:rFonts w:ascii="Times New Roman" w:hAnsi="Times New Roman" w:cs="Times New Roman"/>
        </w:rPr>
        <w:t>图7-1  有组织废气监测点位布置图</w:t>
      </w:r>
    </w:p>
    <w:p>
      <w:pPr>
        <w:pStyle w:val="5"/>
        <w:rPr>
          <w:rFonts w:ascii="Times New Roman" w:hAnsi="Times New Roman" w:cs="Times New Roman"/>
        </w:rPr>
      </w:pPr>
      <w:bookmarkStart w:id="38" w:name="_Toc11600"/>
      <w:r>
        <w:rPr>
          <w:rFonts w:ascii="Times New Roman" w:hAnsi="Times New Roman" w:cs="Times New Roman"/>
        </w:rPr>
        <w:t>7.2 厂界噪声监测</w:t>
      </w:r>
      <w:bookmarkEnd w:id="38"/>
    </w:p>
    <w:p>
      <w:pPr>
        <w:ind w:firstLine="560" w:firstLineChars="200"/>
        <w:rPr>
          <w:rFonts w:ascii="Times New Roman" w:hAnsi="Times New Roman" w:cs="Times New Roman"/>
        </w:rPr>
      </w:pPr>
      <w:r>
        <w:rPr>
          <w:rFonts w:ascii="Times New Roman" w:hAnsi="Times New Roman" w:cs="Times New Roman"/>
        </w:rPr>
        <w:t>厂界噪声监测内容见下表，监测点位布置见下图。</w:t>
      </w:r>
    </w:p>
    <w:p>
      <w:pPr>
        <w:jc w:val="center"/>
        <w:rPr>
          <w:rFonts w:ascii="Times New Roman" w:hAnsi="Times New Roman" w:cs="Times New Roman"/>
        </w:rPr>
      </w:pPr>
      <w:r>
        <w:rPr>
          <w:rFonts w:ascii="Times New Roman" w:hAnsi="Times New Roman" w:cs="Times New Roman"/>
        </w:rPr>
        <w:t>表7-2  厂界噪声监测内容一览表</w:t>
      </w:r>
    </w:p>
    <w:tbl>
      <w:tblPr>
        <w:tblStyle w:val="21"/>
        <w:tblW w:w="92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20"/>
        <w:gridCol w:w="850"/>
        <w:gridCol w:w="1701"/>
        <w:gridCol w:w="850"/>
        <w:gridCol w:w="850"/>
        <w:gridCol w:w="198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72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类别</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污染源</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名称</w:t>
            </w:r>
          </w:p>
        </w:tc>
        <w:tc>
          <w:tcPr>
            <w:tcW w:w="1701"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环保</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设施</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监测</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点位</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测点</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个数</w:t>
            </w:r>
          </w:p>
        </w:tc>
        <w:tc>
          <w:tcPr>
            <w:tcW w:w="1984"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监测项目及频次</w:t>
            </w:r>
          </w:p>
        </w:tc>
        <w:tc>
          <w:tcPr>
            <w:tcW w:w="2268"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负荷</w:t>
            </w:r>
          </w:p>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72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噪声</w:t>
            </w:r>
          </w:p>
        </w:tc>
        <w:tc>
          <w:tcPr>
            <w:tcW w:w="850" w:type="dxa"/>
            <w:vAlign w:val="center"/>
          </w:tcPr>
          <w:p>
            <w:pPr>
              <w:snapToGrid w:val="0"/>
              <w:spacing w:line="276" w:lineRule="auto"/>
              <w:jc w:val="center"/>
              <w:rPr>
                <w:rFonts w:ascii="Times New Roman" w:hAnsi="Times New Roman" w:cs="Times New Roman"/>
                <w:bCs/>
                <w:sz w:val="24"/>
                <w:szCs w:val="24"/>
              </w:rPr>
            </w:pPr>
            <w:r>
              <w:rPr>
                <w:rFonts w:ascii="Times New Roman" w:hAnsi="Times New Roman" w:cs="Times New Roman"/>
                <w:bCs/>
                <w:sz w:val="24"/>
                <w:szCs w:val="24"/>
              </w:rPr>
              <w:t>主要产噪设备</w:t>
            </w:r>
          </w:p>
        </w:tc>
        <w:tc>
          <w:tcPr>
            <w:tcW w:w="1701" w:type="dxa"/>
            <w:vAlign w:val="center"/>
          </w:tcPr>
          <w:p>
            <w:pPr>
              <w:snapToGrid w:val="0"/>
              <w:spacing w:line="276" w:lineRule="auto"/>
              <w:jc w:val="center"/>
              <w:rPr>
                <w:rFonts w:ascii="Times New Roman" w:hAnsi="Times New Roman" w:cs="Times New Roman"/>
                <w:bCs/>
                <w:sz w:val="24"/>
                <w:szCs w:val="24"/>
              </w:rPr>
            </w:pPr>
            <w:r>
              <w:rPr>
                <w:rFonts w:ascii="Times New Roman" w:hAnsi="Times New Roman" w:cs="Times New Roman"/>
                <w:bCs/>
                <w:sz w:val="24"/>
                <w:szCs w:val="24"/>
              </w:rPr>
              <w:t>设置消声、吸声、阻尼材料隔声减震等</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厂界四周</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10</w:t>
            </w:r>
          </w:p>
        </w:tc>
        <w:tc>
          <w:tcPr>
            <w:tcW w:w="1984"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Leq、L10、L50、L90、SD昼夜监测，连续两天</w:t>
            </w:r>
          </w:p>
        </w:tc>
        <w:tc>
          <w:tcPr>
            <w:tcW w:w="2268" w:type="dxa"/>
            <w:vAlign w:val="center"/>
          </w:tcPr>
          <w:p>
            <w:pPr>
              <w:spacing w:line="276" w:lineRule="auto"/>
              <w:rPr>
                <w:rFonts w:ascii="Times New Roman" w:hAnsi="Times New Roman" w:cs="Times New Roman"/>
                <w:bCs/>
                <w:sz w:val="24"/>
                <w:szCs w:val="24"/>
              </w:rPr>
            </w:pPr>
            <w:r>
              <w:rPr>
                <w:rFonts w:ascii="Times New Roman" w:hAnsi="Times New Roman" w:cs="Times New Roman"/>
                <w:bCs/>
                <w:sz w:val="24"/>
                <w:szCs w:val="24"/>
              </w:rPr>
              <w:t>运行负荷≥75%，工况稳定；监测在无雨、无雪的天气条件下进行，风速小于5m/s</w:t>
            </w:r>
          </w:p>
        </w:tc>
      </w:tr>
    </w:tbl>
    <w:p>
      <w:pPr>
        <w:jc w:val="center"/>
        <w:rPr>
          <w:rFonts w:ascii="Times New Roman" w:hAnsi="Times New Roman" w:cs="Times New Roman"/>
        </w:rPr>
      </w:pPr>
    </w:p>
    <w:p>
      <w:pPr>
        <w:jc w:val="center"/>
        <w:rPr>
          <w:rFonts w:ascii="Times New Roman" w:hAnsi="Times New Roman" w:cs="Times New Roman"/>
        </w:rPr>
      </w:pPr>
      <w:r>
        <w:rPr>
          <w:rFonts w:ascii="等线" w:hAnsi="等线" w:eastAsia="宋体" w:cs="黑体"/>
          <w:kern w:val="2"/>
          <w:sz w:val="28"/>
          <w:szCs w:val="22"/>
          <w:lang w:val="en-US" w:eastAsia="zh-CN" w:bidi="ar-SA"/>
        </w:rPr>
        <w:pict>
          <v:shape id="图片 17" o:spid="_x0000_s1095" type="#_x0000_t75" style="position:absolute;left:0;margin-left:54pt;margin-top:14.15pt;height:485.05pt;width:283.45pt;mso-wrap-distance-bottom:0pt;mso-wrap-distance-top:0pt;rotation:0f;z-index:251693056;" o:ole="f" fillcolor="#FFFFFF" filled="f" o:preferrelative="t" stroked="f" coordorigin="0,0" coordsize="21600,21600">
            <v:fill on="f" color2="#FFFFFF" focus="0%"/>
            <v:imagedata gain="65536f" blacklevel="0f" gamma="0" o:title="" r:id="rId19"/>
            <o:lock v:ext="edit" position="f" selection="f" grouping="f" rotation="f" cropping="f" text="f" aspectratio="t"/>
            <w10:wrap type="topAndBottom"/>
          </v:shape>
        </w:pict>
      </w:r>
      <w:r>
        <w:rPr>
          <w:rFonts w:ascii="Times New Roman" w:hAnsi="Times New Roman" w:cs="Times New Roman"/>
        </w:rPr>
        <w:t>图7-2  噪声监测点位布置图</w:t>
      </w: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39" w:name="_Toc21499"/>
      <w:r>
        <w:rPr>
          <w:rFonts w:ascii="Times New Roman" w:hAnsi="Times New Roman" w:cs="Times New Roman"/>
        </w:rPr>
        <w:t>8 质量保证和质量控制</w:t>
      </w:r>
      <w:bookmarkEnd w:id="39"/>
    </w:p>
    <w:p>
      <w:pPr>
        <w:ind w:firstLine="560" w:firstLineChars="200"/>
        <w:rPr>
          <w:rFonts w:ascii="Times New Roman" w:hAnsi="Times New Roman" w:cs="Times New Roman"/>
        </w:rPr>
      </w:pPr>
      <w:r>
        <w:rPr>
          <w:rFonts w:ascii="Times New Roman" w:hAnsi="Times New Roman" w:cs="Times New Roman"/>
        </w:rPr>
        <w:t>本次竣工环保验收由山西太钢环境监测有限公司承担颗粒物、氟化物和厂界噪声的监测工作，由上海金艺检测技术有限公司承担二噁英的监测工作。为确保本次监测数据准确、可靠，代表性强，依据《环境监测质量管理技术导则》（HJ630-2011）、《固定污染源监测质量保证与质量控制技术规范（试行）》（HJ/T373-2007）、《建设项目环境保护设施竣工验收监测技术要求》中质量控制与质量保证等有关规定，结合本次监测工作内容，在监测人员、现场采样、监测分析及数据处理等方面制定了质量保证措施。</w:t>
      </w:r>
    </w:p>
    <w:p>
      <w:pPr>
        <w:pStyle w:val="4"/>
        <w:rPr>
          <w:rFonts w:ascii="Times New Roman" w:hAnsi="Times New Roman" w:cs="Times New Roman"/>
        </w:rPr>
      </w:pPr>
      <w:bookmarkStart w:id="40" w:name="_Toc67"/>
      <w:r>
        <w:rPr>
          <w:rFonts w:ascii="Times New Roman" w:hAnsi="Times New Roman" w:cs="Times New Roman"/>
        </w:rPr>
        <w:t>8.1 监测分析方法</w:t>
      </w:r>
      <w:bookmarkEnd w:id="40"/>
    </w:p>
    <w:p>
      <w:pPr>
        <w:ind w:firstLine="560" w:firstLineChars="200"/>
        <w:rPr>
          <w:rFonts w:ascii="Times New Roman" w:hAnsi="Times New Roman" w:cs="Times New Roman"/>
        </w:rPr>
      </w:pPr>
      <w:r>
        <w:rPr>
          <w:rFonts w:ascii="Times New Roman" w:hAnsi="Times New Roman" w:cs="Times New Roman"/>
        </w:rPr>
        <w:t>监测项目采样、分析所用办法采用国家标准方法或国家统一方法，颗粒物、厂界噪声、二噁英、氟化物监测采样、分析方法详见下表。</w:t>
      </w:r>
    </w:p>
    <w:p>
      <w:pPr>
        <w:jc w:val="center"/>
        <w:rPr>
          <w:rFonts w:ascii="Times New Roman" w:hAnsi="Times New Roman" w:cs="Times New Roman"/>
        </w:rPr>
      </w:pPr>
      <w:r>
        <w:rPr>
          <w:rFonts w:ascii="Times New Roman" w:hAnsi="Times New Roman" w:cs="Times New Roman"/>
        </w:rPr>
        <w:t>表8-1  监测分析方法一览表</w:t>
      </w:r>
    </w:p>
    <w:tbl>
      <w:tblPr>
        <w:tblStyle w:val="21"/>
        <w:tblW w:w="97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417"/>
        <w:gridCol w:w="558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8" w:type="dxa"/>
            <w:tcBorders>
              <w:top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序号</w:t>
            </w:r>
          </w:p>
        </w:tc>
        <w:tc>
          <w:tcPr>
            <w:tcW w:w="1417" w:type="dxa"/>
            <w:tcBorders>
              <w:top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监测项目</w:t>
            </w:r>
          </w:p>
        </w:tc>
        <w:tc>
          <w:tcPr>
            <w:tcW w:w="5584" w:type="dxa"/>
            <w:tcBorders>
              <w:top w:val="single" w:color="auto" w:sz="4" w:space="0"/>
            </w:tcBorders>
            <w:vAlign w:val="center"/>
          </w:tcPr>
          <w:p>
            <w:pPr>
              <w:spacing w:line="276" w:lineRule="auto"/>
              <w:ind w:right="-227" w:rightChars="-81"/>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分析方法依据（标准名称及编号）</w:t>
            </w:r>
          </w:p>
        </w:tc>
        <w:tc>
          <w:tcPr>
            <w:tcW w:w="1984" w:type="dxa"/>
            <w:tcBorders>
              <w:top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分析方法检出限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8"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w:t>
            </w:r>
          </w:p>
        </w:tc>
        <w:tc>
          <w:tcPr>
            <w:tcW w:w="1417" w:type="dxa"/>
            <w:vMerge w:val="restart"/>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颗粒物</w:t>
            </w:r>
          </w:p>
        </w:tc>
        <w:tc>
          <w:tcPr>
            <w:tcW w:w="5584"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《固定污染源废气 低浓度颗粒物的测定 重量法》</w:t>
            </w:r>
          </w:p>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HJ836-2017</w:t>
            </w:r>
          </w:p>
        </w:tc>
        <w:tc>
          <w:tcPr>
            <w:tcW w:w="1984"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1.0mg/m</w:t>
            </w:r>
            <w:r>
              <w:rPr>
                <w:rFonts w:ascii="Times New Roman" w:hAnsi="Times New Roman" w:cs="Times New Roman"/>
                <w:bCs/>
                <w:color w:val="000000"/>
                <w:sz w:val="24"/>
                <w:szCs w:val="24"/>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8"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2</w:t>
            </w:r>
          </w:p>
        </w:tc>
        <w:tc>
          <w:tcPr>
            <w:tcW w:w="1417" w:type="dxa"/>
            <w:vMerge w:val="continue"/>
            <w:vAlign w:val="center"/>
          </w:tcPr>
          <w:p>
            <w:pPr>
              <w:spacing w:line="276" w:lineRule="auto"/>
              <w:jc w:val="center"/>
              <w:rPr>
                <w:rFonts w:ascii="Times New Roman" w:hAnsi="Times New Roman" w:cs="Times New Roman"/>
                <w:bCs/>
                <w:color w:val="000000"/>
                <w:sz w:val="24"/>
                <w:szCs w:val="24"/>
              </w:rPr>
            </w:pPr>
          </w:p>
        </w:tc>
        <w:tc>
          <w:tcPr>
            <w:tcW w:w="5584"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《固定源废气监测技术规范》</w:t>
            </w:r>
          </w:p>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HJ/T397-2007</w:t>
            </w:r>
          </w:p>
        </w:tc>
        <w:tc>
          <w:tcPr>
            <w:tcW w:w="1984"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6</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厂界噪声</w:t>
            </w:r>
          </w:p>
        </w:tc>
        <w:tc>
          <w:tcPr>
            <w:tcW w:w="558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《工业企业厂界环境噪声排放标准》</w:t>
            </w:r>
          </w:p>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GB12348-2008  5测量方法</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35dB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7</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二噁英</w:t>
            </w:r>
          </w:p>
        </w:tc>
        <w:tc>
          <w:tcPr>
            <w:tcW w:w="558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《环境空气和废气 二噁英的测定 同位素稀释 高分辨气相色谱—高分辨质谱法》</w:t>
            </w:r>
          </w:p>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HJ77.2-2008</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2,3,7,8-T</w:t>
            </w:r>
            <w:r>
              <w:rPr>
                <w:rFonts w:ascii="Times New Roman" w:hAnsi="Times New Roman" w:cs="Times New Roman"/>
                <w:bCs/>
                <w:color w:val="000000"/>
                <w:sz w:val="24"/>
                <w:szCs w:val="24"/>
                <w:vertAlign w:val="subscript"/>
              </w:rPr>
              <w:t>4</w:t>
            </w:r>
            <w:r>
              <w:rPr>
                <w:rFonts w:ascii="Times New Roman" w:hAnsi="Times New Roman" w:cs="Times New Roman"/>
                <w:bCs/>
                <w:color w:val="000000"/>
                <w:sz w:val="24"/>
                <w:szCs w:val="24"/>
              </w:rPr>
              <w:t>CDD仪器检出限低于0.1pg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8</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氟化物</w:t>
            </w:r>
          </w:p>
        </w:tc>
        <w:tc>
          <w:tcPr>
            <w:tcW w:w="558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《大气固定污染源氟化物的测定  离子选择电极法》HJ 67-2001</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当采样体积为150L时检出限为6×10</w:t>
            </w:r>
            <w:r>
              <w:rPr>
                <w:rFonts w:ascii="Times New Roman" w:hAnsi="Times New Roman" w:cs="Times New Roman"/>
                <w:bCs/>
                <w:color w:val="000000"/>
                <w:sz w:val="24"/>
                <w:szCs w:val="24"/>
                <w:vertAlign w:val="superscript"/>
              </w:rPr>
              <w:t>-2</w:t>
            </w:r>
            <w:r>
              <w:rPr>
                <w:rFonts w:ascii="Times New Roman" w:hAnsi="Times New Roman" w:cs="Times New Roman"/>
                <w:bCs/>
                <w:color w:val="000000"/>
                <w:sz w:val="24"/>
                <w:szCs w:val="24"/>
              </w:rPr>
              <w:t>mg/m</w:t>
            </w:r>
            <w:r>
              <w:rPr>
                <w:rFonts w:ascii="Times New Roman" w:hAnsi="Times New Roman" w:cs="Times New Roman"/>
                <w:bCs/>
                <w:color w:val="000000"/>
                <w:sz w:val="24"/>
                <w:szCs w:val="24"/>
                <w:vertAlign w:val="superscript"/>
              </w:rPr>
              <w:t>3</w:t>
            </w:r>
          </w:p>
        </w:tc>
      </w:tr>
    </w:tbl>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pStyle w:val="4"/>
        <w:rPr>
          <w:rFonts w:ascii="Times New Roman" w:hAnsi="Times New Roman" w:cs="Times New Roman"/>
        </w:rPr>
      </w:pPr>
      <w:bookmarkStart w:id="41" w:name="_Toc262"/>
      <w:r>
        <w:rPr>
          <w:rFonts w:ascii="Times New Roman" w:hAnsi="Times New Roman" w:cs="Times New Roman"/>
        </w:rPr>
        <w:t>8.2 监测仪器</w:t>
      </w:r>
      <w:bookmarkEnd w:id="41"/>
    </w:p>
    <w:p>
      <w:pPr>
        <w:ind w:firstLine="560" w:firstLineChars="200"/>
        <w:rPr>
          <w:rFonts w:ascii="Times New Roman" w:hAnsi="Times New Roman" w:cs="Times New Roman"/>
        </w:rPr>
      </w:pPr>
      <w:r>
        <w:rPr>
          <w:rFonts w:ascii="Times New Roman" w:hAnsi="Times New Roman" w:cs="Times New Roman"/>
        </w:rPr>
        <w:t>监测所用仪器全部经计量部门检定合格且在有效期内。具体监测分析仪器的检定情况详见下表。</w:t>
      </w:r>
    </w:p>
    <w:p>
      <w:pPr>
        <w:jc w:val="center"/>
        <w:rPr>
          <w:rFonts w:ascii="Times New Roman" w:hAnsi="Times New Roman" w:cs="Times New Roman"/>
        </w:rPr>
      </w:pPr>
      <w:r>
        <w:rPr>
          <w:rFonts w:ascii="Times New Roman" w:hAnsi="Times New Roman" w:cs="Times New Roman"/>
        </w:rPr>
        <w:t>表8-2  监测主要仪器一览表</w:t>
      </w:r>
    </w:p>
    <w:tbl>
      <w:tblPr>
        <w:tblStyle w:val="21"/>
        <w:tblW w:w="8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2268"/>
        <w:gridCol w:w="1814"/>
        <w:gridCol w:w="141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tcBorders>
              <w:top w:val="single" w:color="auto" w:sz="4" w:space="0"/>
            </w:tcBorders>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项目</w:t>
            </w:r>
          </w:p>
        </w:tc>
        <w:tc>
          <w:tcPr>
            <w:tcW w:w="2268" w:type="dxa"/>
            <w:tcBorders>
              <w:top w:val="single" w:color="auto" w:sz="4" w:space="0"/>
            </w:tcBorders>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仪器名称及型号</w:t>
            </w:r>
          </w:p>
        </w:tc>
        <w:tc>
          <w:tcPr>
            <w:tcW w:w="1814" w:type="dxa"/>
            <w:tcBorders>
              <w:top w:val="single" w:color="auto" w:sz="4" w:space="0"/>
            </w:tcBorders>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管理编号</w:t>
            </w:r>
          </w:p>
        </w:tc>
        <w:tc>
          <w:tcPr>
            <w:tcW w:w="1417" w:type="dxa"/>
            <w:tcBorders>
              <w:top w:val="single" w:color="auto" w:sz="4" w:space="0"/>
            </w:tcBorders>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检定部门</w:t>
            </w:r>
          </w:p>
        </w:tc>
        <w:tc>
          <w:tcPr>
            <w:tcW w:w="1701" w:type="dxa"/>
            <w:tcBorders>
              <w:top w:val="single" w:color="auto" w:sz="4" w:space="0"/>
            </w:tcBorders>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restart"/>
            <w:vAlign w:val="center"/>
          </w:tcPr>
          <w:p>
            <w:pPr>
              <w:spacing w:line="276" w:lineRule="auto"/>
              <w:jc w:val="center"/>
              <w:rPr>
                <w:rFonts w:ascii="Times New Roman" w:hAnsi="Times New Roman" w:cs="Times New Roman"/>
                <w:color w:val="000000"/>
                <w:spacing w:val="-20"/>
                <w:sz w:val="24"/>
                <w:szCs w:val="24"/>
              </w:rPr>
            </w:pPr>
            <w:r>
              <w:rPr>
                <w:rFonts w:ascii="Times New Roman" w:hAnsi="Times New Roman" w:cs="Times New Roman"/>
                <w:color w:val="000000"/>
                <w:sz w:val="24"/>
                <w:szCs w:val="24"/>
              </w:rPr>
              <w:t>颗粒物</w:t>
            </w:r>
          </w:p>
          <w:p>
            <w:pPr>
              <w:spacing w:line="276" w:lineRule="auto"/>
              <w:jc w:val="center"/>
              <w:rPr>
                <w:rFonts w:ascii="Times New Roman" w:hAnsi="Times New Roman" w:cs="Times New Roman"/>
                <w:color w:val="000000"/>
                <w:spacing w:val="-20"/>
                <w:sz w:val="24"/>
                <w:szCs w:val="24"/>
              </w:rPr>
            </w:pPr>
            <w:r>
              <w:rPr>
                <w:rFonts w:ascii="Times New Roman" w:hAnsi="Times New Roman" w:cs="Times New Roman"/>
                <w:color w:val="000000"/>
                <w:spacing w:val="-20"/>
                <w:sz w:val="24"/>
                <w:szCs w:val="24"/>
              </w:rPr>
              <w:t>氟化物</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噪声</w:t>
            </w:r>
          </w:p>
        </w:tc>
        <w:tc>
          <w:tcPr>
            <w:tcW w:w="226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3012H-D全自动烟尘（气）测试仪</w:t>
            </w:r>
          </w:p>
        </w:tc>
        <w:tc>
          <w:tcPr>
            <w:tcW w:w="1814" w:type="dxa"/>
            <w:vAlign w:val="center"/>
          </w:tcPr>
          <w:p>
            <w:pPr>
              <w:pStyle w:val="24"/>
              <w:spacing w:line="276" w:lineRule="auto"/>
              <w:jc w:val="center"/>
              <w:rPr>
                <w:rFonts w:eastAsia="宋体"/>
                <w:color w:val="000000"/>
              </w:rPr>
            </w:pPr>
            <w:r>
              <w:rPr>
                <w:rFonts w:eastAsia="宋体"/>
                <w:color w:val="000000"/>
              </w:rPr>
              <w:t>TGHJ-060</w:t>
            </w:r>
          </w:p>
          <w:p>
            <w:pPr>
              <w:pStyle w:val="24"/>
              <w:spacing w:line="276" w:lineRule="auto"/>
              <w:jc w:val="center"/>
              <w:rPr>
                <w:rFonts w:eastAsia="宋体"/>
              </w:rPr>
            </w:pPr>
            <w:r>
              <w:rPr>
                <w:rFonts w:eastAsia="宋体"/>
                <w:color w:val="000000"/>
              </w:rPr>
              <w:t>TGHJ-061</w:t>
            </w:r>
          </w:p>
        </w:tc>
        <w:tc>
          <w:tcPr>
            <w:tcW w:w="1417" w:type="dxa"/>
            <w:vMerge w:val="restart"/>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山西省计量科学研究院</w:t>
            </w:r>
          </w:p>
        </w:tc>
        <w:tc>
          <w:tcPr>
            <w:tcW w:w="1701"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2022.6.21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continue"/>
            <w:vAlign w:val="center"/>
          </w:tcPr>
          <w:p>
            <w:pPr>
              <w:spacing w:line="276" w:lineRule="auto"/>
              <w:jc w:val="center"/>
              <w:rPr>
                <w:rFonts w:ascii="Times New Roman" w:hAnsi="Times New Roman" w:cs="Times New Roman"/>
                <w:color w:val="000000"/>
                <w:sz w:val="24"/>
                <w:szCs w:val="24"/>
              </w:rPr>
            </w:pPr>
          </w:p>
        </w:tc>
        <w:tc>
          <w:tcPr>
            <w:tcW w:w="2268" w:type="dxa"/>
            <w:vMerge w:val="continue"/>
            <w:vAlign w:val="center"/>
          </w:tcPr>
          <w:p>
            <w:pPr>
              <w:spacing w:line="276" w:lineRule="auto"/>
              <w:jc w:val="center"/>
              <w:rPr>
                <w:rFonts w:ascii="Times New Roman" w:hAnsi="Times New Roman" w:cs="Times New Roman"/>
                <w:color w:val="000000"/>
                <w:sz w:val="24"/>
                <w:szCs w:val="24"/>
              </w:rPr>
            </w:pPr>
          </w:p>
        </w:tc>
        <w:tc>
          <w:tcPr>
            <w:tcW w:w="1814" w:type="dxa"/>
            <w:vAlign w:val="center"/>
          </w:tcPr>
          <w:p>
            <w:pPr>
              <w:pStyle w:val="24"/>
              <w:spacing w:line="276" w:lineRule="auto"/>
              <w:jc w:val="center"/>
              <w:rPr>
                <w:rFonts w:eastAsia="宋体"/>
                <w:color w:val="000000"/>
              </w:rPr>
            </w:pPr>
            <w:r>
              <w:rPr>
                <w:rFonts w:eastAsia="宋体"/>
                <w:color w:val="000000"/>
              </w:rPr>
              <w:t>TGHJ-146</w:t>
            </w:r>
          </w:p>
          <w:p>
            <w:pPr>
              <w:pStyle w:val="24"/>
              <w:spacing w:line="276" w:lineRule="auto"/>
              <w:jc w:val="center"/>
              <w:rPr>
                <w:rFonts w:eastAsia="宋体"/>
                <w:color w:val="000000"/>
              </w:rPr>
            </w:pPr>
            <w:r>
              <w:rPr>
                <w:rFonts w:eastAsia="宋体"/>
                <w:color w:val="000000"/>
              </w:rPr>
              <w:t>TGHJ-194</w:t>
            </w:r>
          </w:p>
          <w:p>
            <w:pPr>
              <w:pStyle w:val="24"/>
              <w:spacing w:line="276" w:lineRule="auto"/>
              <w:jc w:val="center"/>
              <w:rPr>
                <w:rFonts w:eastAsia="宋体"/>
                <w:color w:val="000000"/>
              </w:rPr>
            </w:pPr>
            <w:r>
              <w:rPr>
                <w:rFonts w:eastAsia="宋体"/>
                <w:color w:val="000000"/>
              </w:rPr>
              <w:t>TGHJ-195</w:t>
            </w:r>
          </w:p>
          <w:p>
            <w:pPr>
              <w:pStyle w:val="24"/>
              <w:spacing w:line="276" w:lineRule="auto"/>
              <w:jc w:val="center"/>
              <w:rPr>
                <w:rFonts w:eastAsia="宋体"/>
              </w:rPr>
            </w:pPr>
            <w:r>
              <w:rPr>
                <w:rFonts w:eastAsia="宋体"/>
                <w:color w:val="000000"/>
              </w:rPr>
              <w:t>TGHJ-196</w:t>
            </w:r>
          </w:p>
        </w:tc>
        <w:tc>
          <w:tcPr>
            <w:tcW w:w="1417"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701"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continue"/>
            <w:vAlign w:val="center"/>
          </w:tcPr>
          <w:p>
            <w:pPr>
              <w:spacing w:line="276" w:lineRule="auto"/>
              <w:jc w:val="center"/>
              <w:rPr>
                <w:rFonts w:ascii="Times New Roman" w:hAnsi="Times New Roman" w:cs="Times New Roman"/>
                <w:color w:val="000000"/>
                <w:sz w:val="24"/>
                <w:szCs w:val="24"/>
              </w:rPr>
            </w:pPr>
          </w:p>
        </w:tc>
        <w:tc>
          <w:tcPr>
            <w:tcW w:w="226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红外烟气综合分析仪</w:t>
            </w:r>
          </w:p>
        </w:tc>
        <w:tc>
          <w:tcPr>
            <w:tcW w:w="1814" w:type="dxa"/>
            <w:vAlign w:val="center"/>
          </w:tcPr>
          <w:p>
            <w:pPr>
              <w:pStyle w:val="24"/>
              <w:spacing w:line="276" w:lineRule="auto"/>
              <w:jc w:val="center"/>
              <w:rPr>
                <w:rFonts w:eastAsia="宋体"/>
                <w:color w:val="000000"/>
              </w:rPr>
            </w:pPr>
            <w:r>
              <w:rPr>
                <w:rFonts w:eastAsia="宋体"/>
                <w:color w:val="000000"/>
              </w:rPr>
              <w:t>TGHJ-092</w:t>
            </w:r>
          </w:p>
          <w:p>
            <w:pPr>
              <w:pStyle w:val="24"/>
              <w:spacing w:line="276" w:lineRule="auto"/>
              <w:jc w:val="center"/>
              <w:rPr>
                <w:rFonts w:eastAsia="宋体"/>
              </w:rPr>
            </w:pPr>
            <w:r>
              <w:rPr>
                <w:rFonts w:eastAsia="宋体"/>
                <w:color w:val="000000"/>
              </w:rPr>
              <w:t>TGHJ-202</w:t>
            </w:r>
          </w:p>
        </w:tc>
        <w:tc>
          <w:tcPr>
            <w:tcW w:w="1417"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701"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continue"/>
            <w:vAlign w:val="center"/>
          </w:tcPr>
          <w:p>
            <w:pPr>
              <w:spacing w:line="276" w:lineRule="auto"/>
              <w:jc w:val="center"/>
              <w:rPr>
                <w:rFonts w:ascii="Times New Roman" w:hAnsi="Times New Roman" w:cs="Times New Roman"/>
                <w:color w:val="000000"/>
                <w:sz w:val="24"/>
                <w:szCs w:val="24"/>
              </w:rPr>
            </w:pPr>
          </w:p>
        </w:tc>
        <w:tc>
          <w:tcPr>
            <w:tcW w:w="2268" w:type="dxa"/>
            <w:vAlign w:val="center"/>
          </w:tcPr>
          <w:p>
            <w:pPr>
              <w:adjustRightInd w:val="0"/>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十万分之一天平</w:t>
            </w:r>
          </w:p>
        </w:tc>
        <w:tc>
          <w:tcPr>
            <w:tcW w:w="1814" w:type="dxa"/>
            <w:vAlign w:val="center"/>
          </w:tcPr>
          <w:p>
            <w:pPr>
              <w:pStyle w:val="24"/>
              <w:spacing w:line="276" w:lineRule="auto"/>
              <w:jc w:val="center"/>
              <w:rPr>
                <w:rFonts w:eastAsia="宋体"/>
              </w:rPr>
            </w:pPr>
            <w:r>
              <w:rPr>
                <w:rFonts w:eastAsia="宋体"/>
                <w:color w:val="000000"/>
              </w:rPr>
              <w:t>TGHJ-031</w:t>
            </w:r>
          </w:p>
        </w:tc>
        <w:tc>
          <w:tcPr>
            <w:tcW w:w="1417" w:type="dxa"/>
            <w:vMerge w:val="continue"/>
            <w:vAlign w:val="center"/>
          </w:tcPr>
          <w:p>
            <w:pPr>
              <w:pStyle w:val="24"/>
              <w:snapToGrid w:val="0"/>
              <w:spacing w:line="276" w:lineRule="auto"/>
              <w:jc w:val="center"/>
              <w:rPr>
                <w:rFonts w:eastAsia="宋体"/>
                <w:color w:val="000000"/>
                <w:kern w:val="2"/>
              </w:rPr>
            </w:pPr>
          </w:p>
        </w:tc>
        <w:tc>
          <w:tcPr>
            <w:tcW w:w="1701" w:type="dxa"/>
            <w:vAlign w:val="center"/>
          </w:tcPr>
          <w:p>
            <w:pPr>
              <w:pStyle w:val="24"/>
              <w:spacing w:line="276" w:lineRule="auto"/>
              <w:jc w:val="center"/>
              <w:rPr>
                <w:rFonts w:eastAsia="宋体"/>
                <w:color w:val="000000"/>
                <w:kern w:val="2"/>
              </w:rPr>
            </w:pPr>
            <w:r>
              <w:rPr>
                <w:rFonts w:eastAsia="宋体"/>
                <w:color w:val="000000"/>
                <w:kern w:val="2"/>
              </w:rPr>
              <w:t>2022.6.17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continue"/>
            <w:vAlign w:val="center"/>
          </w:tcPr>
          <w:p>
            <w:pPr>
              <w:spacing w:line="276" w:lineRule="auto"/>
              <w:jc w:val="center"/>
              <w:rPr>
                <w:rFonts w:ascii="Times New Roman" w:hAnsi="Times New Roman" w:cs="Times New Roman"/>
                <w:color w:val="000000"/>
                <w:sz w:val="24"/>
                <w:szCs w:val="24"/>
              </w:rPr>
            </w:pPr>
          </w:p>
        </w:tc>
        <w:tc>
          <w:tcPr>
            <w:tcW w:w="2268" w:type="dxa"/>
            <w:vAlign w:val="center"/>
          </w:tcPr>
          <w:p>
            <w:pPr>
              <w:pStyle w:val="24"/>
              <w:spacing w:line="276" w:lineRule="auto"/>
              <w:jc w:val="center"/>
              <w:rPr>
                <w:rFonts w:eastAsia="宋体"/>
                <w:color w:val="000000"/>
                <w:kern w:val="2"/>
              </w:rPr>
            </w:pPr>
            <w:r>
              <w:rPr>
                <w:rFonts w:eastAsia="宋体"/>
                <w:color w:val="000000"/>
                <w:kern w:val="2"/>
              </w:rPr>
              <w:t>电热恒温干燥箱</w:t>
            </w:r>
          </w:p>
        </w:tc>
        <w:tc>
          <w:tcPr>
            <w:tcW w:w="1814" w:type="dxa"/>
            <w:vAlign w:val="center"/>
          </w:tcPr>
          <w:p>
            <w:pPr>
              <w:pStyle w:val="24"/>
              <w:spacing w:line="276" w:lineRule="auto"/>
              <w:contextualSpacing/>
              <w:jc w:val="center"/>
              <w:rPr>
                <w:rFonts w:eastAsia="宋体"/>
                <w:color w:val="000000"/>
                <w:kern w:val="2"/>
              </w:rPr>
            </w:pPr>
            <w:r>
              <w:rPr>
                <w:rFonts w:eastAsia="宋体"/>
                <w:color w:val="000000"/>
              </w:rPr>
              <w:t>TGHJ-041</w:t>
            </w:r>
          </w:p>
        </w:tc>
        <w:tc>
          <w:tcPr>
            <w:tcW w:w="1417" w:type="dxa"/>
            <w:vMerge w:val="continue"/>
            <w:vAlign w:val="center"/>
          </w:tcPr>
          <w:p>
            <w:pPr>
              <w:pStyle w:val="24"/>
              <w:snapToGrid w:val="0"/>
              <w:spacing w:line="276" w:lineRule="auto"/>
              <w:jc w:val="center"/>
              <w:rPr>
                <w:rFonts w:eastAsia="宋体"/>
                <w:color w:val="000000"/>
                <w:kern w:val="2"/>
              </w:rPr>
            </w:pPr>
          </w:p>
        </w:tc>
        <w:tc>
          <w:tcPr>
            <w:tcW w:w="1701" w:type="dxa"/>
            <w:vAlign w:val="center"/>
          </w:tcPr>
          <w:p>
            <w:pPr>
              <w:pStyle w:val="24"/>
              <w:spacing w:line="276" w:lineRule="auto"/>
              <w:jc w:val="center"/>
              <w:rPr>
                <w:rFonts w:eastAsia="宋体"/>
                <w:color w:val="000000"/>
                <w:kern w:val="2"/>
              </w:rPr>
            </w:pPr>
            <w:r>
              <w:rPr>
                <w:rFonts w:eastAsia="宋体"/>
                <w:color w:val="000000"/>
                <w:kern w:val="2"/>
              </w:rPr>
              <w:t>2022.6.14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continue"/>
            <w:vAlign w:val="center"/>
          </w:tcPr>
          <w:p>
            <w:pPr>
              <w:spacing w:line="276" w:lineRule="auto"/>
              <w:jc w:val="center"/>
              <w:rPr>
                <w:rFonts w:ascii="Times New Roman" w:hAnsi="Times New Roman" w:cs="Times New Roman"/>
                <w:color w:val="000000"/>
                <w:sz w:val="24"/>
                <w:szCs w:val="24"/>
              </w:rPr>
            </w:pPr>
          </w:p>
        </w:tc>
        <w:tc>
          <w:tcPr>
            <w:tcW w:w="226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PHSJ-4F离子计</w:t>
            </w:r>
          </w:p>
        </w:tc>
        <w:tc>
          <w:tcPr>
            <w:tcW w:w="1814" w:type="dxa"/>
            <w:vAlign w:val="center"/>
          </w:tcPr>
          <w:p>
            <w:pPr>
              <w:pStyle w:val="24"/>
              <w:spacing w:line="276" w:lineRule="auto"/>
              <w:jc w:val="center"/>
              <w:rPr>
                <w:rFonts w:eastAsia="宋体"/>
                <w:color w:val="000000"/>
              </w:rPr>
            </w:pPr>
            <w:r>
              <w:rPr>
                <w:rFonts w:eastAsia="宋体"/>
                <w:color w:val="000000"/>
              </w:rPr>
              <w:t>TGHJ-138</w:t>
            </w:r>
          </w:p>
        </w:tc>
        <w:tc>
          <w:tcPr>
            <w:tcW w:w="1417" w:type="dxa"/>
            <w:vMerge w:val="continue"/>
            <w:vAlign w:val="center"/>
          </w:tcPr>
          <w:p>
            <w:pPr>
              <w:pStyle w:val="24"/>
              <w:snapToGrid w:val="0"/>
              <w:spacing w:line="276" w:lineRule="auto"/>
              <w:jc w:val="center"/>
              <w:rPr>
                <w:rFonts w:eastAsia="宋体"/>
                <w:color w:val="000000"/>
                <w:kern w:val="2"/>
              </w:rPr>
            </w:pPr>
          </w:p>
        </w:tc>
        <w:tc>
          <w:tcPr>
            <w:tcW w:w="1701" w:type="dxa"/>
            <w:vAlign w:val="center"/>
          </w:tcPr>
          <w:p>
            <w:pPr>
              <w:pStyle w:val="24"/>
              <w:spacing w:line="276" w:lineRule="auto"/>
              <w:jc w:val="center"/>
              <w:rPr>
                <w:rFonts w:eastAsia="宋体"/>
                <w:color w:val="000000"/>
                <w:kern w:val="2"/>
              </w:rPr>
            </w:pPr>
            <w:r>
              <w:rPr>
                <w:rFonts w:eastAsia="宋体"/>
              </w:rPr>
              <w:t>2022.6.7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continue"/>
            <w:vAlign w:val="center"/>
          </w:tcPr>
          <w:p>
            <w:pPr>
              <w:spacing w:line="276" w:lineRule="auto"/>
              <w:jc w:val="center"/>
              <w:rPr>
                <w:rFonts w:ascii="Times New Roman" w:hAnsi="Times New Roman" w:cs="Times New Roman"/>
                <w:color w:val="000000"/>
                <w:sz w:val="24"/>
                <w:szCs w:val="24"/>
              </w:rPr>
            </w:pPr>
          </w:p>
        </w:tc>
        <w:tc>
          <w:tcPr>
            <w:tcW w:w="2268" w:type="dxa"/>
            <w:vAlign w:val="center"/>
          </w:tcPr>
          <w:p>
            <w:pPr>
              <w:pStyle w:val="24"/>
              <w:spacing w:line="276" w:lineRule="auto"/>
              <w:contextualSpacing/>
              <w:jc w:val="center"/>
              <w:rPr>
                <w:rFonts w:eastAsia="宋体"/>
                <w:color w:val="000000"/>
              </w:rPr>
            </w:pPr>
            <w:r>
              <w:rPr>
                <w:rFonts w:eastAsia="宋体"/>
                <w:color w:val="000000"/>
              </w:rPr>
              <w:t>PH-II-C手持气象站</w:t>
            </w:r>
          </w:p>
        </w:tc>
        <w:tc>
          <w:tcPr>
            <w:tcW w:w="1814" w:type="dxa"/>
            <w:vAlign w:val="center"/>
          </w:tcPr>
          <w:p>
            <w:pPr>
              <w:pStyle w:val="24"/>
              <w:spacing w:line="276" w:lineRule="auto"/>
              <w:contextualSpacing/>
              <w:jc w:val="center"/>
              <w:rPr>
                <w:rFonts w:eastAsia="宋体"/>
                <w:color w:val="000000"/>
              </w:rPr>
            </w:pPr>
            <w:r>
              <w:rPr>
                <w:rFonts w:eastAsia="宋体"/>
                <w:color w:val="000000"/>
              </w:rPr>
              <w:t>TGHJ-100</w:t>
            </w:r>
          </w:p>
        </w:tc>
        <w:tc>
          <w:tcPr>
            <w:tcW w:w="1417" w:type="dxa"/>
            <w:vMerge w:val="continue"/>
            <w:vAlign w:val="center"/>
          </w:tcPr>
          <w:p>
            <w:pPr>
              <w:pStyle w:val="24"/>
              <w:snapToGrid w:val="0"/>
              <w:spacing w:line="276" w:lineRule="auto"/>
              <w:jc w:val="center"/>
              <w:rPr>
                <w:rFonts w:eastAsia="宋体"/>
                <w:color w:val="000000"/>
                <w:kern w:val="2"/>
              </w:rPr>
            </w:pPr>
          </w:p>
        </w:tc>
        <w:tc>
          <w:tcPr>
            <w:tcW w:w="1701" w:type="dxa"/>
            <w:vAlign w:val="center"/>
          </w:tcPr>
          <w:p>
            <w:pPr>
              <w:pStyle w:val="24"/>
              <w:spacing w:line="276" w:lineRule="auto"/>
              <w:contextualSpacing/>
              <w:jc w:val="center"/>
              <w:rPr>
                <w:rFonts w:eastAsia="宋体"/>
                <w:color w:val="000000"/>
              </w:rPr>
            </w:pPr>
            <w:r>
              <w:rPr>
                <w:rFonts w:eastAsia="宋体"/>
                <w:color w:val="000000"/>
              </w:rPr>
              <w:t>2022.7.4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continue"/>
            <w:vAlign w:val="center"/>
          </w:tcPr>
          <w:p>
            <w:pPr>
              <w:spacing w:line="276" w:lineRule="auto"/>
              <w:jc w:val="center"/>
              <w:rPr>
                <w:rFonts w:ascii="Times New Roman" w:hAnsi="Times New Roman" w:cs="Times New Roman"/>
                <w:color w:val="000000"/>
                <w:sz w:val="24"/>
                <w:szCs w:val="24"/>
              </w:rPr>
            </w:pPr>
          </w:p>
        </w:tc>
        <w:tc>
          <w:tcPr>
            <w:tcW w:w="2268" w:type="dxa"/>
            <w:vAlign w:val="center"/>
          </w:tcPr>
          <w:p>
            <w:pPr>
              <w:pStyle w:val="24"/>
              <w:spacing w:line="276" w:lineRule="auto"/>
              <w:contextualSpacing/>
              <w:jc w:val="center"/>
              <w:rPr>
                <w:rFonts w:eastAsia="宋体"/>
                <w:color w:val="000000"/>
              </w:rPr>
            </w:pPr>
            <w:r>
              <w:rPr>
                <w:rFonts w:eastAsia="宋体"/>
                <w:color w:val="000000"/>
              </w:rPr>
              <w:t>HS6288B噪声频谱分析仪</w:t>
            </w:r>
          </w:p>
        </w:tc>
        <w:tc>
          <w:tcPr>
            <w:tcW w:w="1814" w:type="dxa"/>
            <w:vAlign w:val="center"/>
          </w:tcPr>
          <w:p>
            <w:pPr>
              <w:pStyle w:val="24"/>
              <w:spacing w:line="276" w:lineRule="auto"/>
              <w:contextualSpacing/>
              <w:jc w:val="center"/>
              <w:rPr>
                <w:rFonts w:eastAsia="宋体"/>
                <w:color w:val="000000"/>
              </w:rPr>
            </w:pPr>
            <w:r>
              <w:rPr>
                <w:rFonts w:eastAsia="宋体"/>
                <w:color w:val="000000"/>
              </w:rPr>
              <w:t>TGHJ-065</w:t>
            </w:r>
          </w:p>
        </w:tc>
        <w:tc>
          <w:tcPr>
            <w:tcW w:w="1417" w:type="dxa"/>
            <w:vMerge w:val="continue"/>
            <w:vAlign w:val="center"/>
          </w:tcPr>
          <w:p>
            <w:pPr>
              <w:pStyle w:val="24"/>
              <w:snapToGrid w:val="0"/>
              <w:spacing w:line="276" w:lineRule="auto"/>
              <w:jc w:val="center"/>
              <w:rPr>
                <w:rFonts w:eastAsia="宋体"/>
                <w:color w:val="000000"/>
                <w:kern w:val="2"/>
              </w:rPr>
            </w:pPr>
          </w:p>
        </w:tc>
        <w:tc>
          <w:tcPr>
            <w:tcW w:w="1701" w:type="dxa"/>
            <w:vMerge w:val="restart"/>
            <w:vAlign w:val="center"/>
          </w:tcPr>
          <w:p>
            <w:pPr>
              <w:pStyle w:val="24"/>
              <w:spacing w:line="276" w:lineRule="auto"/>
              <w:contextualSpacing/>
              <w:jc w:val="center"/>
              <w:rPr>
                <w:rFonts w:eastAsia="宋体"/>
                <w:color w:val="000000"/>
              </w:rPr>
            </w:pPr>
            <w:r>
              <w:rPr>
                <w:rFonts w:eastAsia="宋体"/>
                <w:color w:val="000000"/>
              </w:rPr>
              <w:t>2022.7.14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声校准器</w:t>
            </w:r>
          </w:p>
        </w:tc>
        <w:tc>
          <w:tcPr>
            <w:tcW w:w="2268" w:type="dxa"/>
            <w:vAlign w:val="center"/>
          </w:tcPr>
          <w:p>
            <w:pPr>
              <w:pStyle w:val="24"/>
              <w:spacing w:line="276" w:lineRule="auto"/>
              <w:contextualSpacing/>
              <w:jc w:val="center"/>
              <w:rPr>
                <w:rFonts w:eastAsia="宋体"/>
                <w:color w:val="000000"/>
              </w:rPr>
            </w:pPr>
            <w:r>
              <w:rPr>
                <w:rFonts w:eastAsia="宋体"/>
                <w:color w:val="000000"/>
              </w:rPr>
              <w:t>HS6020声校准器</w:t>
            </w:r>
          </w:p>
        </w:tc>
        <w:tc>
          <w:tcPr>
            <w:tcW w:w="1814" w:type="dxa"/>
            <w:vAlign w:val="center"/>
          </w:tcPr>
          <w:p>
            <w:pPr>
              <w:pStyle w:val="24"/>
              <w:spacing w:line="276" w:lineRule="auto"/>
              <w:contextualSpacing/>
              <w:jc w:val="center"/>
              <w:rPr>
                <w:rFonts w:eastAsia="宋体"/>
                <w:color w:val="000000"/>
              </w:rPr>
            </w:pPr>
            <w:r>
              <w:rPr>
                <w:rFonts w:eastAsia="宋体"/>
                <w:color w:val="000000"/>
              </w:rPr>
              <w:t>TGHJ-063</w:t>
            </w:r>
          </w:p>
        </w:tc>
        <w:tc>
          <w:tcPr>
            <w:tcW w:w="1417" w:type="dxa"/>
            <w:vMerge w:val="continue"/>
            <w:vAlign w:val="center"/>
          </w:tcPr>
          <w:p>
            <w:pPr>
              <w:pStyle w:val="24"/>
              <w:snapToGrid w:val="0"/>
              <w:spacing w:line="276" w:lineRule="auto"/>
              <w:jc w:val="center"/>
              <w:rPr>
                <w:rFonts w:eastAsia="宋体"/>
                <w:color w:val="000000"/>
                <w:kern w:val="2"/>
              </w:rPr>
            </w:pPr>
          </w:p>
        </w:tc>
        <w:tc>
          <w:tcPr>
            <w:tcW w:w="1701"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校准</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流量</w:t>
            </w:r>
          </w:p>
        </w:tc>
        <w:tc>
          <w:tcPr>
            <w:tcW w:w="226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8040校准器</w:t>
            </w:r>
          </w:p>
        </w:tc>
        <w:tc>
          <w:tcPr>
            <w:tcW w:w="1814" w:type="dxa"/>
            <w:vAlign w:val="center"/>
          </w:tcPr>
          <w:p>
            <w:pPr>
              <w:pStyle w:val="24"/>
              <w:spacing w:line="276" w:lineRule="auto"/>
              <w:jc w:val="center"/>
              <w:rPr>
                <w:rFonts w:eastAsia="宋体"/>
              </w:rPr>
            </w:pPr>
            <w:r>
              <w:rPr>
                <w:rFonts w:eastAsia="宋体"/>
                <w:color w:val="000000"/>
              </w:rPr>
              <w:t>TGHJ-140</w:t>
            </w:r>
          </w:p>
        </w:tc>
        <w:tc>
          <w:tcPr>
            <w:tcW w:w="1417"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中国计量科学研究院</w:t>
            </w:r>
          </w:p>
        </w:tc>
        <w:tc>
          <w:tcPr>
            <w:tcW w:w="170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二噁英类</w:t>
            </w:r>
          </w:p>
        </w:tc>
        <w:tc>
          <w:tcPr>
            <w:tcW w:w="226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烟气二噁英采样仪</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WK-1001</w:t>
            </w:r>
          </w:p>
        </w:tc>
        <w:tc>
          <w:tcPr>
            <w:tcW w:w="1814" w:type="dxa"/>
            <w:vAlign w:val="center"/>
          </w:tcPr>
          <w:p>
            <w:pPr>
              <w:pStyle w:val="24"/>
              <w:spacing w:line="276" w:lineRule="auto"/>
              <w:jc w:val="center"/>
              <w:rPr>
                <w:rFonts w:eastAsia="宋体"/>
                <w:color w:val="000000"/>
              </w:rPr>
            </w:pPr>
            <w:r>
              <w:rPr>
                <w:rFonts w:eastAsia="宋体"/>
                <w:color w:val="000000"/>
              </w:rPr>
              <w:t>JSSG07-F1299</w:t>
            </w:r>
          </w:p>
        </w:tc>
        <w:tc>
          <w:tcPr>
            <w:tcW w:w="1417"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70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continue"/>
            <w:vAlign w:val="center"/>
          </w:tcPr>
          <w:p>
            <w:pPr>
              <w:spacing w:line="276" w:lineRule="auto"/>
              <w:jc w:val="center"/>
              <w:rPr>
                <w:rFonts w:ascii="Times New Roman" w:hAnsi="Times New Roman" w:cs="Times New Roman"/>
                <w:color w:val="000000"/>
                <w:sz w:val="24"/>
                <w:szCs w:val="24"/>
              </w:rPr>
            </w:pPr>
          </w:p>
        </w:tc>
        <w:tc>
          <w:tcPr>
            <w:tcW w:w="226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烟气二噁英采样仪</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HK-621</w:t>
            </w:r>
          </w:p>
        </w:tc>
        <w:tc>
          <w:tcPr>
            <w:tcW w:w="1814" w:type="dxa"/>
            <w:vAlign w:val="center"/>
          </w:tcPr>
          <w:p>
            <w:pPr>
              <w:pStyle w:val="24"/>
              <w:spacing w:line="276" w:lineRule="auto"/>
              <w:jc w:val="center"/>
              <w:rPr>
                <w:rFonts w:eastAsia="宋体"/>
                <w:color w:val="000000"/>
              </w:rPr>
            </w:pPr>
            <w:r>
              <w:rPr>
                <w:rFonts w:eastAsia="宋体"/>
                <w:color w:val="000000"/>
              </w:rPr>
              <w:t>JSSG07-F1300</w:t>
            </w:r>
          </w:p>
        </w:tc>
        <w:tc>
          <w:tcPr>
            <w:tcW w:w="1417"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70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69" w:type="dxa"/>
            <w:vMerge w:val="continue"/>
            <w:vAlign w:val="center"/>
          </w:tcPr>
          <w:p>
            <w:pPr>
              <w:spacing w:line="276" w:lineRule="auto"/>
              <w:jc w:val="center"/>
              <w:rPr>
                <w:rFonts w:ascii="Times New Roman" w:hAnsi="Times New Roman" w:cs="Times New Roman"/>
                <w:color w:val="000000"/>
                <w:sz w:val="24"/>
                <w:szCs w:val="24"/>
              </w:rPr>
            </w:pPr>
          </w:p>
        </w:tc>
        <w:tc>
          <w:tcPr>
            <w:tcW w:w="226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高分辨率气质谱联用仪AutoSpec UltimaNT</w:t>
            </w:r>
          </w:p>
        </w:tc>
        <w:tc>
          <w:tcPr>
            <w:tcW w:w="1814" w:type="dxa"/>
            <w:vAlign w:val="center"/>
          </w:tcPr>
          <w:p>
            <w:pPr>
              <w:pStyle w:val="24"/>
              <w:spacing w:line="276" w:lineRule="auto"/>
              <w:jc w:val="center"/>
              <w:rPr>
                <w:rFonts w:eastAsia="宋体"/>
                <w:color w:val="000000"/>
              </w:rPr>
            </w:pPr>
            <w:r>
              <w:rPr>
                <w:rFonts w:eastAsia="宋体"/>
                <w:color w:val="000000"/>
              </w:rPr>
              <w:t>1202-1315</w:t>
            </w:r>
          </w:p>
        </w:tc>
        <w:tc>
          <w:tcPr>
            <w:tcW w:w="1417"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70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bl>
    <w:p>
      <w:pPr>
        <w:pStyle w:val="4"/>
        <w:rPr>
          <w:rFonts w:ascii="Times New Roman" w:hAnsi="Times New Roman" w:cs="Times New Roman"/>
        </w:rPr>
      </w:pPr>
      <w:bookmarkStart w:id="42" w:name="_Toc31385"/>
      <w:r>
        <w:rPr>
          <w:rFonts w:ascii="Times New Roman" w:hAnsi="Times New Roman" w:cs="Times New Roman"/>
        </w:rPr>
        <w:t>8.3 人员能力</w:t>
      </w:r>
      <w:bookmarkEnd w:id="42"/>
    </w:p>
    <w:p>
      <w:pPr>
        <w:ind w:firstLine="560" w:firstLineChars="200"/>
        <w:rPr>
          <w:rFonts w:ascii="Times New Roman" w:hAnsi="Times New Roman" w:cs="Times New Roman"/>
        </w:rPr>
      </w:pPr>
      <w:r>
        <w:rPr>
          <w:rFonts w:ascii="Times New Roman" w:hAnsi="Times New Roman" w:cs="Times New Roman"/>
        </w:rPr>
        <w:t>监测人员监测前均经过系统的专业培训，并持证上岗。监测人员及上岗证号见下表。</w:t>
      </w:r>
    </w:p>
    <w:p>
      <w:pPr>
        <w:ind w:firstLine="560" w:firstLineChars="200"/>
        <w:rPr>
          <w:rFonts w:ascii="Times New Roman" w:hAnsi="Times New Roman" w:cs="Times New Roman"/>
        </w:rPr>
      </w:pPr>
    </w:p>
    <w:p>
      <w:pPr>
        <w:ind w:firstLine="140" w:firstLineChars="50"/>
        <w:jc w:val="center"/>
        <w:rPr>
          <w:rFonts w:ascii="Times New Roman" w:hAnsi="Times New Roman" w:cs="Times New Roman"/>
        </w:rPr>
      </w:pPr>
      <w:r>
        <w:rPr>
          <w:rFonts w:ascii="Times New Roman" w:hAnsi="Times New Roman" w:cs="Times New Roman"/>
        </w:rPr>
        <w:t>表8-3  监测人员上岗证一览表</w:t>
      </w:r>
    </w:p>
    <w:tbl>
      <w:tblPr>
        <w:tblStyle w:val="21"/>
        <w:tblW w:w="7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986"/>
        <w:gridCol w:w="1985"/>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5" w:type="dxa"/>
            <w:tcBorders>
              <w:top w:val="single" w:color="auto" w:sz="4" w:space="0"/>
            </w:tcBorders>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采样人员</w:t>
            </w:r>
          </w:p>
        </w:tc>
        <w:tc>
          <w:tcPr>
            <w:tcW w:w="1986" w:type="dxa"/>
            <w:tcBorders>
              <w:top w:val="single" w:color="auto" w:sz="4" w:space="0"/>
            </w:tcBorders>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任剑</w:t>
            </w:r>
          </w:p>
        </w:tc>
        <w:tc>
          <w:tcPr>
            <w:tcW w:w="1985" w:type="dxa"/>
            <w:tcBorders>
              <w:top w:val="single" w:color="auto" w:sz="4" w:space="0"/>
            </w:tcBorders>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梁俊生</w:t>
            </w:r>
          </w:p>
        </w:tc>
        <w:tc>
          <w:tcPr>
            <w:tcW w:w="1983" w:type="dxa"/>
            <w:tcBorders>
              <w:top w:val="single" w:color="auto" w:sz="4" w:space="0"/>
            </w:tcBorders>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赵江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上岗证号</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TGHJ010</w:t>
            </w:r>
          </w:p>
        </w:tc>
        <w:tc>
          <w:tcPr>
            <w:tcW w:w="198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TGHJ017</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采样人员</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张洪泳</w:t>
            </w:r>
          </w:p>
        </w:tc>
        <w:tc>
          <w:tcPr>
            <w:tcW w:w="198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贾学科</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李东红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上岗证号</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TGHJ013</w:t>
            </w:r>
          </w:p>
        </w:tc>
        <w:tc>
          <w:tcPr>
            <w:tcW w:w="198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TGHJ014</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分析人员</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刘彦原</w:t>
            </w:r>
          </w:p>
        </w:tc>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报告编制</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郝伟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上岗证号</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TGHJ016</w:t>
            </w:r>
          </w:p>
        </w:tc>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上岗证号</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TGHJ011</w:t>
            </w:r>
          </w:p>
        </w:tc>
      </w:tr>
    </w:tbl>
    <w:p>
      <w:pPr>
        <w:pStyle w:val="4"/>
        <w:rPr>
          <w:rFonts w:ascii="Times New Roman" w:hAnsi="Times New Roman" w:cs="Times New Roman"/>
        </w:rPr>
      </w:pPr>
      <w:bookmarkStart w:id="43" w:name="_Toc13367"/>
      <w:r>
        <w:rPr>
          <w:rFonts w:ascii="Times New Roman" w:hAnsi="Times New Roman" w:cs="Times New Roman"/>
        </w:rPr>
        <w:t>8.4 气体监测分析过程中的质量保证和质量控制</w:t>
      </w:r>
      <w:bookmarkEnd w:id="43"/>
    </w:p>
    <w:p>
      <w:pPr>
        <w:pStyle w:val="5"/>
        <w:rPr>
          <w:rFonts w:ascii="Times New Roman" w:hAnsi="Times New Roman" w:cs="Times New Roman"/>
        </w:rPr>
      </w:pPr>
      <w:r>
        <w:rPr>
          <w:rFonts w:ascii="Times New Roman" w:hAnsi="Times New Roman" w:cs="Times New Roman"/>
        </w:rPr>
        <w:t>8.4.1 现场监测质量保证</w:t>
      </w:r>
    </w:p>
    <w:p>
      <w:pPr>
        <w:ind w:firstLine="560" w:firstLineChars="200"/>
        <w:rPr>
          <w:rFonts w:ascii="Times New Roman" w:hAnsi="Times New Roman" w:cs="Times New Roman"/>
        </w:rPr>
      </w:pPr>
      <w:r>
        <w:rPr>
          <w:rFonts w:ascii="Times New Roman" w:hAnsi="Times New Roman" w:cs="Times New Roman"/>
        </w:rPr>
        <w:t>有组织废气：</w:t>
      </w:r>
    </w:p>
    <w:p>
      <w:pPr>
        <w:ind w:firstLine="560" w:firstLineChars="200"/>
        <w:rPr>
          <w:rFonts w:ascii="Times New Roman" w:hAnsi="Times New Roman" w:cs="Times New Roman"/>
        </w:rPr>
      </w:pPr>
      <w:r>
        <w:rPr>
          <w:rFonts w:ascii="Times New Roman" w:hAnsi="Times New Roman" w:cs="Times New Roman"/>
        </w:rPr>
        <w:t>（1）有组织废气严格按照《固定污染源排气中颗粒物测定与气态污染物采样方法》（GB/T16157-1996）、《固定源废气监测技术规范》（HJ/T397-2007）等技术文件的要求进行采样点位的布设。</w:t>
      </w:r>
    </w:p>
    <w:p>
      <w:pPr>
        <w:ind w:firstLine="560" w:firstLineChars="200"/>
        <w:rPr>
          <w:rFonts w:ascii="Times New Roman" w:hAnsi="Times New Roman" w:cs="Times New Roman"/>
        </w:rPr>
      </w:pPr>
      <w:r>
        <w:rPr>
          <w:rFonts w:ascii="Times New Roman" w:hAnsi="Times New Roman" w:cs="Times New Roman"/>
        </w:rPr>
        <w:t>（2）监测应在主体工程运行稳定、生产设备处于正常工况、且环保设施运行正常的条件下进行，测定时，必须有专人监督工况，并在厂方配合下进行，以便取得有代表性的样品。</w:t>
      </w:r>
    </w:p>
    <w:p>
      <w:pPr>
        <w:ind w:firstLine="560" w:firstLineChars="200"/>
        <w:rPr>
          <w:rFonts w:ascii="Times New Roman" w:hAnsi="Times New Roman" w:cs="Times New Roman"/>
        </w:rPr>
      </w:pPr>
      <w:r>
        <w:rPr>
          <w:rFonts w:ascii="Times New Roman" w:hAnsi="Times New Roman" w:cs="Times New Roman"/>
        </w:rPr>
        <w:t>（3）采样仪器在进入现场采样前应检查每台测试仪器功能是否正常，采样系统进行漏气检查；对流量进行校准，并做好校准记录。</w:t>
      </w:r>
    </w:p>
    <w:p>
      <w:pPr>
        <w:ind w:firstLine="560" w:firstLineChars="200"/>
        <w:rPr>
          <w:rFonts w:ascii="Times New Roman" w:hAnsi="Times New Roman" w:cs="Times New Roman"/>
        </w:rPr>
      </w:pPr>
      <w:r>
        <w:rPr>
          <w:rFonts w:ascii="Times New Roman" w:hAnsi="Times New Roman" w:cs="Times New Roman"/>
        </w:rPr>
        <w:t>（4）颗粒物要保证等速采样，原则上每点采样时间不少于3min，各点采样时间应相符。</w:t>
      </w:r>
    </w:p>
    <w:p>
      <w:pPr>
        <w:ind w:firstLine="560" w:firstLineChars="200"/>
        <w:rPr>
          <w:rFonts w:ascii="Times New Roman" w:hAnsi="Times New Roman" w:cs="Times New Roman"/>
        </w:rPr>
      </w:pPr>
      <w:r>
        <w:rPr>
          <w:rFonts w:ascii="Times New Roman" w:hAnsi="Times New Roman" w:cs="Times New Roman"/>
        </w:rPr>
        <w:t>（5）采样前后应重复测定废气流速，当采样前后流速变化大于20%时，样品作废，应重新采样。</w:t>
      </w:r>
    </w:p>
    <w:p>
      <w:pPr>
        <w:pStyle w:val="5"/>
        <w:rPr>
          <w:rFonts w:ascii="Times New Roman" w:hAnsi="Times New Roman" w:cs="Times New Roman"/>
        </w:rPr>
      </w:pPr>
      <w:r>
        <w:rPr>
          <w:rFonts w:ascii="Times New Roman" w:hAnsi="Times New Roman" w:cs="Times New Roman"/>
        </w:rPr>
        <w:t>8.4.2 实验室质量保证</w:t>
      </w:r>
    </w:p>
    <w:p>
      <w:pPr>
        <w:ind w:firstLine="560" w:firstLineChars="200"/>
        <w:rPr>
          <w:rFonts w:ascii="Times New Roman" w:hAnsi="Times New Roman" w:cs="Times New Roman"/>
        </w:rPr>
      </w:pPr>
      <w:r>
        <w:rPr>
          <w:rFonts w:ascii="Times New Roman" w:hAnsi="Times New Roman" w:cs="Times New Roman"/>
        </w:rPr>
        <w:t>（1）滤筒（膜）的称量应在恒温、恒湿天平室中进行，保持采样前和采样后称量条件一致。</w:t>
      </w:r>
    </w:p>
    <w:p>
      <w:pPr>
        <w:ind w:firstLine="560" w:firstLineChars="200"/>
        <w:rPr>
          <w:rFonts w:ascii="Times New Roman" w:hAnsi="Times New Roman" w:cs="Times New Roman"/>
        </w:rPr>
      </w:pPr>
      <w:r>
        <w:rPr>
          <w:rFonts w:ascii="Times New Roman" w:hAnsi="Times New Roman" w:cs="Times New Roman"/>
        </w:rPr>
        <w:t>（2）称量空白和样品滤筒（膜）时，同时称量两个标准滤筒（膜），称量样品滤筒（膜）时，至少称量两个现场空白滤筒（膜）。</w:t>
      </w:r>
    </w:p>
    <w:p>
      <w:pPr>
        <w:pStyle w:val="5"/>
        <w:rPr>
          <w:rFonts w:ascii="Times New Roman" w:hAnsi="Times New Roman" w:cs="Times New Roman"/>
        </w:rPr>
      </w:pPr>
      <w:r>
        <w:rPr>
          <w:rFonts w:ascii="Times New Roman" w:hAnsi="Times New Roman" w:cs="Times New Roman"/>
        </w:rPr>
        <w:t>8.4.3 监测仪器校准结果</w:t>
      </w:r>
    </w:p>
    <w:p>
      <w:pPr>
        <w:ind w:firstLine="560" w:firstLineChars="200"/>
        <w:rPr>
          <w:rFonts w:ascii="Times New Roman" w:hAnsi="Times New Roman" w:cs="Times New Roman"/>
        </w:rPr>
      </w:pPr>
      <w:r>
        <w:rPr>
          <w:rFonts w:ascii="Times New Roman" w:hAnsi="Times New Roman" w:cs="Times New Roman"/>
        </w:rPr>
        <w:t>监测仪器流量校准记录见下表。</w:t>
      </w:r>
    </w:p>
    <w:p>
      <w:pPr>
        <w:jc w:val="center"/>
        <w:rPr>
          <w:rFonts w:ascii="Times New Roman" w:hAnsi="Times New Roman" w:cs="Times New Roman"/>
        </w:rPr>
      </w:pPr>
      <w:r>
        <w:rPr>
          <w:rFonts w:ascii="Times New Roman" w:hAnsi="Times New Roman" w:cs="Times New Roman"/>
        </w:rPr>
        <w:t>表8-4  监测仪器流量校准记录</w:t>
      </w:r>
    </w:p>
    <w:tbl>
      <w:tblPr>
        <w:tblStyle w:val="21"/>
        <w:tblW w:w="10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1"/>
        <w:gridCol w:w="1134"/>
        <w:gridCol w:w="709"/>
        <w:gridCol w:w="946"/>
        <w:gridCol w:w="290"/>
        <w:gridCol w:w="436"/>
        <w:gridCol w:w="771"/>
        <w:gridCol w:w="617"/>
        <w:gridCol w:w="1021"/>
        <w:gridCol w:w="994"/>
        <w:gridCol w:w="979"/>
        <w:gridCol w:w="967"/>
        <w:gridCol w:w="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restart"/>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排气筒</w:t>
            </w:r>
          </w:p>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b/>
                <w:color w:val="000000"/>
                <w:spacing w:val="-20"/>
                <w:sz w:val="24"/>
                <w:szCs w:val="24"/>
              </w:rPr>
              <w:t>编号</w:t>
            </w:r>
          </w:p>
        </w:tc>
        <w:tc>
          <w:tcPr>
            <w:tcW w:w="1134" w:type="dxa"/>
            <w:vMerge w:val="restart"/>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仪器名称</w:t>
            </w:r>
          </w:p>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及型号</w:t>
            </w:r>
          </w:p>
        </w:tc>
        <w:tc>
          <w:tcPr>
            <w:tcW w:w="709" w:type="dxa"/>
            <w:vMerge w:val="restart"/>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仪器</w:t>
            </w:r>
          </w:p>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编号</w:t>
            </w:r>
          </w:p>
        </w:tc>
        <w:tc>
          <w:tcPr>
            <w:tcW w:w="946" w:type="dxa"/>
            <w:vMerge w:val="restart"/>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校准</w:t>
            </w:r>
          </w:p>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日期</w:t>
            </w:r>
          </w:p>
        </w:tc>
        <w:tc>
          <w:tcPr>
            <w:tcW w:w="726" w:type="dxa"/>
            <w:gridSpan w:val="2"/>
            <w:vMerge w:val="restart"/>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气路</w:t>
            </w:r>
          </w:p>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名称</w:t>
            </w:r>
          </w:p>
        </w:tc>
        <w:tc>
          <w:tcPr>
            <w:tcW w:w="771" w:type="dxa"/>
            <w:vMerge w:val="restart"/>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标准值</w:t>
            </w:r>
          </w:p>
        </w:tc>
        <w:tc>
          <w:tcPr>
            <w:tcW w:w="617" w:type="dxa"/>
            <w:vMerge w:val="restart"/>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单位</w:t>
            </w:r>
          </w:p>
        </w:tc>
        <w:tc>
          <w:tcPr>
            <w:tcW w:w="2015" w:type="dxa"/>
            <w:gridSpan w:val="2"/>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仪器示值</w:t>
            </w:r>
          </w:p>
        </w:tc>
        <w:tc>
          <w:tcPr>
            <w:tcW w:w="1946" w:type="dxa"/>
            <w:gridSpan w:val="2"/>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误差</w:t>
            </w:r>
          </w:p>
        </w:tc>
        <w:tc>
          <w:tcPr>
            <w:tcW w:w="578" w:type="dxa"/>
            <w:vMerge w:val="restart"/>
            <w:tcBorders>
              <w:top w:val="single" w:color="auto" w:sz="4" w:space="0"/>
            </w:tcBorders>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校准</w:t>
            </w:r>
          </w:p>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napToGrid w:val="0"/>
              <w:spacing w:line="276" w:lineRule="auto"/>
              <w:jc w:val="center"/>
              <w:rPr>
                <w:rFonts w:ascii="Times New Roman" w:hAnsi="Times New Roman" w:cs="Times New Roman"/>
                <w:color w:val="000000"/>
                <w:spacing w:val="-20"/>
                <w:sz w:val="24"/>
                <w:szCs w:val="24"/>
              </w:rPr>
            </w:pPr>
          </w:p>
        </w:tc>
        <w:tc>
          <w:tcPr>
            <w:tcW w:w="709" w:type="dxa"/>
            <w:vMerge w:val="continue"/>
            <w:vAlign w:val="center"/>
          </w:tcPr>
          <w:p>
            <w:pPr>
              <w:snapToGrid w:val="0"/>
              <w:spacing w:line="276" w:lineRule="auto"/>
              <w:jc w:val="center"/>
              <w:rPr>
                <w:rFonts w:ascii="Times New Roman" w:hAnsi="Times New Roman" w:cs="Times New Roman"/>
                <w:color w:val="000000"/>
                <w:spacing w:val="-20"/>
                <w:sz w:val="24"/>
                <w:szCs w:val="24"/>
              </w:rPr>
            </w:pPr>
          </w:p>
        </w:tc>
        <w:tc>
          <w:tcPr>
            <w:tcW w:w="946" w:type="dxa"/>
            <w:vMerge w:val="continue"/>
            <w:vAlign w:val="center"/>
          </w:tcPr>
          <w:p>
            <w:pPr>
              <w:snapToGrid w:val="0"/>
              <w:spacing w:line="276" w:lineRule="auto"/>
              <w:jc w:val="center"/>
              <w:rPr>
                <w:rFonts w:ascii="Times New Roman" w:hAnsi="Times New Roman" w:cs="Times New Roman"/>
                <w:color w:val="000000"/>
                <w:spacing w:val="-20"/>
                <w:sz w:val="24"/>
                <w:szCs w:val="24"/>
              </w:rPr>
            </w:pPr>
          </w:p>
        </w:tc>
        <w:tc>
          <w:tcPr>
            <w:tcW w:w="726" w:type="dxa"/>
            <w:gridSpan w:val="2"/>
            <w:vMerge w:val="continue"/>
            <w:vAlign w:val="center"/>
          </w:tcPr>
          <w:p>
            <w:pPr>
              <w:snapToGrid w:val="0"/>
              <w:spacing w:line="276" w:lineRule="auto"/>
              <w:jc w:val="center"/>
              <w:rPr>
                <w:rFonts w:ascii="Times New Roman" w:hAnsi="Times New Roman" w:cs="Times New Roman"/>
                <w:color w:val="000000"/>
                <w:spacing w:val="-20"/>
                <w:sz w:val="24"/>
                <w:szCs w:val="24"/>
              </w:rPr>
            </w:pPr>
          </w:p>
        </w:tc>
        <w:tc>
          <w:tcPr>
            <w:tcW w:w="771" w:type="dxa"/>
            <w:vMerge w:val="continue"/>
            <w:vAlign w:val="center"/>
          </w:tcPr>
          <w:p>
            <w:pPr>
              <w:snapToGrid w:val="0"/>
              <w:spacing w:line="276" w:lineRule="auto"/>
              <w:jc w:val="center"/>
              <w:rPr>
                <w:rFonts w:ascii="Times New Roman" w:hAnsi="Times New Roman" w:cs="Times New Roman"/>
                <w:color w:val="000000"/>
                <w:spacing w:val="-20"/>
                <w:sz w:val="24"/>
                <w:szCs w:val="24"/>
              </w:rPr>
            </w:pPr>
          </w:p>
        </w:tc>
        <w:tc>
          <w:tcPr>
            <w:tcW w:w="617" w:type="dxa"/>
            <w:vMerge w:val="continue"/>
            <w:vAlign w:val="center"/>
          </w:tcPr>
          <w:p>
            <w:pPr>
              <w:snapToGrid w:val="0"/>
              <w:spacing w:line="276" w:lineRule="auto"/>
              <w:jc w:val="center"/>
              <w:rPr>
                <w:rFonts w:ascii="Times New Roman" w:hAnsi="Times New Roman" w:cs="Times New Roman"/>
                <w:b/>
                <w:color w:val="000000"/>
                <w:spacing w:val="-20"/>
                <w:sz w:val="24"/>
                <w:szCs w:val="24"/>
              </w:rPr>
            </w:pPr>
          </w:p>
        </w:tc>
        <w:tc>
          <w:tcPr>
            <w:tcW w:w="1021" w:type="dxa"/>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测试前</w:t>
            </w:r>
          </w:p>
        </w:tc>
        <w:tc>
          <w:tcPr>
            <w:tcW w:w="994" w:type="dxa"/>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测试后</w:t>
            </w:r>
          </w:p>
        </w:tc>
        <w:tc>
          <w:tcPr>
            <w:tcW w:w="979" w:type="dxa"/>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测试前</w:t>
            </w:r>
          </w:p>
        </w:tc>
        <w:tc>
          <w:tcPr>
            <w:tcW w:w="967" w:type="dxa"/>
            <w:vAlign w:val="center"/>
          </w:tcPr>
          <w:p>
            <w:pPr>
              <w:snapToGrid w:val="0"/>
              <w:spacing w:line="276" w:lineRule="auto"/>
              <w:jc w:val="center"/>
              <w:rPr>
                <w:rFonts w:ascii="Times New Roman" w:hAnsi="Times New Roman" w:cs="Times New Roman"/>
                <w:b/>
                <w:color w:val="000000"/>
                <w:spacing w:val="-20"/>
                <w:sz w:val="24"/>
                <w:szCs w:val="24"/>
              </w:rPr>
            </w:pPr>
            <w:r>
              <w:rPr>
                <w:rFonts w:ascii="Times New Roman" w:hAnsi="Times New Roman" w:cs="Times New Roman"/>
                <w:b/>
                <w:color w:val="000000"/>
                <w:spacing w:val="-20"/>
                <w:sz w:val="24"/>
                <w:szCs w:val="24"/>
              </w:rPr>
              <w:t>测试后</w:t>
            </w:r>
          </w:p>
        </w:tc>
        <w:tc>
          <w:tcPr>
            <w:tcW w:w="578" w:type="dxa"/>
            <w:vMerge w:val="continue"/>
            <w:vAlign w:val="center"/>
          </w:tcPr>
          <w:p>
            <w:pPr>
              <w:snapToGrid w:val="0"/>
              <w:spacing w:line="276" w:lineRule="auto"/>
              <w:jc w:val="center"/>
              <w:rPr>
                <w:rFonts w:ascii="Times New Roman" w:hAnsi="Times New Roman" w:cs="Times New Roman"/>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DA270</w:t>
            </w:r>
          </w:p>
        </w:tc>
        <w:tc>
          <w:tcPr>
            <w:tcW w:w="1134"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3012H(D)</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全自动烟尘（气）测试仪</w:t>
            </w:r>
          </w:p>
        </w:tc>
        <w:tc>
          <w:tcPr>
            <w:tcW w:w="709"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TGHJ-061</w:t>
            </w:r>
          </w:p>
        </w:tc>
        <w:tc>
          <w:tcPr>
            <w:tcW w:w="946"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2021.9.7</w:t>
            </w:r>
          </w:p>
        </w:tc>
        <w:tc>
          <w:tcPr>
            <w:tcW w:w="290" w:type="dxa"/>
            <w:vMerge w:val="restart"/>
            <w:tcBorders>
              <w:righ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尘</w:t>
            </w:r>
          </w:p>
        </w:tc>
        <w:tc>
          <w:tcPr>
            <w:tcW w:w="436" w:type="dxa"/>
            <w:vMerge w:val="restart"/>
            <w:tcBorders>
              <w:lef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路</w:t>
            </w: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30.0</w:t>
            </w:r>
          </w:p>
        </w:tc>
        <w:tc>
          <w:tcPr>
            <w:tcW w:w="617"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L/min</w:t>
            </w: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30.3</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30.4</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57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40.3</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40.5</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bottom w:val="single" w:color="auto" w:sz="4" w:space="0"/>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bottom w:val="single" w:color="auto" w:sz="4" w:space="0"/>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50.4</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50.6</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2021.9.8</w:t>
            </w:r>
          </w:p>
        </w:tc>
        <w:tc>
          <w:tcPr>
            <w:tcW w:w="290" w:type="dxa"/>
            <w:vMerge w:val="restart"/>
            <w:tcBorders>
              <w:righ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尘</w:t>
            </w:r>
          </w:p>
        </w:tc>
        <w:tc>
          <w:tcPr>
            <w:tcW w:w="436" w:type="dxa"/>
            <w:vMerge w:val="restart"/>
            <w:tcBorders>
              <w:lef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路</w:t>
            </w: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30.0</w:t>
            </w:r>
          </w:p>
        </w:tc>
        <w:tc>
          <w:tcPr>
            <w:tcW w:w="617"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L/min</w:t>
            </w: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30.4</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29.2</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-2.7</w:t>
            </w:r>
          </w:p>
        </w:tc>
        <w:tc>
          <w:tcPr>
            <w:tcW w:w="57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40.8</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41.3</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3.2</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bottom w:val="single" w:color="auto" w:sz="4" w:space="0"/>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bottom w:val="single" w:color="auto" w:sz="4" w:space="0"/>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50.3</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49.0</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DA271</w:t>
            </w:r>
          </w:p>
        </w:tc>
        <w:tc>
          <w:tcPr>
            <w:tcW w:w="1134"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3012H(D)</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全自动烟尘（气）测试仪</w:t>
            </w:r>
          </w:p>
        </w:tc>
        <w:tc>
          <w:tcPr>
            <w:tcW w:w="709"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TGHJ-195</w:t>
            </w:r>
          </w:p>
        </w:tc>
        <w:tc>
          <w:tcPr>
            <w:tcW w:w="946"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2021.9.7</w:t>
            </w:r>
          </w:p>
        </w:tc>
        <w:tc>
          <w:tcPr>
            <w:tcW w:w="290" w:type="dxa"/>
            <w:vMerge w:val="restart"/>
            <w:tcBorders>
              <w:righ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尘</w:t>
            </w:r>
          </w:p>
        </w:tc>
        <w:tc>
          <w:tcPr>
            <w:tcW w:w="436" w:type="dxa"/>
            <w:vMerge w:val="restart"/>
            <w:tcBorders>
              <w:lef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路</w:t>
            </w: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30.0</w:t>
            </w:r>
          </w:p>
        </w:tc>
        <w:tc>
          <w:tcPr>
            <w:tcW w:w="617"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L/min</w:t>
            </w: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29.5</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29.3</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57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39.2</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39.0</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-2.5</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bottom w:val="single" w:color="auto" w:sz="4" w:space="0"/>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bottom w:val="single" w:color="auto" w:sz="4" w:space="0"/>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50.3</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49.0</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2021.9.8</w:t>
            </w:r>
          </w:p>
        </w:tc>
        <w:tc>
          <w:tcPr>
            <w:tcW w:w="290" w:type="dxa"/>
            <w:vMerge w:val="restart"/>
            <w:tcBorders>
              <w:righ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尘</w:t>
            </w:r>
          </w:p>
        </w:tc>
        <w:tc>
          <w:tcPr>
            <w:tcW w:w="436" w:type="dxa"/>
            <w:vMerge w:val="restart"/>
            <w:tcBorders>
              <w:lef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路</w:t>
            </w: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30.0</w:t>
            </w:r>
          </w:p>
        </w:tc>
        <w:tc>
          <w:tcPr>
            <w:tcW w:w="617"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L/min</w:t>
            </w: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30.4</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29.2</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-2.7</w:t>
            </w:r>
          </w:p>
        </w:tc>
        <w:tc>
          <w:tcPr>
            <w:tcW w:w="57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40.8</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41.3</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3.2</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bottom w:val="single" w:color="auto" w:sz="4" w:space="0"/>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bottom w:val="single" w:color="auto" w:sz="4" w:space="0"/>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50.3</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49.0</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001</w:t>
            </w:r>
          </w:p>
        </w:tc>
        <w:tc>
          <w:tcPr>
            <w:tcW w:w="1134"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3012H(D)</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全自动烟尘（气）测试仪</w:t>
            </w:r>
          </w:p>
        </w:tc>
        <w:tc>
          <w:tcPr>
            <w:tcW w:w="709"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TGHJ-146</w:t>
            </w:r>
          </w:p>
        </w:tc>
        <w:tc>
          <w:tcPr>
            <w:tcW w:w="946"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2021.9.7</w:t>
            </w:r>
          </w:p>
        </w:tc>
        <w:tc>
          <w:tcPr>
            <w:tcW w:w="290" w:type="dxa"/>
            <w:vMerge w:val="restart"/>
            <w:tcBorders>
              <w:righ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尘</w:t>
            </w:r>
          </w:p>
        </w:tc>
        <w:tc>
          <w:tcPr>
            <w:tcW w:w="436" w:type="dxa"/>
            <w:vMerge w:val="restart"/>
            <w:tcBorders>
              <w:lef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路</w:t>
            </w: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30.0</w:t>
            </w:r>
          </w:p>
        </w:tc>
        <w:tc>
          <w:tcPr>
            <w:tcW w:w="617"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L/min</w:t>
            </w: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29.3</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29.4</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57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39.0</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39.5</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-2.5</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bottom w:val="single" w:color="auto" w:sz="4" w:space="0"/>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bottom w:val="single" w:color="auto" w:sz="4" w:space="0"/>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49.0</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49.6</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2021.9.8</w:t>
            </w:r>
          </w:p>
        </w:tc>
        <w:tc>
          <w:tcPr>
            <w:tcW w:w="290" w:type="dxa"/>
            <w:vMerge w:val="restart"/>
            <w:tcBorders>
              <w:righ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尘</w:t>
            </w:r>
          </w:p>
        </w:tc>
        <w:tc>
          <w:tcPr>
            <w:tcW w:w="436" w:type="dxa"/>
            <w:vMerge w:val="restart"/>
            <w:tcBorders>
              <w:lef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路</w:t>
            </w: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30.0</w:t>
            </w:r>
          </w:p>
        </w:tc>
        <w:tc>
          <w:tcPr>
            <w:tcW w:w="617"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L/min</w:t>
            </w: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29.5</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29.7</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57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39.8</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bottom w:val="single" w:color="auto" w:sz="4" w:space="0"/>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bottom w:val="single" w:color="auto" w:sz="4" w:space="0"/>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49.8</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49.7</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-0.4</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002</w:t>
            </w:r>
          </w:p>
        </w:tc>
        <w:tc>
          <w:tcPr>
            <w:tcW w:w="1134"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3012H(D)</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全自动烟尘（气）测试仪</w:t>
            </w:r>
          </w:p>
        </w:tc>
        <w:tc>
          <w:tcPr>
            <w:tcW w:w="709"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TGHJ-060</w:t>
            </w:r>
          </w:p>
        </w:tc>
        <w:tc>
          <w:tcPr>
            <w:tcW w:w="946"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2021.9.7</w:t>
            </w:r>
          </w:p>
        </w:tc>
        <w:tc>
          <w:tcPr>
            <w:tcW w:w="290" w:type="dxa"/>
            <w:vMerge w:val="restart"/>
            <w:tcBorders>
              <w:righ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尘</w:t>
            </w:r>
          </w:p>
        </w:tc>
        <w:tc>
          <w:tcPr>
            <w:tcW w:w="436" w:type="dxa"/>
            <w:vMerge w:val="restart"/>
            <w:tcBorders>
              <w:lef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路</w:t>
            </w: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30.0</w:t>
            </w:r>
          </w:p>
        </w:tc>
        <w:tc>
          <w:tcPr>
            <w:tcW w:w="617"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L/min</w:t>
            </w: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30.2</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30.1</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0.3</w:t>
            </w:r>
          </w:p>
        </w:tc>
        <w:tc>
          <w:tcPr>
            <w:tcW w:w="57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41.5</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40.8</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3.8</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bottom w:val="single" w:color="auto" w:sz="4" w:space="0"/>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bottom w:val="single" w:color="auto" w:sz="4" w:space="0"/>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50.3</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50.3</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TGHJ-194</w:t>
            </w: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restart"/>
            <w:tcBorders>
              <w:righ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尘</w:t>
            </w:r>
          </w:p>
        </w:tc>
        <w:tc>
          <w:tcPr>
            <w:tcW w:w="436" w:type="dxa"/>
            <w:vMerge w:val="restart"/>
            <w:tcBorders>
              <w:lef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路</w:t>
            </w: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30.0</w:t>
            </w:r>
          </w:p>
        </w:tc>
        <w:tc>
          <w:tcPr>
            <w:tcW w:w="617"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L/min</w:t>
            </w: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30.2</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30.2</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w:t>
            </w:r>
          </w:p>
        </w:tc>
        <w:tc>
          <w:tcPr>
            <w:tcW w:w="57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40.5</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41.5</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3.8</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3.8</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bottom w:val="single" w:color="auto" w:sz="4" w:space="0"/>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bottom w:val="single" w:color="auto" w:sz="4" w:space="0"/>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50.3</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50.3</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TGHJ-194</w:t>
            </w:r>
          </w:p>
        </w:tc>
        <w:tc>
          <w:tcPr>
            <w:tcW w:w="946"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2021.9.8</w:t>
            </w:r>
          </w:p>
        </w:tc>
        <w:tc>
          <w:tcPr>
            <w:tcW w:w="290" w:type="dxa"/>
            <w:vMerge w:val="restart"/>
            <w:tcBorders>
              <w:righ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尘</w:t>
            </w:r>
          </w:p>
        </w:tc>
        <w:tc>
          <w:tcPr>
            <w:tcW w:w="436" w:type="dxa"/>
            <w:vMerge w:val="restart"/>
            <w:tcBorders>
              <w:left w:val="nil"/>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路</w:t>
            </w: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30.0</w:t>
            </w:r>
          </w:p>
        </w:tc>
        <w:tc>
          <w:tcPr>
            <w:tcW w:w="617"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L/min</w:t>
            </w: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30.1</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30.1</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0.3</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0.3</w:t>
            </w:r>
          </w:p>
        </w:tc>
        <w:tc>
          <w:tcPr>
            <w:tcW w:w="578"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40.8</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40.8</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Merge w:val="continue"/>
            <w:vAlign w:val="center"/>
          </w:tcPr>
          <w:p>
            <w:pPr>
              <w:spacing w:line="276" w:lineRule="auto"/>
              <w:jc w:val="center"/>
              <w:rPr>
                <w:rFonts w:ascii="Times New Roman" w:hAnsi="Times New Roman" w:cs="Times New Roman"/>
                <w:color w:val="000000"/>
                <w:sz w:val="24"/>
                <w:szCs w:val="24"/>
              </w:rPr>
            </w:pPr>
          </w:p>
        </w:tc>
        <w:tc>
          <w:tcPr>
            <w:tcW w:w="1134" w:type="dxa"/>
            <w:vMerge w:val="continue"/>
            <w:vAlign w:val="center"/>
          </w:tcPr>
          <w:p>
            <w:pPr>
              <w:spacing w:line="276" w:lineRule="auto"/>
              <w:jc w:val="center"/>
              <w:rPr>
                <w:rFonts w:ascii="Times New Roman" w:hAnsi="Times New Roman" w:cs="Times New Roman"/>
                <w:color w:val="000000"/>
                <w:sz w:val="24"/>
                <w:szCs w:val="24"/>
              </w:rPr>
            </w:pPr>
          </w:p>
        </w:tc>
        <w:tc>
          <w:tcPr>
            <w:tcW w:w="709" w:type="dxa"/>
            <w:vMerge w:val="continue"/>
            <w:vAlign w:val="center"/>
          </w:tcPr>
          <w:p>
            <w:pPr>
              <w:spacing w:line="276" w:lineRule="auto"/>
              <w:jc w:val="center"/>
              <w:rPr>
                <w:rFonts w:ascii="Times New Roman" w:hAnsi="Times New Roman" w:cs="Times New Roman"/>
                <w:color w:val="000000"/>
                <w:sz w:val="24"/>
                <w:szCs w:val="24"/>
              </w:rPr>
            </w:pPr>
          </w:p>
        </w:tc>
        <w:tc>
          <w:tcPr>
            <w:tcW w:w="946" w:type="dxa"/>
            <w:vMerge w:val="continue"/>
            <w:vAlign w:val="center"/>
          </w:tcPr>
          <w:p>
            <w:pPr>
              <w:spacing w:line="276" w:lineRule="auto"/>
              <w:jc w:val="center"/>
              <w:rPr>
                <w:rFonts w:ascii="Times New Roman" w:hAnsi="Times New Roman" w:cs="Times New Roman"/>
                <w:color w:val="000000"/>
                <w:sz w:val="24"/>
                <w:szCs w:val="24"/>
              </w:rPr>
            </w:pPr>
          </w:p>
        </w:tc>
        <w:tc>
          <w:tcPr>
            <w:tcW w:w="290" w:type="dxa"/>
            <w:vMerge w:val="continue"/>
            <w:tcBorders>
              <w:bottom w:val="single" w:color="auto" w:sz="4" w:space="0"/>
              <w:right w:val="nil"/>
            </w:tcBorders>
            <w:vAlign w:val="center"/>
          </w:tcPr>
          <w:p>
            <w:pPr>
              <w:spacing w:line="276" w:lineRule="auto"/>
              <w:jc w:val="center"/>
              <w:rPr>
                <w:rFonts w:ascii="Times New Roman" w:hAnsi="Times New Roman" w:cs="Times New Roman"/>
                <w:color w:val="000000"/>
                <w:sz w:val="24"/>
                <w:szCs w:val="24"/>
              </w:rPr>
            </w:pPr>
          </w:p>
        </w:tc>
        <w:tc>
          <w:tcPr>
            <w:tcW w:w="436" w:type="dxa"/>
            <w:vMerge w:val="continue"/>
            <w:tcBorders>
              <w:left w:val="nil"/>
              <w:bottom w:val="single" w:color="auto" w:sz="4" w:space="0"/>
            </w:tcBorders>
            <w:vAlign w:val="center"/>
          </w:tcPr>
          <w:p>
            <w:pPr>
              <w:spacing w:line="276" w:lineRule="auto"/>
              <w:jc w:val="center"/>
              <w:rPr>
                <w:rFonts w:ascii="Times New Roman" w:hAnsi="Times New Roman" w:cs="Times New Roman"/>
                <w:color w:val="000000"/>
                <w:sz w:val="24"/>
                <w:szCs w:val="24"/>
              </w:rPr>
            </w:pPr>
          </w:p>
        </w:tc>
        <w:tc>
          <w:tcPr>
            <w:tcW w:w="77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50.0</w:t>
            </w:r>
          </w:p>
        </w:tc>
        <w:tc>
          <w:tcPr>
            <w:tcW w:w="617" w:type="dxa"/>
            <w:vMerge w:val="continue"/>
            <w:vAlign w:val="center"/>
          </w:tcPr>
          <w:p>
            <w:pPr>
              <w:spacing w:line="276" w:lineRule="auto"/>
              <w:jc w:val="center"/>
              <w:rPr>
                <w:rFonts w:ascii="Times New Roman" w:hAnsi="Times New Roman" w:cs="Times New Roman"/>
                <w:color w:val="000000"/>
                <w:sz w:val="24"/>
                <w:szCs w:val="24"/>
              </w:rPr>
            </w:pPr>
          </w:p>
        </w:tc>
        <w:tc>
          <w:tcPr>
            <w:tcW w:w="10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50.3</w:t>
            </w:r>
          </w:p>
        </w:tc>
        <w:tc>
          <w:tcPr>
            <w:tcW w:w="994"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50.3</w:t>
            </w:r>
          </w:p>
        </w:tc>
        <w:tc>
          <w:tcPr>
            <w:tcW w:w="9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967"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578"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5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备注：</w:t>
            </w:r>
          </w:p>
        </w:tc>
        <w:tc>
          <w:tcPr>
            <w:tcW w:w="9442" w:type="dxa"/>
            <w:gridSpan w:val="12"/>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示值误差绝对值：≤5%（浓度＜100μmol/mol时，≤5μmol/mol）</w:t>
            </w:r>
          </w:p>
        </w:tc>
      </w:tr>
    </w:tbl>
    <w:p>
      <w:pPr>
        <w:jc w:val="center"/>
        <w:rPr>
          <w:rFonts w:ascii="Times New Roman" w:hAnsi="Times New Roman" w:cs="Times New Roman"/>
        </w:rPr>
      </w:pPr>
    </w:p>
    <w:p>
      <w:pPr>
        <w:rPr>
          <w:rFonts w:ascii="Times New Roman" w:hAnsi="Times New Roman" w:cs="Times New Roman"/>
        </w:rPr>
      </w:pPr>
    </w:p>
    <w:p>
      <w:pPr>
        <w:pStyle w:val="4"/>
        <w:rPr>
          <w:rFonts w:ascii="Times New Roman" w:hAnsi="Times New Roman" w:cs="Times New Roman"/>
        </w:rPr>
      </w:pPr>
      <w:bookmarkStart w:id="44" w:name="_Toc1675"/>
      <w:r>
        <w:rPr>
          <w:rFonts w:ascii="Times New Roman" w:hAnsi="Times New Roman" w:cs="Times New Roman"/>
        </w:rPr>
        <w:t>8.5 噪声监测分析过程中的质量保证和质量控制</w:t>
      </w:r>
      <w:bookmarkEnd w:id="44"/>
    </w:p>
    <w:p>
      <w:pPr>
        <w:pStyle w:val="5"/>
        <w:rPr>
          <w:rFonts w:ascii="Times New Roman" w:hAnsi="Times New Roman" w:cs="Times New Roman"/>
        </w:rPr>
      </w:pPr>
      <w:r>
        <w:rPr>
          <w:rFonts w:ascii="Times New Roman" w:hAnsi="Times New Roman" w:cs="Times New Roman"/>
        </w:rPr>
        <w:t>8.5.1 现场监测质量保证</w:t>
      </w:r>
    </w:p>
    <w:p>
      <w:pPr>
        <w:ind w:firstLine="560" w:firstLineChars="200"/>
        <w:rPr>
          <w:rFonts w:ascii="Times New Roman" w:hAnsi="Times New Roman" w:cs="Times New Roman"/>
        </w:rPr>
      </w:pPr>
      <w:r>
        <w:rPr>
          <w:rFonts w:ascii="Times New Roman" w:hAnsi="Times New Roman" w:cs="Times New Roman"/>
        </w:rPr>
        <w:t>（1）厂界噪声的测量按照《工业企业厂界噪声排放标准》（GB12348-2008）中的国家标准方法进行，测点选在工业企业厂界外1米，高度1.2米以上。</w:t>
      </w:r>
    </w:p>
    <w:p>
      <w:pPr>
        <w:ind w:firstLine="560" w:firstLineChars="200"/>
        <w:rPr>
          <w:rFonts w:ascii="Times New Roman" w:hAnsi="Times New Roman" w:cs="Times New Roman"/>
        </w:rPr>
      </w:pPr>
      <w:r>
        <w:rPr>
          <w:rFonts w:ascii="Times New Roman" w:hAnsi="Times New Roman" w:cs="Times New Roman"/>
        </w:rPr>
        <w:t>（2）每次测量前、后必须在测量现场进行声学校准，其前、后示值偏差不得大于0.5dB，否则测量结果无效。</w:t>
      </w:r>
    </w:p>
    <w:p>
      <w:pPr>
        <w:ind w:firstLine="560" w:firstLineChars="200"/>
        <w:rPr>
          <w:rFonts w:ascii="Times New Roman" w:hAnsi="Times New Roman" w:cs="Times New Roman"/>
        </w:rPr>
      </w:pPr>
      <w:r>
        <w:rPr>
          <w:rFonts w:ascii="Times New Roman" w:hAnsi="Times New Roman" w:cs="Times New Roman"/>
        </w:rPr>
        <w:t>（3）测量前应在无雨雪、无雷电天气、风速为5米/秒以下进行。</w:t>
      </w:r>
    </w:p>
    <w:p>
      <w:pPr>
        <w:pStyle w:val="5"/>
        <w:rPr>
          <w:rFonts w:ascii="Times New Roman" w:hAnsi="Times New Roman" w:cs="Times New Roman"/>
        </w:rPr>
      </w:pPr>
      <w:r>
        <w:rPr>
          <w:rFonts w:ascii="Times New Roman" w:hAnsi="Times New Roman" w:cs="Times New Roman"/>
        </w:rPr>
        <w:t>8.5.2 监测仪器校准结果</w:t>
      </w:r>
    </w:p>
    <w:p>
      <w:pPr>
        <w:ind w:firstLine="560" w:firstLineChars="200"/>
        <w:rPr>
          <w:rFonts w:ascii="Times New Roman" w:hAnsi="Times New Roman" w:cs="Times New Roman"/>
        </w:rPr>
      </w:pPr>
      <w:r>
        <w:rPr>
          <w:rFonts w:ascii="Times New Roman" w:hAnsi="Times New Roman" w:cs="Times New Roman"/>
        </w:rPr>
        <w:t>噪声声级计在测试前后用标准发生源进行校准，测量前后仪器的校准示值偏差不大于0.5dB，声级计校准结果见下表。</w:t>
      </w:r>
    </w:p>
    <w:p>
      <w:pPr>
        <w:jc w:val="center"/>
        <w:rPr>
          <w:rFonts w:ascii="Times New Roman" w:hAnsi="Times New Roman" w:cs="Times New Roman"/>
        </w:rPr>
      </w:pPr>
      <w:r>
        <w:rPr>
          <w:rFonts w:ascii="Times New Roman" w:hAnsi="Times New Roman" w:cs="Times New Roman"/>
        </w:rPr>
        <w:t>表8-5  声级计校准一览表</w:t>
      </w:r>
    </w:p>
    <w:tbl>
      <w:tblPr>
        <w:tblStyle w:val="22"/>
        <w:tblW w:w="8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9"/>
        <w:gridCol w:w="1131"/>
        <w:gridCol w:w="907"/>
        <w:gridCol w:w="964"/>
        <w:gridCol w:w="964"/>
        <w:gridCol w:w="1127"/>
        <w:gridCol w:w="907"/>
        <w:gridCol w:w="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39" w:type="dxa"/>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仪器名称</w:t>
            </w:r>
          </w:p>
        </w:tc>
        <w:tc>
          <w:tcPr>
            <w:tcW w:w="1131" w:type="dxa"/>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日 期</w:t>
            </w:r>
          </w:p>
        </w:tc>
        <w:tc>
          <w:tcPr>
            <w:tcW w:w="907" w:type="dxa"/>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时 段</w:t>
            </w:r>
          </w:p>
        </w:tc>
        <w:tc>
          <w:tcPr>
            <w:tcW w:w="964" w:type="dxa"/>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测试前</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校准值</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（dB）</w:t>
            </w:r>
          </w:p>
        </w:tc>
        <w:tc>
          <w:tcPr>
            <w:tcW w:w="964" w:type="dxa"/>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测试后</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校准值</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（dB）</w:t>
            </w:r>
          </w:p>
        </w:tc>
        <w:tc>
          <w:tcPr>
            <w:tcW w:w="1127" w:type="dxa"/>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标准声源</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数值</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（dB）</w:t>
            </w:r>
          </w:p>
        </w:tc>
        <w:tc>
          <w:tcPr>
            <w:tcW w:w="907" w:type="dxa"/>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允许</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偏差</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（dB）</w:t>
            </w:r>
          </w:p>
        </w:tc>
        <w:tc>
          <w:tcPr>
            <w:tcW w:w="907" w:type="dxa"/>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质控</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39"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噪声频谱</w:t>
            </w:r>
          </w:p>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分析仪</w:t>
            </w:r>
          </w:p>
          <w:p>
            <w:pPr>
              <w:pStyle w:val="24"/>
              <w:spacing w:line="276" w:lineRule="auto"/>
              <w:jc w:val="center"/>
              <w:rPr>
                <w:rFonts w:eastAsia="宋体"/>
                <w:color w:val="auto"/>
              </w:rPr>
            </w:pPr>
            <w:r>
              <w:rPr>
                <w:rFonts w:eastAsia="宋体"/>
                <w:color w:val="auto"/>
              </w:rPr>
              <w:t>HS6288B</w:t>
            </w:r>
          </w:p>
        </w:tc>
        <w:tc>
          <w:tcPr>
            <w:tcW w:w="1131"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2021.9.7</w:t>
            </w:r>
          </w:p>
        </w:tc>
        <w:tc>
          <w:tcPr>
            <w:tcW w:w="907" w:type="dxa"/>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昼间</w:t>
            </w:r>
          </w:p>
        </w:tc>
        <w:tc>
          <w:tcPr>
            <w:tcW w:w="964" w:type="dxa"/>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93.8</w:t>
            </w:r>
          </w:p>
        </w:tc>
        <w:tc>
          <w:tcPr>
            <w:tcW w:w="964" w:type="dxa"/>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94.1</w:t>
            </w:r>
          </w:p>
        </w:tc>
        <w:tc>
          <w:tcPr>
            <w:tcW w:w="1127"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94.0</w:t>
            </w:r>
          </w:p>
        </w:tc>
        <w:tc>
          <w:tcPr>
            <w:tcW w:w="907"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907"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39" w:type="dxa"/>
            <w:vMerge w:val="continue"/>
            <w:vAlign w:val="center"/>
          </w:tcPr>
          <w:p>
            <w:pPr>
              <w:pStyle w:val="24"/>
              <w:spacing w:line="276" w:lineRule="auto"/>
              <w:jc w:val="center"/>
              <w:rPr>
                <w:rFonts w:eastAsia="宋体"/>
                <w:color w:val="auto"/>
              </w:rPr>
            </w:pPr>
          </w:p>
        </w:tc>
        <w:tc>
          <w:tcPr>
            <w:tcW w:w="1131" w:type="dxa"/>
            <w:vMerge w:val="continue"/>
            <w:vAlign w:val="center"/>
          </w:tcPr>
          <w:p>
            <w:pPr>
              <w:pStyle w:val="24"/>
              <w:spacing w:line="276" w:lineRule="auto"/>
              <w:jc w:val="center"/>
              <w:rPr>
                <w:rFonts w:eastAsia="宋体"/>
                <w:color w:val="auto"/>
              </w:rPr>
            </w:pPr>
          </w:p>
        </w:tc>
        <w:tc>
          <w:tcPr>
            <w:tcW w:w="907"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夜间</w:t>
            </w:r>
          </w:p>
        </w:tc>
        <w:tc>
          <w:tcPr>
            <w:tcW w:w="964"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94.1</w:t>
            </w:r>
          </w:p>
        </w:tc>
        <w:tc>
          <w:tcPr>
            <w:tcW w:w="964"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93.9</w:t>
            </w:r>
          </w:p>
        </w:tc>
        <w:tc>
          <w:tcPr>
            <w:tcW w:w="1127" w:type="dxa"/>
            <w:vMerge w:val="continue"/>
            <w:vAlign w:val="center"/>
          </w:tcPr>
          <w:p>
            <w:pPr>
              <w:pStyle w:val="24"/>
              <w:spacing w:line="276" w:lineRule="auto"/>
              <w:jc w:val="center"/>
              <w:rPr>
                <w:rFonts w:eastAsia="宋体"/>
                <w:color w:val="auto"/>
              </w:rPr>
            </w:pPr>
          </w:p>
        </w:tc>
        <w:tc>
          <w:tcPr>
            <w:tcW w:w="907" w:type="dxa"/>
            <w:vMerge w:val="continue"/>
            <w:vAlign w:val="center"/>
          </w:tcPr>
          <w:p>
            <w:pPr>
              <w:pStyle w:val="24"/>
              <w:spacing w:line="276" w:lineRule="auto"/>
              <w:jc w:val="center"/>
              <w:rPr>
                <w:rFonts w:eastAsia="宋体"/>
                <w:color w:val="auto"/>
              </w:rPr>
            </w:pPr>
          </w:p>
        </w:tc>
        <w:tc>
          <w:tcPr>
            <w:tcW w:w="907" w:type="dxa"/>
            <w:vMerge w:val="continue"/>
            <w:vAlign w:val="center"/>
          </w:tcPr>
          <w:p>
            <w:pPr>
              <w:pStyle w:val="24"/>
              <w:spacing w:line="276" w:lineRule="auto"/>
              <w:jc w:val="center"/>
              <w:rPr>
                <w:rFonts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39" w:type="dxa"/>
            <w:vMerge w:val="continue"/>
            <w:vAlign w:val="center"/>
          </w:tcPr>
          <w:p>
            <w:pPr>
              <w:pStyle w:val="24"/>
              <w:spacing w:line="276" w:lineRule="auto"/>
              <w:jc w:val="center"/>
              <w:rPr>
                <w:rFonts w:eastAsia="宋体"/>
                <w:color w:val="auto"/>
              </w:rPr>
            </w:pPr>
          </w:p>
        </w:tc>
        <w:tc>
          <w:tcPr>
            <w:tcW w:w="1131" w:type="dxa"/>
            <w:vMerge w:val="restart"/>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2021.9.8</w:t>
            </w:r>
          </w:p>
        </w:tc>
        <w:tc>
          <w:tcPr>
            <w:tcW w:w="907"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昼间</w:t>
            </w:r>
          </w:p>
        </w:tc>
        <w:tc>
          <w:tcPr>
            <w:tcW w:w="964"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94.0</w:t>
            </w:r>
          </w:p>
        </w:tc>
        <w:tc>
          <w:tcPr>
            <w:tcW w:w="964"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94.1</w:t>
            </w:r>
          </w:p>
        </w:tc>
        <w:tc>
          <w:tcPr>
            <w:tcW w:w="1127" w:type="dxa"/>
            <w:vMerge w:val="continue"/>
            <w:vAlign w:val="center"/>
          </w:tcPr>
          <w:p>
            <w:pPr>
              <w:pStyle w:val="24"/>
              <w:spacing w:line="276" w:lineRule="auto"/>
              <w:jc w:val="center"/>
              <w:rPr>
                <w:rFonts w:eastAsia="宋体"/>
                <w:color w:val="auto"/>
              </w:rPr>
            </w:pPr>
          </w:p>
        </w:tc>
        <w:tc>
          <w:tcPr>
            <w:tcW w:w="907" w:type="dxa"/>
            <w:vMerge w:val="continue"/>
            <w:vAlign w:val="center"/>
          </w:tcPr>
          <w:p>
            <w:pPr>
              <w:pStyle w:val="24"/>
              <w:spacing w:line="276" w:lineRule="auto"/>
              <w:jc w:val="center"/>
              <w:rPr>
                <w:rFonts w:eastAsia="宋体"/>
                <w:color w:val="auto"/>
              </w:rPr>
            </w:pPr>
          </w:p>
        </w:tc>
        <w:tc>
          <w:tcPr>
            <w:tcW w:w="907" w:type="dxa"/>
            <w:vMerge w:val="continue"/>
            <w:vAlign w:val="center"/>
          </w:tcPr>
          <w:p>
            <w:pPr>
              <w:pStyle w:val="24"/>
              <w:spacing w:line="276" w:lineRule="auto"/>
              <w:jc w:val="center"/>
              <w:rPr>
                <w:rFonts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39" w:type="dxa"/>
            <w:vMerge w:val="continue"/>
            <w:vAlign w:val="center"/>
          </w:tcPr>
          <w:p>
            <w:pPr>
              <w:pStyle w:val="24"/>
              <w:spacing w:line="276" w:lineRule="auto"/>
              <w:jc w:val="center"/>
              <w:rPr>
                <w:rFonts w:eastAsia="宋体"/>
                <w:color w:val="auto"/>
              </w:rPr>
            </w:pPr>
          </w:p>
        </w:tc>
        <w:tc>
          <w:tcPr>
            <w:tcW w:w="1131" w:type="dxa"/>
            <w:vMerge w:val="continue"/>
            <w:vAlign w:val="center"/>
          </w:tcPr>
          <w:p>
            <w:pPr>
              <w:pStyle w:val="24"/>
              <w:spacing w:line="276" w:lineRule="auto"/>
              <w:jc w:val="center"/>
              <w:rPr>
                <w:rFonts w:eastAsia="宋体"/>
                <w:color w:val="auto"/>
              </w:rPr>
            </w:pPr>
          </w:p>
        </w:tc>
        <w:tc>
          <w:tcPr>
            <w:tcW w:w="907"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夜间</w:t>
            </w:r>
          </w:p>
        </w:tc>
        <w:tc>
          <w:tcPr>
            <w:tcW w:w="964"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94.2</w:t>
            </w:r>
          </w:p>
        </w:tc>
        <w:tc>
          <w:tcPr>
            <w:tcW w:w="964"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94.1</w:t>
            </w:r>
          </w:p>
        </w:tc>
        <w:tc>
          <w:tcPr>
            <w:tcW w:w="1127" w:type="dxa"/>
            <w:vMerge w:val="continue"/>
            <w:vAlign w:val="center"/>
          </w:tcPr>
          <w:p>
            <w:pPr>
              <w:pStyle w:val="24"/>
              <w:spacing w:line="276" w:lineRule="auto"/>
              <w:jc w:val="center"/>
              <w:rPr>
                <w:rFonts w:eastAsia="宋体"/>
                <w:color w:val="auto"/>
              </w:rPr>
            </w:pPr>
          </w:p>
        </w:tc>
        <w:tc>
          <w:tcPr>
            <w:tcW w:w="907" w:type="dxa"/>
            <w:vMerge w:val="continue"/>
            <w:vAlign w:val="center"/>
          </w:tcPr>
          <w:p>
            <w:pPr>
              <w:pStyle w:val="24"/>
              <w:spacing w:line="276" w:lineRule="auto"/>
              <w:jc w:val="center"/>
              <w:rPr>
                <w:rFonts w:eastAsia="宋体"/>
                <w:color w:val="auto"/>
              </w:rPr>
            </w:pPr>
          </w:p>
        </w:tc>
        <w:tc>
          <w:tcPr>
            <w:tcW w:w="907" w:type="dxa"/>
            <w:vMerge w:val="continue"/>
            <w:vAlign w:val="center"/>
          </w:tcPr>
          <w:p>
            <w:pPr>
              <w:pStyle w:val="24"/>
              <w:spacing w:line="276" w:lineRule="auto"/>
              <w:jc w:val="center"/>
              <w:rPr>
                <w:rFonts w:eastAsia="宋体"/>
                <w:color w:val="auto"/>
              </w:rPr>
            </w:pPr>
          </w:p>
        </w:tc>
      </w:tr>
    </w:tbl>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45" w:name="_Toc31612"/>
      <w:r>
        <w:rPr>
          <w:rFonts w:ascii="Times New Roman" w:hAnsi="Times New Roman" w:cs="Times New Roman"/>
        </w:rPr>
        <w:t>9 验收监测结果</w:t>
      </w:r>
      <w:bookmarkEnd w:id="45"/>
    </w:p>
    <w:p>
      <w:pPr>
        <w:pStyle w:val="4"/>
        <w:rPr>
          <w:rFonts w:ascii="Times New Roman" w:hAnsi="Times New Roman" w:cs="Times New Roman"/>
        </w:rPr>
      </w:pPr>
      <w:bookmarkStart w:id="46" w:name="_Toc23696"/>
      <w:r>
        <w:rPr>
          <w:rFonts w:ascii="Times New Roman" w:hAnsi="Times New Roman" w:cs="Times New Roman"/>
        </w:rPr>
        <w:t>9.1 生产工况</w:t>
      </w:r>
      <w:bookmarkEnd w:id="46"/>
    </w:p>
    <w:p>
      <w:pPr>
        <w:ind w:firstLine="560" w:firstLineChars="200"/>
        <w:rPr>
          <w:rFonts w:ascii="Times New Roman" w:hAnsi="Times New Roman" w:cs="Times New Roman"/>
        </w:rPr>
      </w:pPr>
      <w:r>
        <w:rPr>
          <w:rFonts w:ascii="Times New Roman" w:hAnsi="Times New Roman" w:cs="Times New Roman"/>
        </w:rPr>
        <w:t>本次验收监测期间，项目生产工况稳定，环保设施运行正常，监测期间主要生产设施生产工况见下表。（补充二噁英监测时工况）</w:t>
      </w:r>
    </w:p>
    <w:p>
      <w:pPr>
        <w:jc w:val="center"/>
        <w:rPr>
          <w:rFonts w:ascii="Times New Roman" w:hAnsi="Times New Roman" w:cs="Times New Roman"/>
        </w:rPr>
      </w:pPr>
      <w:r>
        <w:rPr>
          <w:rFonts w:ascii="Times New Roman" w:hAnsi="Times New Roman" w:cs="Times New Roman"/>
        </w:rPr>
        <w:t>表9-1  监测期间主要生产设施生产工况一览表</w:t>
      </w:r>
    </w:p>
    <w:tbl>
      <w:tblPr>
        <w:tblStyle w:val="21"/>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1"/>
        <w:gridCol w:w="1379"/>
        <w:gridCol w:w="1658"/>
        <w:gridCol w:w="1658"/>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监测主要</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生产设施</w:t>
            </w:r>
          </w:p>
        </w:tc>
        <w:tc>
          <w:tcPr>
            <w:tcW w:w="1379"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设计能力</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监测时间</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实际产量</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生产负荷</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restart"/>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电炉</w:t>
            </w:r>
          </w:p>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(含合金熔化装置)</w:t>
            </w:r>
          </w:p>
        </w:tc>
        <w:tc>
          <w:tcPr>
            <w:tcW w:w="1379"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1515</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（528）</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2021.9.7</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1522</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2021.9.8</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1539</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2021.9.11</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1516</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2021.9.12</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1514</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2021.9.13</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1515</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2021.9.14</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1520</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restart"/>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合金熔化装置</w:t>
            </w:r>
          </w:p>
        </w:tc>
        <w:tc>
          <w:tcPr>
            <w:tcW w:w="1379"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528</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2021.9.7</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502</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2021.9.8</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508</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2021.9.11</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501</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2021.9.12</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502</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2021.9.13</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507</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21"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1379" w:type="dxa"/>
            <w:vMerge w:val="continue"/>
            <w:vAlign w:val="center"/>
          </w:tcPr>
          <w:p>
            <w:pPr>
              <w:spacing w:line="276" w:lineRule="auto"/>
              <w:jc w:val="center"/>
              <w:rPr>
                <w:rFonts w:ascii="Times New Roman" w:hAnsi="Times New Roman" w:cs="Times New Roman"/>
                <w:color w:val="000000"/>
                <w:sz w:val="24"/>
                <w:szCs w:val="24"/>
              </w:rPr>
            </w:pP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2021.9.14</w:t>
            </w:r>
          </w:p>
        </w:tc>
        <w:tc>
          <w:tcPr>
            <w:tcW w:w="1658"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506</w:t>
            </w:r>
          </w:p>
        </w:tc>
        <w:tc>
          <w:tcPr>
            <w:tcW w:w="1480"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95.8</w:t>
            </w:r>
          </w:p>
        </w:tc>
      </w:tr>
    </w:tbl>
    <w:p>
      <w:pPr>
        <w:pStyle w:val="4"/>
        <w:rPr>
          <w:rFonts w:ascii="Times New Roman" w:hAnsi="Times New Roman" w:cs="Times New Roman"/>
        </w:rPr>
      </w:pPr>
      <w:bookmarkStart w:id="47" w:name="_Toc11915"/>
      <w:r>
        <w:rPr>
          <w:rFonts w:ascii="Times New Roman" w:hAnsi="Times New Roman" w:cs="Times New Roman"/>
        </w:rPr>
        <w:t>9.2 环保设施调试运行效果</w:t>
      </w:r>
      <w:bookmarkEnd w:id="47"/>
    </w:p>
    <w:p>
      <w:pPr>
        <w:pStyle w:val="6"/>
        <w:rPr>
          <w:rFonts w:ascii="Times New Roman" w:hAnsi="Times New Roman" w:cs="Times New Roman"/>
        </w:rPr>
      </w:pPr>
      <w:r>
        <w:rPr>
          <w:rFonts w:ascii="Times New Roman" w:hAnsi="Times New Roman" w:cs="Times New Roman"/>
        </w:rPr>
        <w:t>9.2.1 废气</w:t>
      </w:r>
    </w:p>
    <w:p>
      <w:pPr>
        <w:ind w:firstLine="560" w:firstLineChars="200"/>
        <w:rPr>
          <w:rFonts w:ascii="Times New Roman" w:hAnsi="Times New Roman" w:cs="Times New Roman"/>
        </w:rPr>
      </w:pPr>
      <w:r>
        <w:rPr>
          <w:rFonts w:ascii="Times New Roman" w:hAnsi="Times New Roman" w:cs="Times New Roman"/>
        </w:rPr>
        <w:t>本次验收对合金熔化炉集气罩进口、电炉除尘器进口、2座排气筒出口废气进行监测，监测结果如下：</w:t>
      </w:r>
    </w:p>
    <w:p>
      <w:pPr>
        <w:ind w:firstLine="560" w:firstLineChars="200"/>
        <w:rPr>
          <w:rFonts w:ascii="Times New Roman" w:hAnsi="Times New Roman" w:cs="Times New Roman"/>
        </w:rPr>
      </w:pPr>
      <w:r>
        <w:rPr>
          <w:rFonts w:ascii="Times New Roman" w:hAnsi="Times New Roman" w:cs="Times New Roman"/>
        </w:rPr>
        <w:t>1、合金熔化炉集气罩进口</w:t>
      </w:r>
      <w:r>
        <w:rPr>
          <w:rFonts w:hint="eastAsia" w:ascii="Times New Roman" w:hAnsi="Times New Roman" w:cs="Times New Roman"/>
        </w:rPr>
        <w:t>（颗粒物、氟化物）</w:t>
      </w:r>
    </w:p>
    <w:tbl>
      <w:tblPr>
        <w:tblStyle w:val="2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2"/>
        <w:gridCol w:w="1382"/>
        <w:gridCol w:w="1383"/>
        <w:gridCol w:w="1383"/>
        <w:gridCol w:w="1383"/>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监测日期</w:t>
            </w:r>
          </w:p>
        </w:tc>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监测点位</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监测次数</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标干流量（m³/h）</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颗粒物排放浓度（mg/m³）</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氟化物排放浓度（mg/m³）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2021.9.7</w:t>
            </w:r>
          </w:p>
        </w:tc>
        <w:tc>
          <w:tcPr>
            <w:tcW w:w="138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合金熔化炉集气罩进口</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154712</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818</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2" w:type="dxa"/>
            <w:vMerge w:val="continue"/>
            <w:vAlign w:val="center"/>
          </w:tcPr>
          <w:p>
            <w:pPr>
              <w:spacing w:line="276" w:lineRule="auto"/>
              <w:jc w:val="center"/>
              <w:rPr>
                <w:rFonts w:ascii="Times New Roman" w:hAnsi="Times New Roman" w:cs="Times New Roman"/>
                <w:sz w:val="24"/>
                <w:szCs w:val="24"/>
              </w:rPr>
            </w:pPr>
          </w:p>
        </w:tc>
        <w:tc>
          <w:tcPr>
            <w:tcW w:w="1382" w:type="dxa"/>
            <w:vMerge w:val="continue"/>
            <w:vAlign w:val="center"/>
          </w:tcPr>
          <w:p>
            <w:pPr>
              <w:spacing w:line="276" w:lineRule="auto"/>
              <w:jc w:val="center"/>
              <w:rPr>
                <w:rFonts w:ascii="Times New Roman" w:hAnsi="Times New Roman" w:cs="Times New Roman"/>
                <w:sz w:val="24"/>
                <w:szCs w:val="24"/>
              </w:rPr>
            </w:pP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155980</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996</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2" w:type="dxa"/>
            <w:vMerge w:val="continue"/>
            <w:vAlign w:val="center"/>
          </w:tcPr>
          <w:p>
            <w:pPr>
              <w:spacing w:line="276" w:lineRule="auto"/>
              <w:jc w:val="center"/>
              <w:rPr>
                <w:rFonts w:ascii="Times New Roman" w:hAnsi="Times New Roman" w:cs="Times New Roman"/>
                <w:sz w:val="24"/>
                <w:szCs w:val="24"/>
              </w:rPr>
            </w:pPr>
          </w:p>
        </w:tc>
        <w:tc>
          <w:tcPr>
            <w:tcW w:w="1382" w:type="dxa"/>
            <w:vMerge w:val="continue"/>
            <w:vAlign w:val="center"/>
          </w:tcPr>
          <w:p>
            <w:pPr>
              <w:spacing w:line="276" w:lineRule="auto"/>
              <w:jc w:val="center"/>
              <w:rPr>
                <w:rFonts w:ascii="Times New Roman" w:hAnsi="Times New Roman" w:cs="Times New Roman"/>
                <w:sz w:val="24"/>
                <w:szCs w:val="24"/>
              </w:rPr>
            </w:pP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159722</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991</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2021.9.8</w:t>
            </w:r>
          </w:p>
        </w:tc>
        <w:tc>
          <w:tcPr>
            <w:tcW w:w="1382" w:type="dxa"/>
            <w:vMerge w:val="continue"/>
            <w:vAlign w:val="center"/>
          </w:tcPr>
          <w:p>
            <w:pPr>
              <w:spacing w:line="276" w:lineRule="auto"/>
              <w:jc w:val="center"/>
              <w:rPr>
                <w:rFonts w:ascii="Times New Roman" w:hAnsi="Times New Roman" w:cs="Times New Roman"/>
                <w:sz w:val="24"/>
                <w:szCs w:val="24"/>
              </w:rPr>
            </w:pP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151087</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933</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2" w:type="dxa"/>
            <w:vMerge w:val="continue"/>
            <w:vAlign w:val="center"/>
          </w:tcPr>
          <w:p>
            <w:pPr>
              <w:spacing w:line="276" w:lineRule="auto"/>
              <w:jc w:val="center"/>
              <w:rPr>
                <w:rFonts w:ascii="Times New Roman" w:hAnsi="Times New Roman" w:cs="Times New Roman"/>
                <w:sz w:val="24"/>
                <w:szCs w:val="24"/>
              </w:rPr>
            </w:pPr>
          </w:p>
        </w:tc>
        <w:tc>
          <w:tcPr>
            <w:tcW w:w="1382" w:type="dxa"/>
            <w:vMerge w:val="continue"/>
            <w:vAlign w:val="center"/>
          </w:tcPr>
          <w:p>
            <w:pPr>
              <w:spacing w:line="276" w:lineRule="auto"/>
              <w:jc w:val="center"/>
              <w:rPr>
                <w:rFonts w:ascii="Times New Roman" w:hAnsi="Times New Roman" w:cs="Times New Roman"/>
                <w:sz w:val="24"/>
                <w:szCs w:val="24"/>
              </w:rPr>
            </w:pP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151723</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926</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2" w:type="dxa"/>
            <w:vMerge w:val="continue"/>
            <w:vAlign w:val="center"/>
          </w:tcPr>
          <w:p>
            <w:pPr>
              <w:spacing w:line="276" w:lineRule="auto"/>
              <w:jc w:val="center"/>
              <w:rPr>
                <w:rFonts w:ascii="Times New Roman" w:hAnsi="Times New Roman" w:cs="Times New Roman"/>
                <w:sz w:val="24"/>
                <w:szCs w:val="24"/>
              </w:rPr>
            </w:pPr>
          </w:p>
        </w:tc>
        <w:tc>
          <w:tcPr>
            <w:tcW w:w="1382" w:type="dxa"/>
            <w:vMerge w:val="continue"/>
            <w:vAlign w:val="center"/>
          </w:tcPr>
          <w:p>
            <w:pPr>
              <w:spacing w:line="276" w:lineRule="auto"/>
              <w:jc w:val="center"/>
              <w:rPr>
                <w:rFonts w:ascii="Times New Roman" w:hAnsi="Times New Roman" w:cs="Times New Roman"/>
                <w:sz w:val="24"/>
                <w:szCs w:val="24"/>
              </w:rPr>
            </w:pP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151531</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920</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147"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154126</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930.7</w:t>
            </w:r>
          </w:p>
        </w:tc>
        <w:tc>
          <w:tcPr>
            <w:tcW w:w="1383" w:type="dxa"/>
            <w:vAlign w:val="center"/>
          </w:tcPr>
          <w:p>
            <w:pPr>
              <w:spacing w:line="276" w:lineRule="auto"/>
              <w:jc w:val="center"/>
              <w:rPr>
                <w:rFonts w:ascii="Times New Roman" w:hAnsi="Times New Roman" w:cs="Times New Roman"/>
                <w:sz w:val="24"/>
                <w:szCs w:val="24"/>
              </w:rPr>
            </w:pPr>
            <w:r>
              <w:rPr>
                <w:rFonts w:ascii="Times New Roman" w:hAnsi="Times New Roman" w:eastAsia="楷体" w:cs="Times New Roman"/>
                <w:color w:val="000000"/>
                <w:sz w:val="24"/>
                <w:szCs w:val="24"/>
              </w:rPr>
              <w:t>3.25</w:t>
            </w:r>
          </w:p>
        </w:tc>
      </w:tr>
    </w:tbl>
    <w:p>
      <w:pPr>
        <w:ind w:firstLine="560" w:firstLineChars="200"/>
        <w:rPr>
          <w:rFonts w:ascii="Times New Roman" w:hAnsi="Times New Roman" w:cs="Times New Roman"/>
        </w:rPr>
      </w:pPr>
    </w:p>
    <w:p>
      <w:pPr>
        <w:ind w:firstLine="560" w:firstLineChars="200"/>
        <w:rPr>
          <w:rFonts w:ascii="Times New Roman" w:hAnsi="Times New Roman" w:cs="Times New Roman"/>
        </w:rPr>
      </w:pPr>
      <w:r>
        <w:rPr>
          <w:rFonts w:ascii="Times New Roman" w:hAnsi="Times New Roman" w:cs="Times New Roman"/>
        </w:rPr>
        <w:t>2、电炉</w:t>
      </w:r>
      <w:r>
        <w:rPr>
          <w:rFonts w:hint="eastAsia" w:ascii="Times New Roman" w:hAnsi="Times New Roman" w:cs="Times New Roman"/>
        </w:rPr>
        <w:t>废气监测结果（颗粒物）</w:t>
      </w:r>
    </w:p>
    <w:tbl>
      <w:tblPr>
        <w:tblStyle w:val="2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1369"/>
        <w:gridCol w:w="1370"/>
        <w:gridCol w:w="1416"/>
        <w:gridCol w:w="1382"/>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监测日期</w:t>
            </w: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监测点位</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监测次数</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标干流量（m³/h）</w:t>
            </w:r>
          </w:p>
        </w:tc>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颗粒物排放浓度（mg/m³）</w:t>
            </w:r>
          </w:p>
        </w:tc>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除尘效率</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2021.9.7</w:t>
            </w:r>
          </w:p>
        </w:tc>
        <w:tc>
          <w:tcPr>
            <w:tcW w:w="136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电炉除尘器进口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1260397.04</w:t>
            </w:r>
          </w:p>
        </w:tc>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1884</w:t>
            </w:r>
          </w:p>
        </w:tc>
        <w:tc>
          <w:tcPr>
            <w:tcW w:w="1382" w:type="dxa"/>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1215938.99</w:t>
            </w:r>
          </w:p>
        </w:tc>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1885</w:t>
            </w:r>
          </w:p>
        </w:tc>
        <w:tc>
          <w:tcPr>
            <w:tcW w:w="1382" w:type="dxa"/>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1284467.21</w:t>
            </w:r>
          </w:p>
        </w:tc>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1843</w:t>
            </w:r>
          </w:p>
        </w:tc>
        <w:tc>
          <w:tcPr>
            <w:tcW w:w="1382" w:type="dxa"/>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2021.9.8</w:t>
            </w: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1184657.59</w:t>
            </w:r>
          </w:p>
        </w:tc>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1895</w:t>
            </w:r>
          </w:p>
        </w:tc>
        <w:tc>
          <w:tcPr>
            <w:tcW w:w="1382" w:type="dxa"/>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1171929.63</w:t>
            </w:r>
          </w:p>
        </w:tc>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1735</w:t>
            </w:r>
          </w:p>
        </w:tc>
        <w:tc>
          <w:tcPr>
            <w:tcW w:w="1382" w:type="dxa"/>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1175124.04</w:t>
            </w:r>
          </w:p>
        </w:tc>
        <w:tc>
          <w:tcPr>
            <w:tcW w:w="138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1772</w:t>
            </w:r>
          </w:p>
        </w:tc>
        <w:tc>
          <w:tcPr>
            <w:tcW w:w="1382" w:type="dxa"/>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116"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1215419.00</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1836</w:t>
            </w:r>
          </w:p>
        </w:tc>
        <w:tc>
          <w:tcPr>
            <w:tcW w:w="1382" w:type="dxa"/>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pacing w:val="-20"/>
                <w:sz w:val="24"/>
                <w:szCs w:val="24"/>
              </w:rPr>
              <w:t>2021.9.7</w:t>
            </w: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628625</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1382"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672606</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1.8</w:t>
            </w:r>
          </w:p>
        </w:tc>
        <w:tc>
          <w:tcPr>
            <w:tcW w:w="1382"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632380</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1382"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653104</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1.9</w:t>
            </w:r>
          </w:p>
        </w:tc>
        <w:tc>
          <w:tcPr>
            <w:tcW w:w="1382"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647891</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w:t>
            </w:r>
          </w:p>
        </w:tc>
        <w:tc>
          <w:tcPr>
            <w:tcW w:w="1382"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671146</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w:t>
            </w:r>
          </w:p>
        </w:tc>
        <w:tc>
          <w:tcPr>
            <w:tcW w:w="1382"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pacing w:val="-20"/>
                <w:sz w:val="24"/>
                <w:szCs w:val="24"/>
              </w:rPr>
              <w:t>2021.9.8</w:t>
            </w: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610943</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1.8</w:t>
            </w:r>
          </w:p>
        </w:tc>
        <w:tc>
          <w:tcPr>
            <w:tcW w:w="1382"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570401</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1382"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604895</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382"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527054</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1382"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583516</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1382"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499115</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382" w:type="dxa"/>
            <w:vMerge w:val="continue"/>
            <w:vAlign w:val="center"/>
          </w:tcPr>
          <w:p>
            <w:pPr>
              <w:spacing w:line="276" w:lineRule="auto"/>
              <w:jc w:val="center"/>
              <w:rPr>
                <w:rFonts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116"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608473</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138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99.9</w:t>
            </w:r>
          </w:p>
        </w:tc>
      </w:tr>
    </w:tbl>
    <w:p>
      <w:pPr>
        <w:ind w:firstLine="560" w:firstLineChars="200"/>
        <w:rPr>
          <w:rFonts w:ascii="Times New Roman" w:hAnsi="Times New Roman" w:cs="Times New Roman"/>
        </w:rPr>
      </w:pPr>
    </w:p>
    <w:p>
      <w:pPr>
        <w:pStyle w:val="2"/>
        <w:ind w:firstLine="560"/>
      </w:pPr>
    </w:p>
    <w:p>
      <w:pPr>
        <w:ind w:firstLine="560" w:firstLineChars="20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、电炉</w:t>
      </w:r>
      <w:r>
        <w:rPr>
          <w:rFonts w:hint="eastAsia" w:ascii="Times New Roman" w:hAnsi="Times New Roman" w:cs="Times New Roman"/>
        </w:rPr>
        <w:t>废气监测结果（氟化物）</w:t>
      </w:r>
    </w:p>
    <w:tbl>
      <w:tblPr>
        <w:tblStyle w:val="22"/>
        <w:tblW w:w="7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1369"/>
        <w:gridCol w:w="1370"/>
        <w:gridCol w:w="1416"/>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监测日期</w:t>
            </w: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监测点位</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监测次数</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标干流量（m³/h）</w:t>
            </w:r>
          </w:p>
        </w:tc>
        <w:tc>
          <w:tcPr>
            <w:tcW w:w="19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氟化物排放浓度</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2021.9.7</w:t>
            </w:r>
          </w:p>
        </w:tc>
        <w:tc>
          <w:tcPr>
            <w:tcW w:w="136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电炉除尘器进口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1260397.04</w:t>
            </w:r>
          </w:p>
        </w:tc>
        <w:tc>
          <w:tcPr>
            <w:tcW w:w="19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1215938.99</w:t>
            </w:r>
          </w:p>
        </w:tc>
        <w:tc>
          <w:tcPr>
            <w:tcW w:w="19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1284467.21</w:t>
            </w:r>
          </w:p>
        </w:tc>
        <w:tc>
          <w:tcPr>
            <w:tcW w:w="19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2021.9.8</w:t>
            </w: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1184657.59</w:t>
            </w:r>
          </w:p>
        </w:tc>
        <w:tc>
          <w:tcPr>
            <w:tcW w:w="19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1171929.63</w:t>
            </w:r>
          </w:p>
        </w:tc>
        <w:tc>
          <w:tcPr>
            <w:tcW w:w="19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Merge w:val="continue"/>
            <w:vAlign w:val="center"/>
          </w:tcPr>
          <w:p>
            <w:pPr>
              <w:spacing w:line="276" w:lineRule="auto"/>
              <w:jc w:val="center"/>
              <w:rPr>
                <w:rFonts w:ascii="Times New Roman" w:hAnsi="Times New Roman" w:cs="Times New Roman"/>
                <w:sz w:val="24"/>
                <w:szCs w:val="24"/>
              </w:rPr>
            </w:pP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1175124.04</w:t>
            </w:r>
          </w:p>
        </w:tc>
        <w:tc>
          <w:tcPr>
            <w:tcW w:w="19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116"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1215419.00</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pacing w:val="-20"/>
                <w:sz w:val="24"/>
                <w:szCs w:val="24"/>
              </w:rPr>
              <w:t>2021.9.7</w:t>
            </w: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628625</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672606</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632380</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653104</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647891</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671146</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pacing w:val="-20"/>
                <w:sz w:val="24"/>
                <w:szCs w:val="24"/>
              </w:rPr>
              <w:t>2021.9.8</w:t>
            </w: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610943</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570401</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604895</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527054</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583516</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77" w:type="dxa"/>
            <w:vMerge w:val="continue"/>
            <w:vAlign w:val="center"/>
          </w:tcPr>
          <w:p>
            <w:pPr>
              <w:spacing w:line="276" w:lineRule="auto"/>
              <w:jc w:val="center"/>
              <w:rPr>
                <w:rFonts w:ascii="Times New Roman" w:hAnsi="Times New Roman" w:cs="Times New Roman"/>
                <w:sz w:val="24"/>
                <w:szCs w:val="24"/>
              </w:rPr>
            </w:pPr>
          </w:p>
        </w:tc>
        <w:tc>
          <w:tcPr>
            <w:tcW w:w="136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2#出口</w:t>
            </w:r>
          </w:p>
        </w:tc>
        <w:tc>
          <w:tcPr>
            <w:tcW w:w="137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499115</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116"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608473</w:t>
            </w:r>
          </w:p>
        </w:tc>
        <w:tc>
          <w:tcPr>
            <w:tcW w:w="197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1.34</w:t>
            </w:r>
          </w:p>
        </w:tc>
      </w:tr>
    </w:tbl>
    <w:p>
      <w:pPr>
        <w:ind w:firstLine="560" w:firstLineChars="200"/>
        <w:rPr>
          <w:rFonts w:ascii="Times New Roman" w:hAnsi="Times New Roman" w:cs="Times New Roman"/>
        </w:rPr>
      </w:pPr>
    </w:p>
    <w:p>
      <w:pPr>
        <w:pStyle w:val="2"/>
        <w:ind w:firstLine="560"/>
        <w:rPr>
          <w:rFonts w:ascii="Times New Roman" w:hAnsi="Times New Roman" w:cs="Times New Roman"/>
        </w:rPr>
      </w:pPr>
      <w:r>
        <w:rPr>
          <w:rFonts w:ascii="Times New Roman" w:hAnsi="Times New Roman" w:cs="Times New Roman"/>
        </w:rPr>
        <w:t>4、</w:t>
      </w:r>
      <w:r>
        <w:rPr>
          <w:rFonts w:hint="eastAsia" w:ascii="Times New Roman" w:hAnsi="Times New Roman" w:cs="Times New Roman"/>
        </w:rPr>
        <w:t>二噁英类监测结果</w:t>
      </w:r>
    </w:p>
    <w:tbl>
      <w:tblPr>
        <w:tblStyle w:val="21"/>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289"/>
        <w:gridCol w:w="1837"/>
        <w:gridCol w:w="992"/>
        <w:gridCol w:w="2125"/>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监测点位</w:t>
            </w:r>
          </w:p>
        </w:tc>
        <w:tc>
          <w:tcPr>
            <w:tcW w:w="7023" w:type="dxa"/>
            <w:gridSpan w:val="5"/>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90t电炉废气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restart"/>
            <w:vAlign w:val="center"/>
          </w:tcPr>
          <w:p>
            <w:pPr>
              <w:snapToGrid w:val="0"/>
              <w:spacing w:line="276" w:lineRule="auto"/>
              <w:jc w:val="center"/>
              <w:rPr>
                <w:rFonts w:ascii="Times New Roman" w:hAnsi="Times New Roman" w:cs="Times New Roman"/>
                <w:color w:val="000000"/>
                <w:spacing w:val="-20"/>
                <w:sz w:val="24"/>
                <w:szCs w:val="24"/>
              </w:rPr>
            </w:pPr>
            <w:r>
              <w:rPr>
                <w:rFonts w:ascii="Times New Roman" w:hAnsi="Times New Roman" w:cs="Times New Roman"/>
                <w:color w:val="000000"/>
                <w:spacing w:val="-20"/>
                <w:sz w:val="24"/>
                <w:szCs w:val="24"/>
              </w:rPr>
              <w:t>监测日期</w:t>
            </w:r>
          </w:p>
        </w:tc>
        <w:tc>
          <w:tcPr>
            <w:tcW w:w="2126" w:type="dxa"/>
            <w:gridSpan w:val="2"/>
            <w:vMerge w:val="restart"/>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监测点位</w:t>
            </w:r>
          </w:p>
        </w:tc>
        <w:tc>
          <w:tcPr>
            <w:tcW w:w="992" w:type="dxa"/>
            <w:vMerge w:val="restart"/>
            <w:vAlign w:val="center"/>
          </w:tcPr>
          <w:p>
            <w:pPr>
              <w:snapToGrid w:val="0"/>
              <w:spacing w:line="276" w:lineRule="auto"/>
              <w:jc w:val="center"/>
              <w:rPr>
                <w:rFonts w:ascii="Times New Roman" w:hAnsi="Times New Roman" w:cs="Times New Roman"/>
                <w:color w:val="000000"/>
                <w:spacing w:val="-20"/>
                <w:sz w:val="24"/>
                <w:szCs w:val="24"/>
              </w:rPr>
            </w:pPr>
            <w:r>
              <w:rPr>
                <w:rFonts w:ascii="Times New Roman" w:hAnsi="Times New Roman" w:cs="Times New Roman"/>
                <w:color w:val="000000"/>
                <w:spacing w:val="-20"/>
                <w:sz w:val="24"/>
                <w:szCs w:val="24"/>
              </w:rPr>
              <w:t>监测</w:t>
            </w:r>
          </w:p>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pacing w:val="-20"/>
                <w:sz w:val="24"/>
                <w:szCs w:val="24"/>
              </w:rPr>
              <w:t>次数</w:t>
            </w:r>
          </w:p>
        </w:tc>
        <w:tc>
          <w:tcPr>
            <w:tcW w:w="3905" w:type="dxa"/>
            <w:gridSpan w:val="2"/>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二噁英类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napToGrid w:val="0"/>
              <w:spacing w:line="276" w:lineRule="auto"/>
              <w:rPr>
                <w:rFonts w:ascii="Times New Roman" w:hAnsi="Times New Roman" w:cs="Times New Roman"/>
                <w:color w:val="000000"/>
                <w:spacing w:val="-20"/>
                <w:sz w:val="24"/>
                <w:szCs w:val="24"/>
              </w:rPr>
            </w:pPr>
          </w:p>
        </w:tc>
        <w:tc>
          <w:tcPr>
            <w:tcW w:w="2126" w:type="dxa"/>
            <w:gridSpan w:val="2"/>
            <w:vMerge w:val="continue"/>
            <w:vAlign w:val="center"/>
          </w:tcPr>
          <w:p>
            <w:pPr>
              <w:snapToGrid w:val="0"/>
              <w:spacing w:line="276" w:lineRule="auto"/>
              <w:rPr>
                <w:rFonts w:ascii="Times New Roman" w:hAnsi="Times New Roman" w:cs="Times New Roman"/>
                <w:color w:val="000000"/>
                <w:sz w:val="24"/>
                <w:szCs w:val="24"/>
              </w:rPr>
            </w:pPr>
          </w:p>
        </w:tc>
        <w:tc>
          <w:tcPr>
            <w:tcW w:w="992" w:type="dxa"/>
            <w:vMerge w:val="continue"/>
            <w:vAlign w:val="center"/>
          </w:tcPr>
          <w:p>
            <w:pPr>
              <w:snapToGrid w:val="0"/>
              <w:spacing w:line="276" w:lineRule="auto"/>
              <w:rPr>
                <w:rFonts w:ascii="Times New Roman" w:hAnsi="Times New Roman" w:cs="Times New Roman"/>
                <w:color w:val="000000"/>
                <w:sz w:val="24"/>
                <w:szCs w:val="24"/>
              </w:rPr>
            </w:pPr>
          </w:p>
        </w:tc>
        <w:tc>
          <w:tcPr>
            <w:tcW w:w="2125" w:type="dxa"/>
            <w:vAlign w:val="center"/>
          </w:tcPr>
          <w:p>
            <w:pPr>
              <w:snapToGrid w:val="0"/>
              <w:spacing w:line="276" w:lineRule="auto"/>
              <w:jc w:val="center"/>
              <w:rPr>
                <w:rFonts w:ascii="Times New Roman" w:hAnsi="Times New Roman" w:cs="Times New Roman"/>
                <w:color w:val="000000"/>
                <w:spacing w:val="-20"/>
                <w:sz w:val="24"/>
                <w:szCs w:val="24"/>
              </w:rPr>
            </w:pPr>
            <w:r>
              <w:rPr>
                <w:rFonts w:ascii="Times New Roman" w:hAnsi="Times New Roman" w:cs="Times New Roman"/>
                <w:color w:val="000000"/>
                <w:spacing w:val="-20"/>
                <w:sz w:val="24"/>
                <w:szCs w:val="24"/>
              </w:rPr>
              <w:t>排放浓度</w:t>
            </w:r>
          </w:p>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ng-TEQ/m</w:t>
            </w:r>
            <w:r>
              <w:rPr>
                <w:rFonts w:ascii="Times New Roman" w:hAnsi="Times New Roman" w:cs="Times New Roman"/>
                <w:sz w:val="24"/>
                <w:szCs w:val="24"/>
                <w:vertAlign w:val="superscript"/>
              </w:rPr>
              <w:t>3</w:t>
            </w:r>
          </w:p>
        </w:tc>
        <w:tc>
          <w:tcPr>
            <w:tcW w:w="1780"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排放速率</w:t>
            </w:r>
          </w:p>
          <w:p>
            <w:pPr>
              <w:pStyle w:val="24"/>
              <w:spacing w:line="276" w:lineRule="auto"/>
              <w:jc w:val="center"/>
              <w:rPr>
                <w:rFonts w:eastAsia="宋体"/>
              </w:rPr>
            </w:pPr>
            <w:r>
              <w:rPr>
                <w:rFonts w:eastAsia="宋体"/>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restart"/>
            <w:vAlign w:val="center"/>
          </w:tcPr>
          <w:p>
            <w:pPr>
              <w:snapToGrid w:val="0"/>
              <w:spacing w:line="276" w:lineRule="auto"/>
              <w:jc w:val="center"/>
              <w:rPr>
                <w:rFonts w:ascii="Times New Roman" w:hAnsi="Times New Roman" w:cs="Times New Roman"/>
                <w:color w:val="000000"/>
                <w:spacing w:val="-20"/>
                <w:sz w:val="24"/>
                <w:szCs w:val="24"/>
              </w:rPr>
            </w:pPr>
            <w:r>
              <w:rPr>
                <w:rFonts w:ascii="Times New Roman" w:hAnsi="Times New Roman" w:cs="Times New Roman"/>
                <w:color w:val="000000"/>
                <w:spacing w:val="-20"/>
                <w:sz w:val="24"/>
                <w:szCs w:val="24"/>
              </w:rPr>
              <w:t>2021.9.11</w:t>
            </w:r>
          </w:p>
        </w:tc>
        <w:tc>
          <w:tcPr>
            <w:tcW w:w="2126" w:type="dxa"/>
            <w:gridSpan w:val="2"/>
            <w:vMerge w:val="restart"/>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90t电炉废气进口</w:t>
            </w: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12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5.67E-02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3.73E-08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napToGrid w:val="0"/>
              <w:spacing w:line="276" w:lineRule="auto"/>
              <w:rPr>
                <w:rFonts w:ascii="Times New Roman" w:hAnsi="Times New Roman" w:cs="Times New Roman"/>
                <w:color w:val="000000"/>
                <w:spacing w:val="-20"/>
                <w:sz w:val="24"/>
                <w:szCs w:val="24"/>
              </w:rPr>
            </w:pPr>
          </w:p>
        </w:tc>
        <w:tc>
          <w:tcPr>
            <w:tcW w:w="2126" w:type="dxa"/>
            <w:gridSpan w:val="2"/>
            <w:vMerge w:val="continue"/>
            <w:vAlign w:val="center"/>
          </w:tcPr>
          <w:p>
            <w:pPr>
              <w:snapToGrid w:val="0"/>
              <w:spacing w:line="276" w:lineRule="auto"/>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12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5.94E-02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3.54E-08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napToGrid w:val="0"/>
              <w:spacing w:line="276" w:lineRule="auto"/>
              <w:rPr>
                <w:rFonts w:ascii="Times New Roman" w:hAnsi="Times New Roman" w:cs="Times New Roman"/>
                <w:color w:val="000000"/>
                <w:spacing w:val="-20"/>
                <w:sz w:val="24"/>
                <w:szCs w:val="24"/>
              </w:rPr>
            </w:pPr>
          </w:p>
        </w:tc>
        <w:tc>
          <w:tcPr>
            <w:tcW w:w="2126" w:type="dxa"/>
            <w:gridSpan w:val="2"/>
            <w:vMerge w:val="continue"/>
            <w:vAlign w:val="center"/>
          </w:tcPr>
          <w:p>
            <w:pPr>
              <w:snapToGrid w:val="0"/>
              <w:spacing w:line="276" w:lineRule="auto"/>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12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5.92E-02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3.87E-08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restart"/>
            <w:vAlign w:val="center"/>
          </w:tcPr>
          <w:p>
            <w:pPr>
              <w:snapToGrid w:val="0"/>
              <w:spacing w:line="276" w:lineRule="auto"/>
              <w:jc w:val="center"/>
              <w:rPr>
                <w:rFonts w:ascii="Times New Roman" w:hAnsi="Times New Roman" w:cs="Times New Roman"/>
                <w:color w:val="000000"/>
                <w:spacing w:val="-20"/>
                <w:sz w:val="24"/>
                <w:szCs w:val="24"/>
              </w:rPr>
            </w:pPr>
            <w:r>
              <w:rPr>
                <w:rFonts w:ascii="Times New Roman" w:hAnsi="Times New Roman" w:cs="Times New Roman"/>
                <w:color w:val="000000"/>
                <w:spacing w:val="-20"/>
                <w:sz w:val="24"/>
                <w:szCs w:val="24"/>
              </w:rPr>
              <w:t>2021.9.12</w:t>
            </w:r>
          </w:p>
        </w:tc>
        <w:tc>
          <w:tcPr>
            <w:tcW w:w="2126" w:type="dxa"/>
            <w:gridSpan w:val="2"/>
            <w:vMerge w:val="continue"/>
            <w:vAlign w:val="center"/>
          </w:tcPr>
          <w:p>
            <w:pPr>
              <w:snapToGrid w:val="0"/>
              <w:spacing w:line="276" w:lineRule="auto"/>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12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5.90E-02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4.12E-08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napToGrid w:val="0"/>
              <w:spacing w:line="276" w:lineRule="auto"/>
              <w:rPr>
                <w:rFonts w:ascii="Times New Roman" w:hAnsi="Times New Roman" w:cs="Times New Roman"/>
                <w:color w:val="000000"/>
                <w:sz w:val="24"/>
                <w:szCs w:val="24"/>
              </w:rPr>
            </w:pPr>
          </w:p>
        </w:tc>
        <w:tc>
          <w:tcPr>
            <w:tcW w:w="2126" w:type="dxa"/>
            <w:gridSpan w:val="2"/>
            <w:vMerge w:val="continue"/>
            <w:vAlign w:val="center"/>
          </w:tcPr>
          <w:p>
            <w:pPr>
              <w:snapToGrid w:val="0"/>
              <w:spacing w:line="276" w:lineRule="auto"/>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12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6.08E-02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4.04E-08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napToGrid w:val="0"/>
              <w:spacing w:line="276" w:lineRule="auto"/>
              <w:rPr>
                <w:rFonts w:ascii="Times New Roman" w:hAnsi="Times New Roman" w:cs="Times New Roman"/>
                <w:color w:val="000000"/>
                <w:sz w:val="24"/>
                <w:szCs w:val="24"/>
              </w:rPr>
            </w:pPr>
          </w:p>
        </w:tc>
        <w:tc>
          <w:tcPr>
            <w:tcW w:w="2126" w:type="dxa"/>
            <w:gridSpan w:val="2"/>
            <w:vMerge w:val="continue"/>
            <w:vAlign w:val="center"/>
          </w:tcPr>
          <w:p>
            <w:pPr>
              <w:snapToGrid w:val="0"/>
              <w:spacing w:line="276" w:lineRule="auto"/>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12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6.18E-02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4.07E-08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391" w:type="dxa"/>
            <w:gridSpan w:val="4"/>
            <w:shd w:val="clear" w:color="000000" w:fill="D9D9D9"/>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平均值</w:t>
            </w:r>
          </w:p>
        </w:tc>
        <w:tc>
          <w:tcPr>
            <w:tcW w:w="2125" w:type="dxa"/>
            <w:shd w:val="clear" w:color="auto" w:fill="D9D9D9"/>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5.95E-02</w:t>
            </w:r>
          </w:p>
        </w:tc>
        <w:tc>
          <w:tcPr>
            <w:tcW w:w="1780" w:type="dxa"/>
            <w:shd w:val="clear" w:color="auto" w:fill="D9D9D9"/>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3.89E-08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restart"/>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2021.9.13</w:t>
            </w:r>
          </w:p>
        </w:tc>
        <w:tc>
          <w:tcPr>
            <w:tcW w:w="2126" w:type="dxa"/>
            <w:gridSpan w:val="2"/>
            <w:vMerge w:val="restart"/>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合金熔化装置进口</w:t>
            </w: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3.46E-02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3.53E-09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napToGrid w:val="0"/>
              <w:spacing w:line="276" w:lineRule="auto"/>
              <w:jc w:val="center"/>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2.57E-02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2.85E-09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napToGrid w:val="0"/>
              <w:spacing w:line="276" w:lineRule="auto"/>
              <w:jc w:val="center"/>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3.15E-02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2.27E-09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restart"/>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2021.9.14</w:t>
            </w:r>
          </w:p>
        </w:tc>
        <w:tc>
          <w:tcPr>
            <w:tcW w:w="2126" w:type="dxa"/>
            <w:gridSpan w:val="2"/>
            <w:vMerge w:val="continue"/>
            <w:vAlign w:val="center"/>
          </w:tcPr>
          <w:p>
            <w:pPr>
              <w:snapToGrid w:val="0"/>
              <w:spacing w:line="276" w:lineRule="auto"/>
              <w:jc w:val="center"/>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1.47E-02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2.16E-09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napToGrid w:val="0"/>
              <w:spacing w:line="276" w:lineRule="auto"/>
              <w:jc w:val="center"/>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1.50E-02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2.18E-09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napToGrid w:val="0"/>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napToGrid w:val="0"/>
              <w:spacing w:line="276" w:lineRule="auto"/>
              <w:jc w:val="center"/>
              <w:rPr>
                <w:rFonts w:ascii="Times New Roman" w:hAnsi="Times New Roman" w:cs="Times New Roman"/>
                <w:color w:val="000000"/>
                <w:sz w:val="24"/>
                <w:szCs w:val="24"/>
              </w:rPr>
            </w:pPr>
          </w:p>
        </w:tc>
        <w:tc>
          <w:tcPr>
            <w:tcW w:w="992"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3.14E-02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3.71E-09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391" w:type="dxa"/>
            <w:gridSpan w:val="4"/>
            <w:shd w:val="clear" w:color="auto" w:fill="D9D9D9"/>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平均值</w:t>
            </w:r>
          </w:p>
        </w:tc>
        <w:tc>
          <w:tcPr>
            <w:tcW w:w="2125" w:type="dxa"/>
            <w:shd w:val="clear" w:color="auto" w:fill="D9D9D9"/>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2.55E-02</w:t>
            </w:r>
          </w:p>
        </w:tc>
        <w:tc>
          <w:tcPr>
            <w:tcW w:w="1780" w:type="dxa"/>
            <w:shd w:val="clear" w:color="auto" w:fill="D9D9D9"/>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2.95E-09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2021.9.13</w:t>
            </w:r>
          </w:p>
        </w:tc>
        <w:tc>
          <w:tcPr>
            <w:tcW w:w="2126" w:type="dxa"/>
            <w:gridSpan w:val="2"/>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1#出口</w:t>
            </w: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1.16E-02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1.00E-08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1.90E-02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1.63E-08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1.14E-02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9.80E-09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2021.9.14</w:t>
            </w: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1.57E-02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1.35E-08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1.93E-02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1.64E-08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1.58E-02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1.38E-08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2021.9.11</w:t>
            </w:r>
          </w:p>
        </w:tc>
        <w:tc>
          <w:tcPr>
            <w:tcW w:w="2126" w:type="dxa"/>
            <w:gridSpan w:val="2"/>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2#出口</w:t>
            </w: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1.30E-02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1.04E-08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1.48E-02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1.15E-08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2.05E-02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1.59E-08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restart"/>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2021.9.12</w:t>
            </w: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9.39E-03</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7.00E-09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1.26E-02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9.06E-09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3" w:type="dxa"/>
            <w:vMerge w:val="continue"/>
            <w:vAlign w:val="center"/>
          </w:tcPr>
          <w:p>
            <w:pPr>
              <w:spacing w:line="276" w:lineRule="auto"/>
              <w:jc w:val="center"/>
              <w:rPr>
                <w:rFonts w:ascii="Times New Roman" w:hAnsi="Times New Roman" w:cs="Times New Roman"/>
                <w:color w:val="000000"/>
                <w:sz w:val="24"/>
                <w:szCs w:val="24"/>
              </w:rPr>
            </w:pPr>
          </w:p>
        </w:tc>
        <w:tc>
          <w:tcPr>
            <w:tcW w:w="2126" w:type="dxa"/>
            <w:gridSpan w:val="2"/>
            <w:vMerge w:val="continue"/>
            <w:vAlign w:val="center"/>
          </w:tcPr>
          <w:p>
            <w:pPr>
              <w:spacing w:line="276" w:lineRule="auto"/>
              <w:jc w:val="center"/>
              <w:rPr>
                <w:rFonts w:ascii="Times New Roman" w:hAnsi="Times New Roman" w:cs="Times New Roman"/>
                <w:color w:val="000000"/>
                <w:sz w:val="24"/>
                <w:szCs w:val="24"/>
              </w:rPr>
            </w:pPr>
          </w:p>
        </w:tc>
        <w:tc>
          <w:tcPr>
            <w:tcW w:w="992"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12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1.76E-02</w:t>
            </w:r>
          </w:p>
        </w:tc>
        <w:tc>
          <w:tcPr>
            <w:tcW w:w="1780" w:type="dxa"/>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1.32E-08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391" w:type="dxa"/>
            <w:gridSpan w:val="4"/>
            <w:shd w:val="clear" w:color="000000" w:fill="D9D9D9"/>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平均值</w:t>
            </w:r>
          </w:p>
        </w:tc>
        <w:tc>
          <w:tcPr>
            <w:tcW w:w="2125" w:type="dxa"/>
            <w:shd w:val="clear" w:color="000000" w:fill="D9D9D9"/>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1.51E-02</w:t>
            </w:r>
          </w:p>
        </w:tc>
        <w:tc>
          <w:tcPr>
            <w:tcW w:w="1780" w:type="dxa"/>
            <w:shd w:val="clear" w:color="000000" w:fill="D9D9D9"/>
            <w:vAlign w:val="center"/>
          </w:tcPr>
          <w:p>
            <w:pPr>
              <w:spacing w:line="276" w:lineRule="auto"/>
              <w:jc w:val="center"/>
              <w:rPr>
                <w:rFonts w:ascii="Times New Roman" w:hAnsi="Times New Roman" w:cs="Times New Roman"/>
                <w:color w:val="000000"/>
                <w:sz w:val="24"/>
                <w:szCs w:val="24"/>
              </w:rPr>
            </w:pPr>
            <w:r>
              <w:rPr>
                <w:rFonts w:hint="eastAsia" w:ascii="Times New Roman" w:hAnsi="Times New Roman" w:cs="Times New Roman"/>
                <w:color w:val="000000"/>
                <w:sz w:val="24"/>
                <w:szCs w:val="24"/>
              </w:rPr>
              <w:t>1.23E-08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2" w:type="dxa"/>
            <w:gridSpan w:val="2"/>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限值</w:t>
            </w:r>
          </w:p>
        </w:tc>
        <w:tc>
          <w:tcPr>
            <w:tcW w:w="6734" w:type="dxa"/>
            <w:gridSpan w:val="4"/>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《钢铁工业大气污染物排放标准》DB14 2249-2020  </w:t>
            </w:r>
          </w:p>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出口二噁英类＜0.5ng-TEQ/m</w:t>
            </w:r>
            <w:r>
              <w:rPr>
                <w:rFonts w:ascii="Times New Roman" w:hAnsi="Times New Roman" w:cs="Times New Roman"/>
                <w:sz w:val="24"/>
                <w:szCs w:val="24"/>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2" w:type="dxa"/>
            <w:gridSpan w:val="2"/>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备注</w:t>
            </w:r>
          </w:p>
        </w:tc>
        <w:tc>
          <w:tcPr>
            <w:tcW w:w="6734" w:type="dxa"/>
            <w:gridSpan w:val="4"/>
            <w:vAlign w:val="center"/>
          </w:tcPr>
          <w:p>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监测结果低于检出限按＜检出限报出。</w:t>
            </w:r>
          </w:p>
          <w:p>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“E+N”代表×10</w:t>
            </w:r>
            <w:r>
              <w:rPr>
                <w:rFonts w:ascii="Times New Roman" w:hAnsi="Times New Roman" w:cs="Times New Roman"/>
                <w:color w:val="000000"/>
                <w:sz w:val="24"/>
                <w:szCs w:val="24"/>
                <w:vertAlign w:val="superscript"/>
              </w:rPr>
              <w:t>N</w:t>
            </w:r>
            <w:r>
              <w:rPr>
                <w:rFonts w:ascii="Times New Roman" w:hAnsi="Times New Roman" w:cs="Times New Roman"/>
                <w:color w:val="000000"/>
                <w:sz w:val="24"/>
                <w:szCs w:val="24"/>
              </w:rPr>
              <w:t>；“E-N”代表×10</w:t>
            </w:r>
            <w:r>
              <w:rPr>
                <w:rFonts w:ascii="Times New Roman" w:hAnsi="Times New Roman" w:cs="Times New Roman"/>
                <w:color w:val="000000"/>
                <w:sz w:val="24"/>
                <w:szCs w:val="24"/>
                <w:vertAlign w:val="superscript"/>
              </w:rPr>
              <w:t>-N</w:t>
            </w:r>
            <w:r>
              <w:rPr>
                <w:rFonts w:ascii="Times New Roman" w:hAnsi="Times New Roman" w:cs="Times New Roman"/>
                <w:color w:val="000000"/>
                <w:sz w:val="24"/>
                <w:szCs w:val="24"/>
              </w:rPr>
              <w:t>，如报告中没有出现，请忽略。</w:t>
            </w:r>
          </w:p>
          <w:p>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此项目为分包项目，监测结果数据来源于上海金艺检测技术有限公司。资质认定证书编号：160916300799   报告编号：宝钢环监WG21796-A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2" w:type="dxa"/>
            <w:gridSpan w:val="2"/>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结论</w:t>
            </w:r>
          </w:p>
        </w:tc>
        <w:tc>
          <w:tcPr>
            <w:tcW w:w="6734" w:type="dxa"/>
            <w:gridSpan w:val="4"/>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二噁英排放浓度范围： 9.39E-03~2.05E-02ng-TEQ/m</w:t>
            </w:r>
            <w:r>
              <w:rPr>
                <w:rFonts w:ascii="Times New Roman" w:hAnsi="Times New Roman" w:cs="Times New Roman"/>
                <w:sz w:val="24"/>
                <w:szCs w:val="24"/>
                <w:vertAlign w:val="superscript"/>
              </w:rPr>
              <w:t>3</w:t>
            </w:r>
            <w:r>
              <w:rPr>
                <w:rFonts w:ascii="Times New Roman" w:hAnsi="Times New Roman" w:cs="Times New Roman"/>
                <w:color w:val="000000"/>
                <w:sz w:val="24"/>
                <w:szCs w:val="24"/>
              </w:rPr>
              <w:t>，满足评价标准要求。</w:t>
            </w:r>
          </w:p>
        </w:tc>
      </w:tr>
    </w:tbl>
    <w:p>
      <w:pPr>
        <w:ind w:firstLine="560" w:firstLineChars="200"/>
        <w:rPr>
          <w:rFonts w:ascii="Times New Roman" w:hAnsi="Times New Roman" w:cs="Times New Roman"/>
        </w:rPr>
      </w:pPr>
      <w:r>
        <w:rPr>
          <w:rFonts w:ascii="Times New Roman" w:hAnsi="Times New Roman" w:cs="Times New Roman"/>
        </w:rPr>
        <w:t>（1）1#排气筒出口：颗粒物排放最大浓度为1.8mg/m³，氟化物排放最大浓度为1.45mg/m³，二噁英类排放最大浓度为1.93E-2 TEQng/Nm³，颗粒物、氟化物、二噁英类均满足《山西省钢铁工业大气污染物排放标准》（DB14/2249-2020）中排放限值：10mg/m³、5mg/m³、0.5TEQng/Nm³。</w:t>
      </w:r>
    </w:p>
    <w:p>
      <w:pPr>
        <w:ind w:firstLine="560" w:firstLineChars="200"/>
        <w:rPr>
          <w:rFonts w:ascii="Times New Roman" w:hAnsi="Times New Roman" w:cs="Times New Roman"/>
        </w:rPr>
      </w:pPr>
      <w:r>
        <w:rPr>
          <w:rFonts w:ascii="Times New Roman" w:hAnsi="Times New Roman" w:cs="Times New Roman"/>
        </w:rPr>
        <w:t>（2）2#排气筒出口：颗粒物排放最大浓度为1.9mg/m³，氟化物排放最大浓度为1.44mg/m³，二噁英类排放最大浓度为2.05E-2 TEQng/Nm³，颗粒物、氟化物、二噁英类均满足《山西省钢铁工业大气污染物排放标准》（DB14/2249-2020）中排放限值：10mg/m³、5mg/m³、0.5TEQng/Nm³。</w:t>
      </w:r>
    </w:p>
    <w:p>
      <w:pPr>
        <w:pStyle w:val="6"/>
        <w:rPr>
          <w:rFonts w:ascii="Times New Roman" w:hAnsi="Times New Roman" w:cs="Times New Roman"/>
        </w:rPr>
      </w:pPr>
      <w:r>
        <w:rPr>
          <w:rFonts w:ascii="Times New Roman" w:hAnsi="Times New Roman" w:cs="Times New Roman"/>
        </w:rPr>
        <w:t>9.2.2 厂界噪声</w:t>
      </w:r>
    </w:p>
    <w:p>
      <w:pPr>
        <w:ind w:firstLine="560" w:firstLineChars="200"/>
        <w:rPr>
          <w:rFonts w:ascii="Times New Roman" w:hAnsi="Times New Roman" w:cs="Times New Roman"/>
        </w:rPr>
      </w:pPr>
      <w:r>
        <w:rPr>
          <w:rFonts w:ascii="Times New Roman" w:hAnsi="Times New Roman" w:cs="Times New Roman"/>
        </w:rPr>
        <w:t>本次验收对厂界噪声进行监测，共选取了10个监测点，监测结果见下表。</w:t>
      </w:r>
    </w:p>
    <w:tbl>
      <w:tblPr>
        <w:tblStyle w:val="21"/>
        <w:tblW w:w="10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523"/>
        <w:gridCol w:w="838"/>
        <w:gridCol w:w="840"/>
        <w:gridCol w:w="840"/>
        <w:gridCol w:w="840"/>
        <w:gridCol w:w="844"/>
        <w:gridCol w:w="839"/>
        <w:gridCol w:w="1010"/>
        <w:gridCol w:w="850"/>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655" w:type="dxa"/>
            <w:gridSpan w:val="9"/>
            <w:tcBorders>
              <w:top w:val="nil"/>
              <w:left w:val="nil"/>
              <w:bottom w:val="single" w:color="auto" w:sz="4" w:space="0"/>
              <w:right w:val="nil"/>
            </w:tcBorders>
            <w:vAlign w:val="center"/>
          </w:tcPr>
          <w:p>
            <w:pPr>
              <w:snapToGrid w:val="0"/>
              <w:spacing w:line="276" w:lineRule="auto"/>
              <w:jc w:val="center"/>
              <w:rPr>
                <w:rFonts w:ascii="Times New Roman" w:hAnsi="Times New Roman" w:cs="Times New Roman"/>
                <w:sz w:val="24"/>
                <w:szCs w:val="24"/>
              </w:rPr>
            </w:pPr>
          </w:p>
        </w:tc>
        <w:tc>
          <w:tcPr>
            <w:tcW w:w="2551" w:type="dxa"/>
            <w:gridSpan w:val="3"/>
            <w:tcBorders>
              <w:top w:val="nil"/>
              <w:left w:val="nil"/>
              <w:bottom w:val="single" w:color="auto" w:sz="4" w:space="0"/>
              <w:right w:val="nil"/>
            </w:tcBorders>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单位：dB（A）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日期</w:t>
            </w:r>
          </w:p>
        </w:tc>
        <w:tc>
          <w:tcPr>
            <w:tcW w:w="523"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点位</w:t>
            </w:r>
          </w:p>
        </w:tc>
        <w:tc>
          <w:tcPr>
            <w:tcW w:w="420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昼   间</w:t>
            </w:r>
          </w:p>
        </w:tc>
        <w:tc>
          <w:tcPr>
            <w:tcW w:w="440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8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eq</w:t>
            </w:r>
          </w:p>
        </w:tc>
        <w:tc>
          <w:tcPr>
            <w:tcW w:w="840" w:type="dxa"/>
            <w:tcBorders>
              <w:top w:val="single" w:color="auto" w:sz="6"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90</w:t>
            </w: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50</w:t>
            </w: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10</w:t>
            </w:r>
          </w:p>
        </w:tc>
        <w:tc>
          <w:tcPr>
            <w:tcW w:w="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SD</w:t>
            </w:r>
          </w:p>
        </w:tc>
        <w:tc>
          <w:tcPr>
            <w:tcW w:w="83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eq</w:t>
            </w:r>
          </w:p>
        </w:tc>
        <w:tc>
          <w:tcPr>
            <w:tcW w:w="10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90</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50</w:t>
            </w:r>
          </w:p>
        </w:tc>
        <w:tc>
          <w:tcPr>
            <w:tcW w:w="8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L</w:t>
            </w:r>
            <w:r>
              <w:rPr>
                <w:rFonts w:ascii="Times New Roman" w:hAnsi="Times New Roman" w:cs="Times New Roman"/>
                <w:sz w:val="24"/>
                <w:szCs w:val="24"/>
                <w:vertAlign w:val="subscript"/>
              </w:rPr>
              <w:t>10</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restart"/>
            <w:tcBorders>
              <w:top w:val="single" w:color="auto" w:sz="4" w:space="0"/>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2021.9.7</w:t>
            </w: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61.6</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61.3</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62.8</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0.9</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54.0</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53.9</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54.4</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54.9</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64.2</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62.8</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63.9</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66.6</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1.9</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53.6</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53.6</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54.0</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54.8</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63.7</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63.5</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64.1</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66.0</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0.9</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52.1</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52.2</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52.5</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53.0</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60.5</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63.9</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53.3</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53.2</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53.7</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54.5</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60.4</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60.3</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60.9</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61.7</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0.9</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52.8</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52.8</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53.3</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53.8</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62.9</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62.7</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63.5</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64.6</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54.2</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54.1</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54.6</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55.9</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60.3</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60.5</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60.9</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61.6</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0.4</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52.7</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51.4</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52.1</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55.5</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61.8</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61.8</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62.4</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62.9</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0.4</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53.8</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53.8</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54.3</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54.8</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59.6</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59.4</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60.2</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53.2</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52.8</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53.9</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54.6</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60.9</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60.9</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61.4</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62.3</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52.7</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52.7</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53.2</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53.8</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restart"/>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2021.9.8</w:t>
            </w: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63.4</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63.2</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64.8</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53.8</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53.7</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54.2</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55.1</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64.3</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64.2</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64.8</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65.8</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53.6</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53.7</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54.3</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55.3</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62.2</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61.7</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62.7</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63.5</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51.9</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51.3</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52.3</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54.7</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60.9</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60.8</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61.4</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61.9</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52.6</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52.7</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53.1</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53.8</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61.6</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61.6</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62.2</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62.7</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52.3</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52.3</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52.7</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53.3</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59.2</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59.2</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59.6</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60.4</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51.6</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50.6</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51.7</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53.5</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62.1</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62.6</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63.3</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54.0</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53.9</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54.6</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55.3</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63.9</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64.6</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65.1</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53.5</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53.4</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54.0</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54.6</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60.7</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61.4</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62.9</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0.9</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52.8</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52.6</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53.3</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53.9</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81" w:type="dxa"/>
            <w:vMerge w:val="continue"/>
            <w:tcBorders>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p>
        </w:tc>
        <w:tc>
          <w:tcPr>
            <w:tcW w:w="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3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59.9</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59.8</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60.3</w:t>
            </w:r>
          </w:p>
        </w:tc>
        <w:tc>
          <w:tcPr>
            <w:tcW w:w="84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61.3</w:t>
            </w:r>
          </w:p>
        </w:tc>
        <w:tc>
          <w:tcPr>
            <w:tcW w:w="8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w:t>
            </w:r>
          </w:p>
        </w:tc>
        <w:tc>
          <w:tcPr>
            <w:tcW w:w="8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52.1</w:t>
            </w:r>
          </w:p>
        </w:tc>
        <w:tc>
          <w:tcPr>
            <w:tcW w:w="101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51.4</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52.6</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55.5</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04" w:type="dxa"/>
            <w:gridSpan w:val="2"/>
            <w:tcBorders>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标准限值</w:t>
            </w:r>
          </w:p>
        </w:tc>
        <w:tc>
          <w:tcPr>
            <w:tcW w:w="8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65</w:t>
            </w: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c>
          <w:tcPr>
            <w:tcW w:w="10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04" w:type="dxa"/>
            <w:gridSpan w:val="2"/>
            <w:tcBorders>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评价标准</w:t>
            </w:r>
          </w:p>
        </w:tc>
        <w:tc>
          <w:tcPr>
            <w:tcW w:w="8602" w:type="dxa"/>
            <w:gridSpan w:val="10"/>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0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备注</w:t>
            </w:r>
          </w:p>
        </w:tc>
        <w:tc>
          <w:tcPr>
            <w:tcW w:w="8602" w:type="dxa"/>
            <w:gridSpan w:val="10"/>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昼间、夜间：晴天，风速&lt;5m/s。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0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结论</w:t>
            </w:r>
          </w:p>
        </w:tc>
        <w:tc>
          <w:tcPr>
            <w:tcW w:w="8602" w:type="dxa"/>
            <w:gridSpan w:val="10"/>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厂界噪声范围为昼间：59.2-64.3dB（A），夜间：51.6-54.2dB（A），</w:t>
            </w:r>
          </w:p>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满足评价标准要求。</w:t>
            </w:r>
          </w:p>
        </w:tc>
      </w:tr>
    </w:tbl>
    <w:p>
      <w:pPr>
        <w:ind w:firstLine="560" w:firstLineChars="200"/>
        <w:rPr>
          <w:rFonts w:ascii="Times New Roman" w:hAnsi="Times New Roman" w:cs="Times New Roman"/>
        </w:rPr>
      </w:pPr>
      <w:r>
        <w:rPr>
          <w:rFonts w:ascii="Times New Roman" w:hAnsi="Times New Roman" w:cs="Times New Roman"/>
        </w:rPr>
        <w:t>1号监测点位于厂界北侧，监测期间厂界北侧昼间噪声为：61.6 dB（A）、63.4 dB（A），夜间噪声为：54.0 dB（A）、53.8 dB（A）。2、3、4号监测点位于厂界东侧，监测期间厂界东侧昼间噪声为：60.9-64.3 dB（A），夜间噪声为：51.9-53.6 dB（A）。5号监测点位于厂界南侧，监测期间厂界南侧昼间噪声为：60.4 dB（A）、61.6dB（A），夜间噪声为：52.8 dB（A）、52.3 dB（A）。6、7、8、9、10号监测点位于厂界西侧，监测期间厂界西侧昼间噪声为：59.2-64.0dB（A），夜间噪声为：51.6-54.2 dB（A）。</w:t>
      </w:r>
    </w:p>
    <w:p>
      <w:pPr>
        <w:ind w:firstLine="560" w:firstLineChars="200"/>
        <w:rPr>
          <w:rFonts w:ascii="Times New Roman" w:hAnsi="Times New Roman" w:cs="Times New Roman"/>
        </w:rPr>
      </w:pPr>
      <w:r>
        <w:rPr>
          <w:rFonts w:ascii="Times New Roman" w:hAnsi="Times New Roman" w:cs="Times New Roman"/>
        </w:rPr>
        <w:t>综上所述，本项目选取的10个厂界噪声监测点位监测数据均未超标，满足《工业企业厂界环境噪声排放标准》（GB12348-2008）3类标准。</w:t>
      </w:r>
    </w:p>
    <w:p>
      <w:pPr>
        <w:pStyle w:val="2"/>
        <w:ind w:firstLine="560"/>
      </w:pPr>
    </w:p>
    <w:p/>
    <w:p>
      <w:pPr>
        <w:pStyle w:val="2"/>
        <w:ind w:firstLine="560"/>
      </w:pPr>
    </w:p>
    <w:p/>
    <w:p>
      <w:pPr>
        <w:pStyle w:val="6"/>
        <w:rPr>
          <w:rFonts w:ascii="Times New Roman" w:hAnsi="Times New Roman" w:cs="Times New Roman"/>
        </w:rPr>
      </w:pPr>
      <w:r>
        <w:rPr>
          <w:rFonts w:ascii="Times New Roman" w:hAnsi="Times New Roman" w:cs="Times New Roman"/>
        </w:rPr>
        <w:t>9.2.3 污染物排放总量核算</w:t>
      </w:r>
    </w:p>
    <w:p>
      <w:pPr>
        <w:pStyle w:val="2"/>
        <w:ind w:firstLine="560"/>
        <w:rPr>
          <w:rFonts w:ascii="Times New Roman" w:hAnsi="Times New Roman" w:cs="Times New Roman"/>
        </w:rPr>
      </w:pPr>
      <w:r>
        <w:rPr>
          <w:rFonts w:ascii="Times New Roman" w:hAnsi="Times New Roman" w:cs="Times New Roman"/>
        </w:rPr>
        <w:t>本项目污染物排放总量核算见下表。</w:t>
      </w:r>
    </w:p>
    <w:p>
      <w:pPr>
        <w:jc w:val="center"/>
        <w:rPr>
          <w:rFonts w:ascii="Times New Roman" w:hAnsi="Times New Roman" w:cs="Times New Roman"/>
        </w:rPr>
      </w:pPr>
      <w:r>
        <w:rPr>
          <w:rFonts w:ascii="Times New Roman" w:hAnsi="Times New Roman" w:cs="Times New Roman"/>
        </w:rPr>
        <w:t>表9-2  污染物排放总量核算表</w:t>
      </w:r>
      <w:r>
        <w:rPr>
          <w:rFonts w:hint="eastAsia" w:ascii="Times New Roman" w:hAnsi="Times New Roman" w:cs="Times New Roman"/>
        </w:rPr>
        <w:t>（颗粒物、氟化物）</w:t>
      </w:r>
    </w:p>
    <w:tbl>
      <w:tblPr>
        <w:tblStyle w:val="21"/>
        <w:tblW w:w="10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6"/>
        <w:gridCol w:w="1056"/>
        <w:gridCol w:w="1267"/>
        <w:gridCol w:w="993"/>
        <w:gridCol w:w="1056"/>
        <w:gridCol w:w="1267"/>
        <w:gridCol w:w="993"/>
        <w:gridCol w:w="1056"/>
        <w:gridCol w:w="1056"/>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66" w:type="dxa"/>
            <w:vMerge w:val="restart"/>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污染物类别</w:t>
            </w:r>
          </w:p>
        </w:tc>
        <w:tc>
          <w:tcPr>
            <w:tcW w:w="3316" w:type="dxa"/>
            <w:gridSpan w:val="3"/>
            <w:vAlign w:val="center"/>
          </w:tcPr>
          <w:p>
            <w:pPr>
              <w:widowControl/>
              <w:spacing w:line="276" w:lineRule="auto"/>
              <w:jc w:val="center"/>
              <w:rPr>
                <w:rFonts w:ascii="Times New Roman" w:hAnsi="Times New Roman" w:cs="Times New Roman"/>
                <w:kern w:val="0"/>
                <w:sz w:val="21"/>
                <w:szCs w:val="21"/>
              </w:rPr>
            </w:pPr>
            <w:r>
              <w:rPr>
                <w:rFonts w:ascii="Times New Roman" w:hAnsi="Times New Roman" w:cs="Times New Roman"/>
                <w:color w:val="000000"/>
                <w:kern w:val="0"/>
                <w:sz w:val="21"/>
                <w:szCs w:val="21"/>
              </w:rPr>
              <w:t>1#除尘器出口</w:t>
            </w:r>
          </w:p>
        </w:tc>
        <w:tc>
          <w:tcPr>
            <w:tcW w:w="3316" w:type="dxa"/>
            <w:gridSpan w:val="3"/>
            <w:vAlign w:val="center"/>
          </w:tcPr>
          <w:p>
            <w:pPr>
              <w:widowControl/>
              <w:spacing w:line="276" w:lineRule="auto"/>
              <w:jc w:val="center"/>
              <w:rPr>
                <w:rFonts w:ascii="Times New Roman" w:hAnsi="Times New Roman" w:cs="Times New Roman"/>
                <w:kern w:val="0"/>
                <w:sz w:val="21"/>
                <w:szCs w:val="21"/>
              </w:rPr>
            </w:pPr>
            <w:r>
              <w:rPr>
                <w:rFonts w:ascii="Times New Roman" w:hAnsi="Times New Roman" w:cs="Times New Roman"/>
                <w:color w:val="000000"/>
                <w:kern w:val="0"/>
                <w:sz w:val="21"/>
                <w:szCs w:val="21"/>
              </w:rPr>
              <w:t>2#除尘器出口</w:t>
            </w:r>
          </w:p>
        </w:tc>
        <w:tc>
          <w:tcPr>
            <w:tcW w:w="1056" w:type="dxa"/>
            <w:vMerge w:val="restart"/>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实际</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排放总量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（t/a）</w:t>
            </w:r>
          </w:p>
        </w:tc>
        <w:tc>
          <w:tcPr>
            <w:tcW w:w="1056" w:type="dxa"/>
            <w:vMerge w:val="restart"/>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环评预测</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排放总量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（t/a）</w:t>
            </w:r>
          </w:p>
        </w:tc>
        <w:tc>
          <w:tcPr>
            <w:tcW w:w="854" w:type="dxa"/>
            <w:vMerge w:val="restart"/>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减排量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66" w:type="dxa"/>
            <w:vMerge w:val="continue"/>
            <w:vAlign w:val="center"/>
          </w:tcPr>
          <w:p>
            <w:pPr>
              <w:widowControl/>
              <w:spacing w:line="276" w:lineRule="auto"/>
              <w:jc w:val="center"/>
              <w:rPr>
                <w:rFonts w:ascii="Times New Roman" w:hAnsi="Times New Roman" w:cs="Times New Roman"/>
                <w:kern w:val="0"/>
                <w:sz w:val="21"/>
                <w:szCs w:val="21"/>
              </w:rPr>
            </w:pP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标干流量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（m³/h）</w:t>
            </w:r>
          </w:p>
        </w:tc>
        <w:tc>
          <w:tcPr>
            <w:tcW w:w="1267"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排放浓度</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（mg/m³）</w:t>
            </w:r>
          </w:p>
        </w:tc>
        <w:tc>
          <w:tcPr>
            <w:tcW w:w="993"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排放量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(t/a)</w:t>
            </w: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标干流量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（m³/h）</w:t>
            </w:r>
          </w:p>
        </w:tc>
        <w:tc>
          <w:tcPr>
            <w:tcW w:w="1267"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排放浓度</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（mg/m³）</w:t>
            </w:r>
          </w:p>
        </w:tc>
        <w:tc>
          <w:tcPr>
            <w:tcW w:w="993"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排放量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（t/a）</w:t>
            </w:r>
          </w:p>
        </w:tc>
        <w:tc>
          <w:tcPr>
            <w:tcW w:w="1056" w:type="dxa"/>
            <w:vMerge w:val="continue"/>
            <w:vAlign w:val="center"/>
          </w:tcPr>
          <w:p>
            <w:pPr>
              <w:widowControl/>
              <w:spacing w:line="276" w:lineRule="auto"/>
              <w:jc w:val="center"/>
              <w:rPr>
                <w:rFonts w:ascii="Times New Roman" w:hAnsi="Times New Roman" w:cs="Times New Roman"/>
                <w:color w:val="000000"/>
                <w:kern w:val="0"/>
                <w:sz w:val="21"/>
                <w:szCs w:val="21"/>
              </w:rPr>
            </w:pPr>
          </w:p>
        </w:tc>
        <w:tc>
          <w:tcPr>
            <w:tcW w:w="1056" w:type="dxa"/>
            <w:vMerge w:val="continue"/>
            <w:vAlign w:val="center"/>
          </w:tcPr>
          <w:p>
            <w:pPr>
              <w:widowControl/>
              <w:spacing w:line="276" w:lineRule="auto"/>
              <w:jc w:val="center"/>
              <w:rPr>
                <w:rFonts w:ascii="Times New Roman" w:hAnsi="Times New Roman" w:cs="Times New Roman"/>
                <w:kern w:val="0"/>
                <w:sz w:val="21"/>
                <w:szCs w:val="21"/>
              </w:rPr>
            </w:pPr>
          </w:p>
        </w:tc>
        <w:tc>
          <w:tcPr>
            <w:tcW w:w="854" w:type="dxa"/>
            <w:vMerge w:val="continue"/>
            <w:vAlign w:val="center"/>
          </w:tcPr>
          <w:p>
            <w:pPr>
              <w:widowControl/>
              <w:spacing w:line="276" w:lineRule="auto"/>
              <w:jc w:val="center"/>
              <w:rPr>
                <w:rFonts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26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颗粒物</w:t>
            </w:r>
          </w:p>
        </w:tc>
        <w:tc>
          <w:tcPr>
            <w:tcW w:w="1056" w:type="dxa"/>
            <w:vMerge w:val="restart"/>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618042</w:t>
            </w:r>
          </w:p>
        </w:tc>
        <w:tc>
          <w:tcPr>
            <w:tcW w:w="1267"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1.5</w:t>
            </w:r>
          </w:p>
        </w:tc>
        <w:tc>
          <w:tcPr>
            <w:tcW w:w="993"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7.34</w:t>
            </w:r>
          </w:p>
        </w:tc>
        <w:tc>
          <w:tcPr>
            <w:tcW w:w="1056" w:type="dxa"/>
            <w:vMerge w:val="restart"/>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598904</w:t>
            </w:r>
          </w:p>
        </w:tc>
        <w:tc>
          <w:tcPr>
            <w:tcW w:w="1267"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1.5</w:t>
            </w:r>
          </w:p>
        </w:tc>
        <w:tc>
          <w:tcPr>
            <w:tcW w:w="993"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7.11</w:t>
            </w: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14.46</w:t>
            </w: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118.8</w:t>
            </w:r>
          </w:p>
        </w:tc>
        <w:tc>
          <w:tcPr>
            <w:tcW w:w="854"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104.34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6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氟化物</w:t>
            </w:r>
          </w:p>
        </w:tc>
        <w:tc>
          <w:tcPr>
            <w:tcW w:w="1056" w:type="dxa"/>
            <w:vMerge w:val="continue"/>
            <w:vAlign w:val="center"/>
          </w:tcPr>
          <w:p>
            <w:pPr>
              <w:widowControl/>
              <w:spacing w:line="276" w:lineRule="auto"/>
              <w:jc w:val="center"/>
              <w:rPr>
                <w:rFonts w:ascii="Times New Roman" w:hAnsi="Times New Roman" w:cs="Times New Roman"/>
                <w:color w:val="000000"/>
                <w:kern w:val="0"/>
                <w:sz w:val="21"/>
                <w:szCs w:val="21"/>
              </w:rPr>
            </w:pPr>
          </w:p>
        </w:tc>
        <w:tc>
          <w:tcPr>
            <w:tcW w:w="1267"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1.33</w:t>
            </w:r>
          </w:p>
        </w:tc>
        <w:tc>
          <w:tcPr>
            <w:tcW w:w="993"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6.51</w:t>
            </w:r>
          </w:p>
        </w:tc>
        <w:tc>
          <w:tcPr>
            <w:tcW w:w="1056" w:type="dxa"/>
            <w:vMerge w:val="continue"/>
            <w:vAlign w:val="center"/>
          </w:tcPr>
          <w:p>
            <w:pPr>
              <w:widowControl/>
              <w:spacing w:line="276" w:lineRule="auto"/>
              <w:jc w:val="center"/>
              <w:rPr>
                <w:rFonts w:ascii="Times New Roman" w:hAnsi="Times New Roman" w:cs="Times New Roman"/>
                <w:color w:val="000000"/>
                <w:kern w:val="0"/>
                <w:sz w:val="21"/>
                <w:szCs w:val="21"/>
              </w:rPr>
            </w:pPr>
          </w:p>
        </w:tc>
        <w:tc>
          <w:tcPr>
            <w:tcW w:w="1267"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1.35</w:t>
            </w:r>
          </w:p>
        </w:tc>
        <w:tc>
          <w:tcPr>
            <w:tcW w:w="993"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6.40</w:t>
            </w: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12.91</w:t>
            </w: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15.68</w:t>
            </w:r>
          </w:p>
        </w:tc>
        <w:tc>
          <w:tcPr>
            <w:tcW w:w="854"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2.77</w:t>
            </w:r>
          </w:p>
        </w:tc>
      </w:tr>
    </w:tbl>
    <w:p>
      <w:pPr>
        <w:jc w:val="center"/>
        <w:rPr>
          <w:rFonts w:ascii="Times New Roman" w:hAnsi="Times New Roman" w:cs="Times New Roman"/>
        </w:rPr>
      </w:pPr>
      <w:r>
        <w:rPr>
          <w:rFonts w:ascii="Times New Roman" w:hAnsi="Times New Roman" w:cs="Times New Roman"/>
        </w:rPr>
        <w:t>表9-3  污染物排放总量核算表</w:t>
      </w:r>
      <w:r>
        <w:rPr>
          <w:rFonts w:hint="eastAsia" w:ascii="Times New Roman" w:hAnsi="Times New Roman" w:cs="Times New Roman"/>
        </w:rPr>
        <w:t>（二噁英类）</w:t>
      </w:r>
    </w:p>
    <w:tbl>
      <w:tblPr>
        <w:tblStyle w:val="21"/>
        <w:tblW w:w="10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6"/>
        <w:gridCol w:w="1056"/>
        <w:gridCol w:w="1266"/>
        <w:gridCol w:w="992"/>
        <w:gridCol w:w="1056"/>
        <w:gridCol w:w="1266"/>
        <w:gridCol w:w="992"/>
        <w:gridCol w:w="1056"/>
        <w:gridCol w:w="1056"/>
        <w:gridCol w:w="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66" w:type="dxa"/>
            <w:vMerge w:val="restart"/>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污染物类别</w:t>
            </w:r>
          </w:p>
        </w:tc>
        <w:tc>
          <w:tcPr>
            <w:tcW w:w="3314" w:type="dxa"/>
            <w:gridSpan w:val="3"/>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1#除尘器出口</w:t>
            </w:r>
          </w:p>
        </w:tc>
        <w:tc>
          <w:tcPr>
            <w:tcW w:w="3314" w:type="dxa"/>
            <w:gridSpan w:val="3"/>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2#除尘器出口</w:t>
            </w:r>
          </w:p>
        </w:tc>
        <w:tc>
          <w:tcPr>
            <w:tcW w:w="1056" w:type="dxa"/>
            <w:vMerge w:val="restart"/>
            <w:vAlign w:val="center"/>
          </w:tcPr>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实际</w:t>
            </w:r>
          </w:p>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排放总量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（kg/a）</w:t>
            </w:r>
          </w:p>
        </w:tc>
        <w:tc>
          <w:tcPr>
            <w:tcW w:w="1056" w:type="dxa"/>
            <w:vMerge w:val="restart"/>
            <w:vAlign w:val="center"/>
          </w:tcPr>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环评预测</w:t>
            </w:r>
          </w:p>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排放总量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(kg/a)</w:t>
            </w:r>
          </w:p>
        </w:tc>
        <w:tc>
          <w:tcPr>
            <w:tcW w:w="858" w:type="dxa"/>
            <w:vMerge w:val="restart"/>
            <w:vAlign w:val="center"/>
          </w:tcPr>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减排量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(kg/a）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66" w:type="dxa"/>
            <w:vMerge w:val="continue"/>
            <w:vAlign w:val="center"/>
          </w:tcPr>
          <w:p>
            <w:pPr>
              <w:widowControl/>
              <w:spacing w:line="276" w:lineRule="auto"/>
              <w:jc w:val="center"/>
              <w:rPr>
                <w:rFonts w:ascii="Times New Roman" w:hAnsi="Times New Roman" w:cs="Times New Roman"/>
                <w:color w:val="000000"/>
                <w:kern w:val="0"/>
                <w:sz w:val="21"/>
                <w:szCs w:val="21"/>
              </w:rPr>
            </w:pPr>
          </w:p>
        </w:tc>
        <w:tc>
          <w:tcPr>
            <w:tcW w:w="1056" w:type="dxa"/>
            <w:vAlign w:val="center"/>
          </w:tcPr>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排放速率</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（kg/h）</w:t>
            </w:r>
          </w:p>
        </w:tc>
        <w:tc>
          <w:tcPr>
            <w:tcW w:w="1266" w:type="dxa"/>
            <w:vAlign w:val="center"/>
          </w:tcPr>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年运行时间</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（h）</w:t>
            </w:r>
          </w:p>
        </w:tc>
        <w:tc>
          <w:tcPr>
            <w:tcW w:w="992" w:type="dxa"/>
            <w:vAlign w:val="center"/>
          </w:tcPr>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排放量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(kg/a)</w:t>
            </w:r>
          </w:p>
        </w:tc>
        <w:tc>
          <w:tcPr>
            <w:tcW w:w="1056" w:type="dxa"/>
            <w:vAlign w:val="center"/>
          </w:tcPr>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排放速率</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（kg/h）</w:t>
            </w:r>
          </w:p>
        </w:tc>
        <w:tc>
          <w:tcPr>
            <w:tcW w:w="1266" w:type="dxa"/>
            <w:vAlign w:val="center"/>
          </w:tcPr>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年运行时间</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（h）</w:t>
            </w:r>
          </w:p>
        </w:tc>
        <w:tc>
          <w:tcPr>
            <w:tcW w:w="992" w:type="dxa"/>
            <w:vAlign w:val="center"/>
          </w:tcPr>
          <w:p>
            <w:pPr>
              <w:widowControl/>
              <w:spacing w:line="276" w:lineRule="auto"/>
              <w:jc w:val="center"/>
              <w:rPr>
                <w:rFonts w:ascii="Times New Roman" w:hAnsi="Times New Roman" w:cs="Times New Roman"/>
                <w:color w:val="000000"/>
                <w:sz w:val="21"/>
                <w:szCs w:val="21"/>
              </w:rPr>
            </w:pPr>
            <w:r>
              <w:rPr>
                <w:rFonts w:ascii="Times New Roman" w:hAnsi="Times New Roman" w:cs="Times New Roman"/>
                <w:color w:val="000000"/>
                <w:sz w:val="21"/>
                <w:szCs w:val="21"/>
              </w:rPr>
              <w:t>排放量</w:t>
            </w:r>
          </w:p>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(kg/a)</w:t>
            </w:r>
          </w:p>
        </w:tc>
        <w:tc>
          <w:tcPr>
            <w:tcW w:w="1056" w:type="dxa"/>
            <w:vMerge w:val="continue"/>
            <w:vAlign w:val="center"/>
          </w:tcPr>
          <w:p>
            <w:pPr>
              <w:widowControl/>
              <w:spacing w:line="276" w:lineRule="auto"/>
              <w:jc w:val="center"/>
              <w:rPr>
                <w:rFonts w:ascii="Times New Roman" w:hAnsi="Times New Roman" w:cs="Times New Roman"/>
                <w:color w:val="000000"/>
                <w:kern w:val="0"/>
                <w:sz w:val="21"/>
                <w:szCs w:val="21"/>
              </w:rPr>
            </w:pPr>
          </w:p>
        </w:tc>
        <w:tc>
          <w:tcPr>
            <w:tcW w:w="1056" w:type="dxa"/>
            <w:vMerge w:val="continue"/>
            <w:vAlign w:val="center"/>
          </w:tcPr>
          <w:p>
            <w:pPr>
              <w:widowControl/>
              <w:spacing w:line="276" w:lineRule="auto"/>
              <w:jc w:val="center"/>
              <w:rPr>
                <w:rFonts w:ascii="Times New Roman" w:hAnsi="Times New Roman" w:cs="Times New Roman"/>
                <w:color w:val="000000"/>
                <w:kern w:val="0"/>
                <w:sz w:val="21"/>
                <w:szCs w:val="21"/>
              </w:rPr>
            </w:pPr>
          </w:p>
        </w:tc>
        <w:tc>
          <w:tcPr>
            <w:tcW w:w="858" w:type="dxa"/>
            <w:vMerge w:val="continue"/>
            <w:vAlign w:val="center"/>
          </w:tcPr>
          <w:p>
            <w:pPr>
              <w:widowControl/>
              <w:spacing w:line="276" w:lineRule="auto"/>
              <w:jc w:val="center"/>
              <w:rPr>
                <w:rFonts w:ascii="Times New Roman" w:hAnsi="Times New Roman"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6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二噁英类</w:t>
            </w: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1.33E-08</w:t>
            </w:r>
          </w:p>
        </w:tc>
        <w:tc>
          <w:tcPr>
            <w:tcW w:w="126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7920</w:t>
            </w:r>
          </w:p>
        </w:tc>
        <w:tc>
          <w:tcPr>
            <w:tcW w:w="992"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1.05E-04</w:t>
            </w: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1.12E-08</w:t>
            </w:r>
          </w:p>
        </w:tc>
        <w:tc>
          <w:tcPr>
            <w:tcW w:w="126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7920</w:t>
            </w:r>
          </w:p>
        </w:tc>
        <w:tc>
          <w:tcPr>
            <w:tcW w:w="992"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8.87E-05</w:t>
            </w: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1.94E-04</w:t>
            </w:r>
          </w:p>
        </w:tc>
        <w:tc>
          <w:tcPr>
            <w:tcW w:w="1056"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0.294</w:t>
            </w:r>
          </w:p>
        </w:tc>
        <w:tc>
          <w:tcPr>
            <w:tcW w:w="858" w:type="dxa"/>
            <w:vAlign w:val="center"/>
          </w:tcPr>
          <w:p>
            <w:pPr>
              <w:widowControl/>
              <w:spacing w:line="276" w:lineRule="auto"/>
              <w:jc w:val="center"/>
              <w:rPr>
                <w:rFonts w:ascii="Times New Roman" w:hAnsi="Times New Roman" w:cs="Times New Roman"/>
                <w:color w:val="000000"/>
                <w:kern w:val="0"/>
                <w:sz w:val="21"/>
                <w:szCs w:val="21"/>
              </w:rPr>
            </w:pPr>
            <w:r>
              <w:rPr>
                <w:rFonts w:ascii="Times New Roman" w:hAnsi="Times New Roman" w:cs="Times New Roman"/>
                <w:color w:val="000000"/>
                <w:sz w:val="21"/>
                <w:szCs w:val="21"/>
              </w:rPr>
              <w:t>0.2938</w:t>
            </w:r>
          </w:p>
        </w:tc>
      </w:tr>
    </w:tbl>
    <w:p>
      <w:pPr>
        <w:ind w:firstLine="560" w:firstLineChars="200"/>
        <w:rPr>
          <w:rFonts w:ascii="Times New Roman" w:hAnsi="Times New Roman" w:cs="Times New Roman"/>
        </w:rPr>
      </w:pPr>
      <w:r>
        <w:rPr>
          <w:rFonts w:ascii="Times New Roman" w:hAnsi="Times New Roman" w:cs="Times New Roman"/>
        </w:rPr>
        <w:t>经核算，颗粒物减排104.34t/a，氟化物减排2.77t/a，二噁英类减排</w:t>
      </w:r>
      <w:r>
        <w:rPr>
          <w:rFonts w:hint="eastAsia" w:ascii="Times New Roman" w:hAnsi="Times New Roman" w:cs="Times New Roman"/>
        </w:rPr>
        <w:t>0.2938k</w:t>
      </w:r>
      <w:r>
        <w:rPr>
          <w:rFonts w:ascii="Times New Roman" w:hAnsi="Times New Roman" w:cs="Times New Roman"/>
        </w:rPr>
        <w:t>g/a。</w:t>
      </w:r>
    </w:p>
    <w:p>
      <w:pPr>
        <w:pStyle w:val="2"/>
        <w:ind w:firstLine="560"/>
        <w:rPr>
          <w:rFonts w:ascii="Times New Roman" w:hAnsi="Times New Roman" w:cs="Times New Roman"/>
        </w:rPr>
      </w:pPr>
    </w:p>
    <w:p>
      <w:pPr>
        <w:ind w:firstLine="560" w:firstLineChars="200"/>
        <w:rPr>
          <w:rFonts w:ascii="Times New Roman" w:hAnsi="Times New Roman" w:cs="Times New Roman"/>
        </w:rPr>
      </w:pP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48" w:name="_Toc31271"/>
      <w:r>
        <w:rPr>
          <w:rFonts w:ascii="Times New Roman" w:hAnsi="Times New Roman" w:cs="Times New Roman"/>
        </w:rPr>
        <w:t>10 验收监测结论</w:t>
      </w:r>
      <w:bookmarkEnd w:id="48"/>
    </w:p>
    <w:p>
      <w:pPr>
        <w:pStyle w:val="4"/>
        <w:rPr>
          <w:rFonts w:ascii="Times New Roman" w:hAnsi="Times New Roman" w:cs="Times New Roman"/>
        </w:rPr>
      </w:pPr>
      <w:bookmarkStart w:id="49" w:name="_Toc7888"/>
      <w:bookmarkStart w:id="50" w:name="_Toc12062"/>
      <w:r>
        <w:rPr>
          <w:rFonts w:ascii="Times New Roman" w:hAnsi="Times New Roman" w:cs="Times New Roman"/>
        </w:rPr>
        <w:t>10.1 环保设施调试运行效果</w:t>
      </w:r>
      <w:bookmarkEnd w:id="49"/>
      <w:bookmarkEnd w:id="50"/>
    </w:p>
    <w:p>
      <w:pPr>
        <w:ind w:firstLine="560" w:firstLineChars="200"/>
        <w:rPr>
          <w:rFonts w:ascii="Times New Roman" w:hAnsi="Times New Roman" w:cs="Times New Roman"/>
        </w:rPr>
      </w:pPr>
      <w:r>
        <w:rPr>
          <w:rFonts w:ascii="Times New Roman" w:hAnsi="Times New Roman" w:cs="Times New Roman"/>
        </w:rPr>
        <w:t>（1）废水</w:t>
      </w:r>
    </w:p>
    <w:p>
      <w:pPr>
        <w:ind w:firstLine="560" w:firstLineChars="200"/>
        <w:rPr>
          <w:rFonts w:ascii="Times New Roman" w:hAnsi="Times New Roman" w:cs="Times New Roman"/>
        </w:rPr>
      </w:pPr>
      <w:r>
        <w:rPr>
          <w:rFonts w:ascii="Times New Roman" w:hAnsi="Times New Roman" w:cs="Times New Roman"/>
        </w:rPr>
        <w:t>本项目用水均为净循环水，排水量约为14.7m³/h，排水排至浊循环水系统循环使用。</w:t>
      </w:r>
    </w:p>
    <w:p>
      <w:pPr>
        <w:ind w:firstLine="560" w:firstLineChars="200"/>
        <w:rPr>
          <w:rFonts w:ascii="Times New Roman" w:hAnsi="Times New Roman" w:cs="Times New Roman"/>
        </w:rPr>
      </w:pPr>
      <w:r>
        <w:rPr>
          <w:rFonts w:ascii="Times New Roman" w:hAnsi="Times New Roman" w:cs="Times New Roman"/>
        </w:rPr>
        <w:t>（2）废气</w:t>
      </w:r>
    </w:p>
    <w:p>
      <w:pPr>
        <w:ind w:firstLine="560" w:firstLineChars="200"/>
        <w:rPr>
          <w:rFonts w:ascii="Times New Roman" w:hAnsi="Times New Roman" w:cs="Times New Roman"/>
        </w:rPr>
      </w:pPr>
      <w:r>
        <w:rPr>
          <w:rFonts w:ascii="Times New Roman" w:hAnsi="Times New Roman" w:cs="Times New Roman"/>
        </w:rPr>
        <w:t>本项目排放大气污染物主要为：合金熔化装置和配套上投料系统排放烟气中的颗粒物及电炉排放烟气中的颗粒物、二噁英类、氟化物。烟气经除尘器处理后通过30m高烟囱排放，监测结果表明除尘器出口污染物排放浓度满足《山西省钢铁工业大气污染物排放标准》（DB14/2249-2020）中排放限值。</w:t>
      </w:r>
      <w:r>
        <w:rPr>
          <w:rFonts w:hint="eastAsia" w:ascii="Times New Roman" w:hAnsi="Times New Roman" w:cs="Times New Roman"/>
        </w:rPr>
        <w:t>除尘器除尘效率高于99.9%。</w:t>
      </w:r>
    </w:p>
    <w:p>
      <w:pPr>
        <w:ind w:firstLine="560" w:firstLineChars="200"/>
        <w:rPr>
          <w:rFonts w:ascii="Times New Roman" w:hAnsi="Times New Roman" w:cs="Times New Roman"/>
        </w:rPr>
      </w:pPr>
      <w:r>
        <w:rPr>
          <w:rFonts w:ascii="Times New Roman" w:hAnsi="Times New Roman" w:cs="Times New Roman"/>
        </w:rPr>
        <w:t>（3）厂界噪声</w:t>
      </w:r>
    </w:p>
    <w:p>
      <w:pPr>
        <w:ind w:firstLine="560" w:firstLineChars="200"/>
        <w:rPr>
          <w:rFonts w:ascii="Times New Roman" w:hAnsi="Times New Roman" w:cs="Times New Roman"/>
        </w:rPr>
      </w:pPr>
      <w:r>
        <w:rPr>
          <w:rFonts w:ascii="Times New Roman" w:hAnsi="Times New Roman" w:cs="Times New Roman"/>
        </w:rPr>
        <w:t>本项目涉及噪声主要为</w:t>
      </w:r>
      <w:r>
        <w:rPr>
          <w:rFonts w:ascii="Times New Roman" w:hAnsi="Times New Roman" w:cs="Times New Roman"/>
          <w:lang w:val="zh-CN"/>
        </w:rPr>
        <w:t>电炉熔化阶段</w:t>
      </w:r>
      <w:r>
        <w:rPr>
          <w:rFonts w:ascii="Times New Roman" w:hAnsi="Times New Roman" w:cs="Times New Roman"/>
        </w:rPr>
        <w:t>产生的噪声、合金熔化装置运行时产生的噪声、除尘器风机产生的噪声。通过本项目设置的减噪措施，监测结果满足《工业企业厂界环境噪声排放标准》（GB12348-2008）中3类标准。</w:t>
      </w:r>
    </w:p>
    <w:p>
      <w:pPr>
        <w:ind w:firstLine="560" w:firstLineChars="200"/>
        <w:rPr>
          <w:rFonts w:ascii="Times New Roman" w:hAnsi="Times New Roman" w:cs="Times New Roman"/>
        </w:rPr>
      </w:pPr>
      <w:r>
        <w:rPr>
          <w:rFonts w:ascii="Times New Roman" w:hAnsi="Times New Roman" w:cs="Times New Roman"/>
        </w:rPr>
        <w:t>（4）固体废物</w:t>
      </w:r>
    </w:p>
    <w:p>
      <w:pPr>
        <w:ind w:firstLine="560" w:firstLineChars="200"/>
        <w:rPr>
          <w:rFonts w:ascii="Times New Roman" w:hAnsi="Times New Roman" w:cs="Times New Roman"/>
        </w:rPr>
      </w:pPr>
      <w:r>
        <w:rPr>
          <w:rFonts w:ascii="Times New Roman" w:hAnsi="Times New Roman" w:cs="Times New Roman"/>
        </w:rPr>
        <w:t>本项目涉及一般固体废物主要为废耐火材料、危险废物为除尘器产生除尘灰、废润滑油及液压油。废耐火材料增加量为1460t/a，由太钢加工厂统一处理。除尘灰产生量增加376t/a，全部送太钢烧结车间回用。废液压油、废润滑油产生量增加1.5t/a</w:t>
      </w:r>
      <w:r>
        <w:rPr>
          <w:rFonts w:hint="eastAsia" w:ascii="Times New Roman" w:hAnsi="Times New Roman" w:cs="Times New Roman"/>
        </w:rPr>
        <w:t>，</w:t>
      </w:r>
      <w:r>
        <w:rPr>
          <w:rFonts w:ascii="Times New Roman" w:hAnsi="Times New Roman" w:cs="Times New Roman"/>
        </w:rPr>
        <w:t>由太钢加工厂统一收集处理。</w:t>
      </w:r>
    </w:p>
    <w:p>
      <w:pPr>
        <w:pStyle w:val="2"/>
        <w:ind w:firstLine="560"/>
        <w:rPr>
          <w:rFonts w:ascii="Times New Roman" w:hAnsi="Times New Roman" w:cs="Times New Roman"/>
        </w:rPr>
      </w:pPr>
      <w:r>
        <w:rPr>
          <w:rFonts w:ascii="Times New Roman" w:hAnsi="Times New Roman" w:cs="Times New Roman"/>
        </w:rPr>
        <w:t>（5）排放总量</w:t>
      </w:r>
    </w:p>
    <w:p>
      <w:pPr>
        <w:ind w:firstLine="560" w:firstLineChars="200"/>
        <w:rPr>
          <w:rFonts w:ascii="Times New Roman" w:hAnsi="Times New Roman" w:cs="Times New Roman"/>
        </w:rPr>
      </w:pPr>
      <w:r>
        <w:rPr>
          <w:rFonts w:ascii="Times New Roman" w:hAnsi="Times New Roman" w:cs="Times New Roman"/>
        </w:rPr>
        <w:t>技改后颗粒物排放总量为14.46t/a，氟化物排放总量为12.91t/a，二噁英类排放总量为</w:t>
      </w:r>
      <w:r>
        <w:rPr>
          <w:rFonts w:hint="eastAsia" w:ascii="Times New Roman" w:hAnsi="Times New Roman" w:cs="Times New Roman"/>
        </w:rPr>
        <w:t>1.94×10</w:t>
      </w:r>
      <w:r>
        <w:rPr>
          <w:rFonts w:hint="eastAsia" w:ascii="Times New Roman" w:hAnsi="Times New Roman" w:cs="Times New Roman"/>
          <w:vertAlign w:val="superscript"/>
        </w:rPr>
        <w:t>-4</w:t>
      </w:r>
      <w:r>
        <w:rPr>
          <w:rFonts w:ascii="Times New Roman" w:hAnsi="Times New Roman" w:cs="Times New Roman"/>
        </w:rPr>
        <w:t>kg/a。与</w:t>
      </w:r>
      <w:r>
        <w:rPr>
          <w:rFonts w:hint="eastAsia" w:ascii="Times New Roman" w:hAnsi="Times New Roman" w:cs="Times New Roman"/>
        </w:rPr>
        <w:t>环评预测排放总量相比</w:t>
      </w:r>
      <w:r>
        <w:rPr>
          <w:rFonts w:ascii="Times New Roman" w:hAnsi="Times New Roman" w:cs="Times New Roman"/>
        </w:rPr>
        <w:t>，颗粒物减排104.34t/a，氟化物减排2.77t/a，二噁英类减排</w:t>
      </w:r>
      <w:r>
        <w:rPr>
          <w:rFonts w:hint="eastAsia" w:ascii="Times New Roman" w:hAnsi="Times New Roman" w:cs="Times New Roman"/>
        </w:rPr>
        <w:t>0.2938</w:t>
      </w:r>
      <w:r>
        <w:rPr>
          <w:rFonts w:ascii="Times New Roman" w:hAnsi="Times New Roman" w:cs="Times New Roman"/>
        </w:rPr>
        <w:t>kg/a。</w:t>
      </w:r>
    </w:p>
    <w:p>
      <w:pPr>
        <w:pStyle w:val="4"/>
        <w:rPr>
          <w:rFonts w:ascii="Times New Roman" w:hAnsi="Times New Roman" w:cs="Times New Roman"/>
        </w:rPr>
      </w:pPr>
      <w:bookmarkStart w:id="51" w:name="_Toc29574"/>
      <w:r>
        <w:rPr>
          <w:rFonts w:ascii="Times New Roman" w:hAnsi="Times New Roman" w:cs="Times New Roman"/>
        </w:rPr>
        <w:t>10.2 工程建设对环境的影响</w:t>
      </w:r>
      <w:bookmarkEnd w:id="51"/>
    </w:p>
    <w:p>
      <w:pPr>
        <w:ind w:firstLine="560" w:firstLineChars="200"/>
        <w:rPr>
          <w:rFonts w:ascii="Times New Roman" w:hAnsi="Times New Roman" w:cs="Times New Roman"/>
        </w:rPr>
      </w:pPr>
      <w:r>
        <w:rPr>
          <w:rFonts w:ascii="Times New Roman" w:hAnsi="Times New Roman" w:cs="Times New Roman"/>
        </w:rPr>
        <w:t>本项目废水不外排循环使用，对周围地表水环境无影响。上料地坑采取场地硬化并做了地下水防渗处理，对周围地下水环境无影响。</w:t>
      </w:r>
    </w:p>
    <w:p>
      <w:pPr>
        <w:ind w:firstLine="560" w:firstLineChars="200"/>
        <w:rPr>
          <w:rFonts w:ascii="Times New Roman" w:hAnsi="Times New Roman" w:cs="Times New Roman"/>
        </w:rPr>
      </w:pPr>
      <w:r>
        <w:rPr>
          <w:rFonts w:ascii="Times New Roman" w:hAnsi="Times New Roman" w:cs="Times New Roman"/>
        </w:rPr>
        <w:t>本项目废气经除尘器处理后排放，颗粒物、氟化物、二噁英类排放浓度均满足《山西省钢铁工业大气污染物排放标准》（DB14/2249-2020）中排放限值，对周围环境空气质量基本无影响。</w:t>
      </w:r>
    </w:p>
    <w:p>
      <w:pPr>
        <w:ind w:firstLine="560" w:firstLineChars="200"/>
        <w:rPr>
          <w:rFonts w:ascii="Times New Roman" w:hAnsi="Times New Roman" w:cs="Times New Roman"/>
        </w:rPr>
      </w:pPr>
      <w:r>
        <w:rPr>
          <w:rFonts w:ascii="Times New Roman" w:hAnsi="Times New Roman" w:cs="Times New Roman"/>
        </w:rPr>
        <w:t>本项目厂界噪声监测值满足《工业企业厂界环境噪声排放标准》（GB12348-2008）中3类标准。</w:t>
      </w:r>
    </w:p>
    <w:p>
      <w:pPr>
        <w:ind w:firstLine="560" w:firstLineChars="200"/>
        <w:rPr>
          <w:rFonts w:ascii="Times New Roman" w:hAnsi="Times New Roman" w:cs="Times New Roman"/>
        </w:rPr>
      </w:pPr>
      <w:r>
        <w:rPr>
          <w:rFonts w:ascii="Times New Roman" w:hAnsi="Times New Roman" w:cs="Times New Roman"/>
        </w:rPr>
        <w:t>本项目对固体废物除尘灰、废耐火材料、废润滑及液压油均做了合理处置，未对环境造成污染。</w:t>
      </w:r>
    </w:p>
    <w:p>
      <w:pPr>
        <w:ind w:firstLine="560" w:firstLineChars="200"/>
        <w:rPr>
          <w:rFonts w:ascii="Times New Roman" w:hAnsi="Times New Roman" w:cs="Times New Roman"/>
        </w:rPr>
      </w:pPr>
      <w:r>
        <w:rPr>
          <w:rFonts w:ascii="Times New Roman" w:hAnsi="Times New Roman" w:cs="Times New Roman"/>
        </w:rPr>
        <w:t>综上所述，本项目运营期间对周围环境质量基本未造成不利影响。</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52" w:name="_Toc15440"/>
      <w:r>
        <w:rPr>
          <w:rFonts w:ascii="等线" w:hAnsi="等线" w:eastAsia="宋体" w:cs="黑体"/>
          <w:b/>
          <w:bCs/>
          <w:kern w:val="44"/>
          <w:sz w:val="32"/>
          <w:szCs w:val="44"/>
          <w:lang w:val="en-US" w:eastAsia="zh-CN" w:bidi="ar-SA"/>
        </w:rPr>
        <w:pict>
          <v:shape id="图片 7" o:spid="_x0000_s1096" type="#_x0000_t75" style="position:absolute;left:0;margin-top:32.55pt;height:382.05pt;width:683.15pt;mso-position-horizontal:center;mso-position-horizontal-relative:margin;mso-wrap-distance-bottom:0pt;mso-wrap-distance-top:0pt;rotation:0f;z-index:251694080;" o:ole="f" fillcolor="#FFFFFF" filled="f" o:preferrelative="t" stroked="f" coordorigin="0,0" coordsize="21600,21600">
            <v:fill on="f" color2="#FFFFFF" focus="0%"/>
            <v:imagedata gain="65536f" blacklevel="0f" gamma="0" o:title="" r:id="rId20"/>
            <o:lock v:ext="edit" position="f" selection="f" grouping="f" rotation="f" cropping="f" text="f" aspectratio="t"/>
            <w10:wrap type="topAndBottom"/>
          </v:shape>
        </w:pict>
      </w:r>
      <w:r>
        <w:rPr>
          <w:rFonts w:ascii="Times New Roman" w:hAnsi="Times New Roman" w:cs="Times New Roman"/>
        </w:rPr>
        <w:t>11 建设项目竣工环境保护“三同时”验收登记</w:t>
      </w:r>
      <w:bookmarkEnd w:id="52"/>
    </w:p>
    <w:p>
      <w:pPr>
        <w:pStyle w:val="2"/>
        <w:ind w:firstLine="0" w:firstLineChars="0"/>
        <w:sectPr>
          <w:pgSz w:w="16838" w:h="11906" w:orient="landscape"/>
          <w:pgMar w:top="1800" w:right="1440" w:bottom="1800" w:left="1440" w:header="851" w:footer="992" w:gutter="0"/>
          <w:cols w:space="720" w:num="1"/>
          <w:docGrid w:type="lines" w:linePitch="381" w:charSpace="0"/>
        </w:sectPr>
      </w:pPr>
    </w:p>
    <w:p>
      <w:pPr>
        <w:pStyle w:val="3"/>
        <w:rPr>
          <w:rFonts w:ascii="Times New Roman" w:hAnsi="Times New Roman" w:cs="Times New Roman"/>
        </w:rPr>
      </w:pPr>
      <w:bookmarkStart w:id="53" w:name="_Toc8220"/>
      <w:r>
        <w:rPr>
          <w:rFonts w:ascii="Times New Roman" w:hAnsi="Times New Roman" w:cs="Times New Roman"/>
        </w:rPr>
        <w:t>附图</w:t>
      </w:r>
      <w:bookmarkEnd w:id="53"/>
    </w:p>
    <w:p>
      <w:pPr>
        <w:rPr>
          <w:rFonts w:ascii="Times New Roman" w:hAnsi="Times New Roman" w:cs="Times New Roman"/>
        </w:rPr>
      </w:pPr>
      <w:r>
        <w:rPr>
          <w:rFonts w:ascii="Times New Roman" w:hAnsi="Times New Roman" w:cs="Times New Roman"/>
        </w:rPr>
        <w:t>附图一：地理位置图</w:t>
      </w:r>
    </w:p>
    <w:p>
      <w:pPr>
        <w:rPr>
          <w:rFonts w:ascii="Times New Roman" w:hAnsi="Times New Roman" w:cs="Times New Roman"/>
        </w:rPr>
      </w:pPr>
      <w:r>
        <w:rPr>
          <w:rFonts w:ascii="Times New Roman" w:hAnsi="Times New Roman" w:cs="Times New Roman"/>
        </w:rPr>
        <w:t>附图二：厂区总平面布置及四邻关系图</w:t>
      </w:r>
    </w:p>
    <w:p>
      <w:pPr>
        <w:rPr>
          <w:rFonts w:ascii="Times New Roman" w:hAnsi="Times New Roman" w:cs="Times New Roman"/>
        </w:rPr>
      </w:pPr>
      <w:r>
        <w:rPr>
          <w:rFonts w:ascii="Times New Roman" w:hAnsi="Times New Roman" w:cs="Times New Roman"/>
        </w:rPr>
        <w:t>附图三：车间平面布置图</w:t>
      </w:r>
    </w:p>
    <w:p>
      <w:pPr>
        <w:pStyle w:val="2"/>
        <w:ind w:firstLine="0" w:firstLineChars="0"/>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54" w:name="_Toc31150"/>
      <w:r>
        <w:rPr>
          <w:rFonts w:ascii="Times New Roman" w:hAnsi="Times New Roman" w:eastAsia="宋体" w:cs="Times New Roman"/>
          <w:b/>
          <w:bCs/>
          <w:kern w:val="2"/>
          <w:sz w:val="30"/>
          <w:szCs w:val="32"/>
          <w:lang w:val="en-US" w:eastAsia="zh-CN" w:bidi="ar-SA"/>
        </w:rPr>
        <w:pict>
          <v:shape id="图片 1" o:spid="_x0000_s1097" type="#_x0000_t75" style="position:absolute;left:0;margin-top:28.7pt;height:636.15pt;width:453.55pt;mso-position-horizontal:center;mso-position-horizontal-relative:margin;mso-wrap-distance-bottom:0pt;mso-wrap-distance-top:0pt;rotation:0f;z-index:251663360;" o:ole="f" fillcolor="#FFFFFF" filled="f" o:preferrelative="t" stroked="f" coordorigin="0,0" coordsize="21600,21600">
            <v:fill on="f" color2="#FFFFFF" focus="0%"/>
            <v:imagedata cropleft="5681f" croptop="4100f" cropright="5768f" cropbottom="7799f" gain="65536f" blacklevel="0f" gamma="0" o:title="" r:id="rId21"/>
            <o:lock v:ext="edit" position="f" selection="f" grouping="f" rotation="f" cropping="f" text="f" aspectratio="t"/>
            <w10:wrap type="topAndBottom"/>
          </v:shape>
        </w:pict>
      </w:r>
      <w:r>
        <w:rPr>
          <w:rFonts w:ascii="Times New Roman" w:hAnsi="Times New Roman" w:cs="Times New Roman"/>
        </w:rPr>
        <w:t>附图一：地理位置图</w:t>
      </w:r>
      <w:bookmarkEnd w:id="54"/>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55" w:name="_Toc24521"/>
      <w:r>
        <w:rPr>
          <w:rFonts w:ascii="Times New Roman" w:hAnsi="Times New Roman" w:eastAsia="宋体" w:cs="Times New Roman"/>
          <w:b/>
          <w:bCs/>
          <w:kern w:val="2"/>
          <w:sz w:val="30"/>
          <w:szCs w:val="32"/>
          <w:lang w:val="en-US" w:eastAsia="zh-CN" w:bidi="ar-SA"/>
        </w:rPr>
        <w:pict>
          <v:shape id="图片 2" o:spid="_x0000_s1098" type="#_x0000_t75" style="position:absolute;left:0;margin-top:32.4pt;height:382.7pt;width:527.05pt;mso-position-horizontal:center;mso-position-horizontal-relative:margin;mso-wrap-distance-bottom:0pt;mso-wrap-distance-top:0pt;rotation:0f;z-index:251664384;" o:ole="f" fillcolor="#FFFFFF" filled="f" o:preferrelative="t" stroked="f" coordorigin="0,0" coordsize="21600,21600">
            <v:fill on="f" color2="#FFFFFF" focus="0%"/>
            <v:imagedata cropleft="5917f" croptop="3850f" cropright="5177f" cropbottom="5781f" gain="65536f" blacklevel="0f" gamma="0" o:title="" r:id="rId22"/>
            <o:lock v:ext="edit" position="f" selection="f" grouping="f" rotation="f" cropping="f" text="f" aspectratio="t"/>
            <w10:wrap type="topAndBottom"/>
          </v:shape>
        </w:pict>
      </w:r>
      <w:r>
        <w:rPr>
          <w:rFonts w:ascii="Times New Roman" w:hAnsi="Times New Roman" w:cs="Times New Roman"/>
        </w:rPr>
        <w:t>附图二：厂区总平面布置及四邻关系图</w:t>
      </w:r>
      <w:bookmarkEnd w:id="55"/>
    </w:p>
    <w:p>
      <w:pPr>
        <w:jc w:val="center"/>
        <w:rPr>
          <w:rFonts w:ascii="Times New Roman" w:hAnsi="Times New Roman" w:cs="Times New Roman"/>
        </w:rPr>
        <w:sectPr>
          <w:pgSz w:w="16838" w:h="11906" w:orient="landscape"/>
          <w:pgMar w:top="1800" w:right="1440" w:bottom="1800" w:left="1440" w:header="851" w:footer="992" w:gutter="0"/>
          <w:cols w:space="720" w:num="1"/>
          <w:docGrid w:type="lines" w:linePitch="381" w:charSpace="0"/>
        </w:sectPr>
      </w:pPr>
    </w:p>
    <w:p>
      <w:pPr>
        <w:pStyle w:val="3"/>
        <w:rPr>
          <w:rFonts w:ascii="Times New Roman" w:hAnsi="Times New Roman" w:cs="Times New Roman"/>
        </w:rPr>
      </w:pPr>
      <w:bookmarkStart w:id="56" w:name="_Toc4081"/>
      <w:r>
        <w:rPr>
          <w:rFonts w:ascii="Times New Roman" w:hAnsi="Times New Roman" w:cs="Times New Roman"/>
        </w:rPr>
        <w:t>附件</w:t>
      </w:r>
      <w:bookmarkEnd w:id="56"/>
    </w:p>
    <w:p>
      <w:pPr>
        <w:pStyle w:val="2"/>
        <w:ind w:firstLine="0" w:firstLineChars="0"/>
        <w:rPr>
          <w:rFonts w:ascii="Times New Roman" w:hAnsi="Times New Roman" w:cs="Times New Roman"/>
        </w:rPr>
      </w:pPr>
      <w:r>
        <w:rPr>
          <w:rFonts w:ascii="Times New Roman" w:hAnsi="Times New Roman" w:cs="Times New Roman"/>
        </w:rPr>
        <w:t>附件一：工程项目任务单</w:t>
      </w:r>
    </w:p>
    <w:p>
      <w:pPr>
        <w:pStyle w:val="2"/>
        <w:ind w:firstLine="0" w:firstLineChars="0"/>
        <w:rPr>
          <w:rFonts w:ascii="Times New Roman" w:hAnsi="Times New Roman" w:cs="Times New Roman"/>
        </w:rPr>
      </w:pPr>
      <w:r>
        <w:rPr>
          <w:rFonts w:ascii="Times New Roman" w:hAnsi="Times New Roman" w:cs="Times New Roman"/>
        </w:rPr>
        <w:t>附件二：备案证</w:t>
      </w:r>
    </w:p>
    <w:p>
      <w:pPr>
        <w:pStyle w:val="2"/>
        <w:ind w:firstLine="0" w:firstLineChars="0"/>
        <w:rPr>
          <w:rFonts w:ascii="Times New Roman" w:hAnsi="Times New Roman" w:cs="Times New Roman"/>
        </w:rPr>
      </w:pPr>
      <w:r>
        <w:rPr>
          <w:rFonts w:ascii="Times New Roman" w:hAnsi="Times New Roman" w:cs="Times New Roman"/>
        </w:rPr>
        <w:t>附件三：环境影响评价报告书批复</w:t>
      </w:r>
    </w:p>
    <w:p>
      <w:pPr>
        <w:rPr>
          <w:rFonts w:ascii="Times New Roman" w:hAnsi="Times New Roman" w:cs="Times New Roman"/>
        </w:rPr>
      </w:pPr>
      <w:r>
        <w:rPr>
          <w:rFonts w:ascii="Times New Roman" w:hAnsi="Times New Roman" w:cs="Times New Roman"/>
        </w:rPr>
        <w:t>附件四：交工验收证书</w:t>
      </w:r>
    </w:p>
    <w:p>
      <w:pPr>
        <w:pStyle w:val="2"/>
        <w:ind w:firstLine="0" w:firstLineChars="0"/>
        <w:rPr>
          <w:rFonts w:ascii="Times New Roman" w:hAnsi="Times New Roman" w:cs="Times New Roman"/>
        </w:rPr>
      </w:pPr>
      <w:r>
        <w:rPr>
          <w:rFonts w:ascii="Times New Roman" w:hAnsi="Times New Roman" w:cs="Times New Roman"/>
        </w:rPr>
        <w:t>附件五：30t合金熔化炉调试验收报告</w:t>
      </w:r>
    </w:p>
    <w:p>
      <w:pPr>
        <w:rPr>
          <w:rFonts w:ascii="Times New Roman" w:hAnsi="Times New Roman" w:cs="Times New Roman"/>
        </w:rPr>
      </w:pPr>
      <w:r>
        <w:rPr>
          <w:rFonts w:ascii="Times New Roman" w:hAnsi="Times New Roman" w:cs="Times New Roman"/>
        </w:rPr>
        <w:t>附件六：除尘器功能验收报告</w:t>
      </w:r>
    </w:p>
    <w:p>
      <w:pPr>
        <w:pStyle w:val="2"/>
        <w:ind w:firstLine="0" w:firstLineChars="0"/>
        <w:rPr>
          <w:rFonts w:ascii="Times New Roman" w:hAnsi="Times New Roman" w:cs="Times New Roman"/>
        </w:rPr>
      </w:pPr>
      <w:r>
        <w:rPr>
          <w:rFonts w:ascii="Times New Roman" w:hAnsi="Times New Roman" w:cs="Times New Roman"/>
        </w:rPr>
        <w:t>附件七：排污许可证</w:t>
      </w:r>
    </w:p>
    <w:p>
      <w:pPr>
        <w:rPr>
          <w:rFonts w:ascii="Times New Roman" w:hAnsi="Times New Roman" w:cs="Times New Roman"/>
        </w:rPr>
      </w:pPr>
      <w:r>
        <w:rPr>
          <w:rFonts w:ascii="Times New Roman" w:hAnsi="Times New Roman" w:cs="Times New Roman"/>
        </w:rPr>
        <w:t>附件八：工程情况说明</w:t>
      </w:r>
    </w:p>
    <w:p>
      <w:pPr>
        <w:pStyle w:val="2"/>
        <w:ind w:firstLine="0" w:firstLineChars="0"/>
        <w:rPr>
          <w:rFonts w:ascii="Times New Roman" w:hAnsi="Times New Roman" w:cs="Times New Roman"/>
        </w:rPr>
      </w:pPr>
      <w:r>
        <w:rPr>
          <w:rFonts w:ascii="Times New Roman" w:hAnsi="Times New Roman" w:cs="Times New Roman"/>
        </w:rPr>
        <w:t>附件九：监测报告</w:t>
      </w:r>
    </w:p>
    <w:p>
      <w:pPr>
        <w:rPr>
          <w:rFonts w:ascii="Times New Roman" w:hAnsi="Times New Roman" w:cs="Times New Roman"/>
        </w:rPr>
      </w:pPr>
    </w:p>
    <w:p>
      <w:pPr>
        <w:rPr>
          <w:rFonts w:ascii="Times New Roman" w:hAnsi="Times New Roman" w:cs="Times New Roman"/>
        </w:rPr>
      </w:pPr>
    </w:p>
    <w:p>
      <w:pPr>
        <w:pStyle w:val="2"/>
        <w:ind w:firstLine="56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57" w:name="_Toc26427"/>
      <w:r>
        <w:rPr>
          <w:rFonts w:ascii="Times New Roman" w:hAnsi="Times New Roman" w:eastAsia="宋体" w:cs="Times New Roman"/>
          <w:b/>
          <w:bCs/>
          <w:kern w:val="2"/>
          <w:sz w:val="30"/>
          <w:szCs w:val="32"/>
          <w:lang w:val="en-US" w:eastAsia="zh-CN" w:bidi="ar-SA"/>
        </w:rPr>
        <w:pict>
          <v:shape id="图片 12" o:spid="_x0000_s1099" type="#_x0000_t75" style="position:absolute;left:0;margin-top:49.5pt;height:539.65pt;width:425.2pt;mso-position-horizontal:left;mso-position-horizontal-relative:margin;mso-wrap-distance-bottom:0pt;mso-wrap-distance-top:0pt;rotation:0f;z-index:251691008;" o:ole="f" fillcolor="#FFFFFF" filled="f" o:preferrelative="t" stroked="f" coordorigin="0,0" coordsize="21600,21600">
            <v:fill on="f" color2="#FFFFFF" focus="0%"/>
            <v:imagedata gain="65536f" blacklevel="0f" gamma="0" o:title="" r:id="rId23"/>
            <o:lock v:ext="edit" position="f" selection="f" grouping="f" rotation="f" cropping="f" text="f" aspectratio="t"/>
            <w10:wrap type="topAndBottom"/>
          </v:shape>
        </w:pict>
      </w:r>
      <w:r>
        <w:rPr>
          <w:rFonts w:ascii="Times New Roman" w:hAnsi="Times New Roman" w:cs="Times New Roman"/>
        </w:rPr>
        <w:t>附件一：</w:t>
      </w:r>
      <w:bookmarkEnd w:id="57"/>
      <w:r>
        <w:rPr>
          <w:rFonts w:ascii="Times New Roman" w:hAnsi="Times New Roman" w:cs="Times New Roman"/>
        </w:rPr>
        <w:t>工程项目任务单</w:t>
      </w:r>
    </w:p>
    <w:p>
      <w:pPr>
        <w:rPr>
          <w:rFonts w:ascii="Times New Roman" w:hAnsi="Times New Roman" w:cs="Times New Roman"/>
        </w:rPr>
      </w:pPr>
    </w:p>
    <w:p>
      <w:pPr>
        <w:pStyle w:val="2"/>
        <w:ind w:firstLine="560"/>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58" w:name="_Toc15496"/>
      <w:r>
        <w:rPr>
          <w:rFonts w:ascii="Times New Roman" w:hAnsi="Times New Roman" w:cs="Times New Roman"/>
        </w:rPr>
        <w:t>附件二：备案证</w:t>
      </w:r>
      <w:bookmarkEnd w:id="58"/>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 o:spid="_x0000_s1100" type="#_x0000_t75" style="position:absolute;left:0;margin-left:-5pt;margin-top:28pt;height:566.6pt;width:425.2pt;mso-wrap-distance-bottom:0pt;mso-wrap-distance-top:0pt;rotation:0f;z-index:251674624;" o:ole="f" fillcolor="#FFFFFF" filled="f" o:preferrelative="t" stroked="f" coordorigin="0,0" coordsize="21600,21600">
            <v:fill on="f" color2="#FFFFFF" focus="0%"/>
            <v:imagedata gain="65536f" blacklevel="0f" gamma="0" o:title="" r:id="rId24"/>
            <o:lock v:ext="edit" position="f" selection="f" grouping="f" rotation="f" cropping="f" text="f" aspectratio="t"/>
            <w10:wrap type="topAndBottom"/>
          </v:shape>
        </w:pict>
      </w:r>
    </w:p>
    <w:p>
      <w:pPr>
        <w:pStyle w:val="2"/>
        <w:ind w:firstLine="560"/>
        <w:rPr>
          <w:rFonts w:ascii="Times New Roman" w:hAnsi="Times New Roman" w:cs="Times New Roman"/>
        </w:rPr>
      </w:pPr>
    </w:p>
    <w:p>
      <w:pPr>
        <w:pStyle w:val="2"/>
        <w:ind w:firstLine="560"/>
        <w:rPr>
          <w:rFonts w:ascii="Times New Roman" w:hAnsi="Times New Roman" w:cs="Times New Roman"/>
        </w:rPr>
      </w:pP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2" o:spid="_x0000_s1101" type="#_x0000_t75" style="position:absolute;left:0;margin-left:-7.4pt;margin-top:16.7pt;height:643.75pt;width:425.2pt;mso-wrap-distance-bottom:0pt;mso-wrap-distance-top:0pt;rotation:0f;z-index:251675648;" o:ole="f" fillcolor="#FFFFFF" filled="f" o:preferrelative="t" stroked="f" coordorigin="0,0" coordsize="21600,21600">
            <v:fill on="f" color2="#FFFFFF" focus="0%"/>
            <v:imagedata gain="65536f" blacklevel="0f" gamma="0" o:title="" r:id="rId25"/>
            <o:lock v:ext="edit" position="f" selection="f" grouping="f" rotation="f" cropping="f" text="f" aspectratio="t"/>
            <w10:wrap type="topAndBottom"/>
          </v:shape>
        </w:pict>
      </w:r>
    </w:p>
    <w:p>
      <w:pPr>
        <w:pStyle w:val="2"/>
        <w:ind w:firstLine="56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59" w:name="_Toc13268"/>
      <w:r>
        <w:rPr>
          <w:rFonts w:ascii="Times New Roman" w:hAnsi="Times New Roman" w:cs="Times New Roman"/>
        </w:rPr>
        <w:t>附件三：环境影响评价报告书批复</w:t>
      </w:r>
      <w:bookmarkEnd w:id="59"/>
    </w:p>
    <w:p>
      <w:pPr>
        <w:jc w:val="cente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20" o:spid="_x0000_s1102" type="#_x0000_t75" style="position:absolute;left:0;margin-left:13.25pt;margin-top:11.5pt;height:589.85pt;width:396.85pt;mso-wrap-distance-bottom:0pt;mso-wrap-distance-top:0pt;rotation:0f;z-index:251671552;" o:ole="f" fillcolor="#FFFFFF" filled="f" o:preferrelative="t" stroked="f" coordorigin="0,0" coordsize="21600,21600">
            <v:fill on="f" color2="#FFFFFF" focus="0%"/>
            <v:imagedata croptop="8293f" cropright="3647f" cropbottom="5319f" gain="65536f" blacklevel="0f" gamma="0" o:title="" r:id="rId26"/>
            <o:lock v:ext="edit" position="f" selection="f" grouping="f" rotation="f" cropping="f" text="f" aspectratio="t"/>
            <w10:wrap type="topAndBottom"/>
          </v:shape>
        </w:pict>
      </w:r>
    </w:p>
    <w:p>
      <w:pPr>
        <w:jc w:val="center"/>
        <w:rPr>
          <w:rFonts w:ascii="Times New Roman" w:hAnsi="Times New Roman" w:cs="Times New Roman"/>
        </w:rPr>
      </w:pP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21" o:spid="_x0000_s1103" type="#_x0000_t75" style="position:absolute;left:0;margin-left:-3.2pt;margin-top:7.9pt;height:609.7pt;width:425.2pt;mso-wrap-distance-bottom:0pt;mso-wrap-distance-top:0pt;rotation:0f;z-index:251672576;" o:ole="f" fillcolor="#FFFFFF" filled="f" o:preferrelative="t" stroked="f" coordorigin="0,0" coordsize="21600,21600">
            <v:fill on="f" color2="#FFFFFF" focus="0%"/>
            <v:imagedata cropleft="2938f" croptop="6463f" cropbottom="8407f" gain="65536f" blacklevel="0f" gamma="0" o:title="" r:id="rId27"/>
            <o:lock v:ext="edit" position="f" selection="f" grouping="f" rotation="f" cropping="f" text="f" aspectratio="t"/>
            <w10:wrap type="topAndBottom"/>
          </v:shape>
        </w:pict>
      </w:r>
    </w:p>
    <w:p>
      <w:pPr>
        <w:pStyle w:val="2"/>
        <w:ind w:firstLine="560"/>
        <w:rPr>
          <w:rFonts w:ascii="Times New Roman" w:hAnsi="Times New Roman" w:cs="Times New Roman"/>
        </w:rPr>
      </w:pPr>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22" o:spid="_x0000_s1104" type="#_x0000_t75" style="position:absolute;left:0;margin-left:-6pt;margin-top:17.3pt;height:617.2pt;width:425.2pt;mso-wrap-distance-bottom:0pt;mso-wrap-distance-top:0pt;rotation:0f;z-index:251673600;" o:ole="f" fillcolor="#FFFFFF" filled="f" o:preferrelative="t" stroked="f" coordorigin="0,0" coordsize="21600,21600">
            <v:fill on="f" color2="#FFFFFF" focus="0%"/>
            <v:imagedata croptop="6806f" cropbottom="5033f" gain="65536f" blacklevel="0f" gamma="0" o:title="" r:id="rId28"/>
            <o:lock v:ext="edit" position="f" selection="f" grouping="f" rotation="f" cropping="f" text="f" aspectratio="t"/>
            <w10:wrap type="topAndBottom"/>
          </v:shape>
        </w:pict>
      </w: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60" w:name="_Toc3661"/>
      <w:r>
        <w:rPr>
          <w:rFonts w:ascii="Times New Roman" w:hAnsi="Times New Roman" w:cs="Times New Roman"/>
        </w:rPr>
        <w:t>附件四：交工验收证书</w:t>
      </w:r>
      <w:bookmarkEnd w:id="60"/>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3" o:spid="_x0000_s1105" type="#_x0000_t75" style="position:absolute;left:0;margin-left:-2.4pt;margin-top:19.5pt;height:599.7pt;width:425.2pt;mso-wrap-distance-bottom:0pt;mso-wrap-distance-top:0pt;rotation:0f;z-index:251676672;" o:ole="f" fillcolor="#FFFFFF" filled="f" o:preferrelative="t" stroked="f" coordorigin="0,0" coordsize="21600,21600">
            <v:fill on="f" color2="#FFFFFF" focus="0%"/>
            <v:imagedata gain="65536f" blacklevel="0f" gamma="0" o:title="" r:id="rId29"/>
            <o:lock v:ext="edit" position="f" selection="f" grouping="f" rotation="f" cropping="f" text="f" aspectratio="t"/>
            <w10:wrap type="topAndBottom"/>
          </v:shape>
        </w:pict>
      </w: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4" o:spid="_x0000_s1106" type="#_x0000_t75" style="position:absolute;left:0;margin-left:-5.6pt;margin-top:25.1pt;height:646.65pt;width:425.2pt;mso-wrap-distance-bottom:0pt;mso-wrap-distance-top:0pt;rotation:0f;z-index:251677696;" o:ole="f" fillcolor="#FFFFFF" filled="f" o:preferrelative="t" stroked="f" coordorigin="0,0" coordsize="21600,21600">
            <v:fill on="f" color2="#FFFFFF" focus="0%"/>
            <v:imagedata gain="65536f" blacklevel="0f" gamma="0" o:title="" r:id="rId30"/>
            <o:lock v:ext="edit" position="f" selection="f" grouping="f" rotation="f" cropping="f" text="f" aspectratio="t"/>
            <w10:wrap type="topAndBottom"/>
          </v:shape>
        </w:pict>
      </w:r>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5" o:spid="_x0000_s1107" type="#_x0000_t75" style="position:absolute;left:0;margin-left:-5.4pt;margin-top:14.3pt;height:558.1pt;width:425.2pt;mso-wrap-distance-bottom:0pt;mso-wrap-distance-top:0pt;rotation:0f;z-index:251678720;" o:ole="f" fillcolor="#FFFFFF" filled="f" o:preferrelative="t" stroked="f" coordorigin="0,0" coordsize="21600,21600">
            <v:fill on="f" color2="#FFFFFF" focus="0%"/>
            <v:imagedata gain="65536f" blacklevel="0f" gamma="0" o:title="" r:id="rId31"/>
            <o:lock v:ext="edit" position="f" selection="f" grouping="f" rotation="f" cropping="f" text="f" aspectratio="t"/>
            <w10:wrap type="topAndBottom"/>
          </v:shape>
        </w:pict>
      </w:r>
    </w:p>
    <w:p>
      <w:pPr>
        <w:pStyle w:val="2"/>
        <w:ind w:firstLine="560"/>
        <w:rPr>
          <w:rFonts w:ascii="Times New Roman" w:hAnsi="Times New Roman" w:cs="Times New Roman"/>
        </w:rPr>
      </w:pPr>
    </w:p>
    <w:p>
      <w:pPr>
        <w:rPr>
          <w:rFonts w:ascii="Times New Roman" w:hAnsi="Times New Roman" w:cs="Times New Roman"/>
        </w:rPr>
      </w:pPr>
    </w:p>
    <w:p>
      <w:pPr>
        <w:pStyle w:val="2"/>
        <w:ind w:firstLine="560"/>
        <w:rPr>
          <w:rFonts w:ascii="Times New Roman" w:hAnsi="Times New Roman" w:cs="Times New Roman"/>
        </w:rPr>
      </w:pPr>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6" o:spid="_x0000_s1108" type="#_x0000_t75" style="position:absolute;left:0;margin-left:-3pt;margin-top:15.5pt;height:585.3pt;width:425.2pt;mso-wrap-distance-bottom:0pt;mso-wrap-distance-top:0pt;rotation:0f;z-index:251679744;" o:ole="f" fillcolor="#FFFFFF" filled="f" o:preferrelative="t" stroked="f" coordorigin="0,0" coordsize="21600,21600">
            <v:fill on="f" color2="#FFFFFF" focus="0%"/>
            <v:imagedata gain="65536f" blacklevel="0f" gamma="0" o:title="" r:id="rId32"/>
            <o:lock v:ext="edit" position="f" selection="f" grouping="f" rotation="f" cropping="f" text="f" aspectratio="t"/>
            <w10:wrap type="topAndBottom"/>
          </v:shape>
        </w:pict>
      </w:r>
    </w:p>
    <w:p>
      <w:pPr>
        <w:pStyle w:val="2"/>
        <w:ind w:firstLine="560"/>
        <w:rPr>
          <w:rFonts w:ascii="Times New Roman" w:hAnsi="Times New Roman" w:cs="Times New Roman"/>
        </w:rPr>
      </w:pPr>
    </w:p>
    <w:p>
      <w:pPr>
        <w:rPr>
          <w:rFonts w:ascii="Times New Roman" w:hAnsi="Times New Roman" w:cs="Times New Roman"/>
        </w:rPr>
      </w:pP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7" o:spid="_x0000_s1109" type="#_x0000_t75" style="position:absolute;left:0;margin-left:-6.2pt;margin-top:12.5pt;height:574.85pt;width:425.2pt;mso-wrap-distance-bottom:0pt;mso-wrap-distance-top:0pt;rotation:0f;z-index:251680768;" o:ole="f" fillcolor="#FFFFFF" filled="f" o:preferrelative="t" stroked="f" coordorigin="0,0" coordsize="21600,21600">
            <v:fill on="f" color2="#FFFFFF" focus="0%"/>
            <v:imagedata gain="65536f" blacklevel="0f" gamma="0" o:title="" r:id="rId33"/>
            <o:lock v:ext="edit" position="f" selection="f" grouping="f" rotation="f" cropping="f" text="f" aspectratio="t"/>
            <w10:wrap type="topAndBottom"/>
          </v:shape>
        </w:pict>
      </w:r>
    </w:p>
    <w:p>
      <w:pPr>
        <w:rPr>
          <w:rFonts w:ascii="Times New Roman" w:hAnsi="Times New Roman" w:cs="Times New Roman"/>
        </w:rPr>
      </w:pPr>
    </w:p>
    <w:p>
      <w:pPr>
        <w:rPr>
          <w:rFonts w:ascii="Times New Roman" w:hAnsi="Times New Roman" w:cs="Times New Roman"/>
        </w:rPr>
      </w:pP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8" o:spid="_x0000_s1110" type="#_x0000_t75" style="position:absolute;left:0;margin-left:-5.6pt;margin-top:14.3pt;height:595.4pt;width:425.2pt;mso-wrap-distance-bottom:0pt;mso-wrap-distance-top:0pt;rotation:0f;z-index:251681792;" o:ole="f" fillcolor="#FFFFFF" filled="f" o:preferrelative="t" stroked="f" coordorigin="0,0" coordsize="21600,21600">
            <v:fill on="f" color2="#FFFFFF" focus="0%"/>
            <v:imagedata gain="65536f" blacklevel="0f" gamma="0" o:title="" r:id="rId34"/>
            <o:lock v:ext="edit" position="f" selection="f" grouping="f" rotation="f" cropping="f" text="f" aspectratio="t"/>
            <w10:wrap type="topAndBottom"/>
          </v:shape>
        </w:pict>
      </w:r>
    </w:p>
    <w:p>
      <w:pPr>
        <w:rPr>
          <w:rFonts w:ascii="Times New Roman" w:hAnsi="Times New Roman" w:cs="Times New Roman"/>
        </w:rPr>
      </w:pP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9" o:spid="_x0000_s1111" type="#_x0000_t75" style="position:absolute;left:0;margin-left:-4.4pt;margin-top:14.9pt;height:593.2pt;width:425.2pt;mso-wrap-distance-bottom:0pt;mso-wrap-distance-top:0pt;rotation:0f;z-index:251682816;" o:ole="f" fillcolor="#FFFFFF" filled="f" o:preferrelative="t" stroked="f" coordorigin="0,0" coordsize="21600,21600">
            <v:fill on="f" color2="#FFFFFF" focus="0%"/>
            <v:imagedata gain="65536f" blacklevel="0f" gamma="0" o:title="" r:id="rId35"/>
            <o:lock v:ext="edit" position="f" selection="f" grouping="f" rotation="f" cropping="f" text="f" aspectratio="t"/>
            <w10:wrap type="topAndBottom"/>
          </v:shape>
        </w:pict>
      </w:r>
    </w:p>
    <w:p>
      <w:pPr>
        <w:pStyle w:val="2"/>
        <w:ind w:firstLine="560"/>
        <w:rPr>
          <w:rFonts w:ascii="Times New Roman" w:hAnsi="Times New Roman" w:cs="Times New Roman"/>
        </w:rPr>
      </w:pPr>
    </w:p>
    <w:p>
      <w:pPr>
        <w:pStyle w:val="2"/>
        <w:ind w:firstLine="56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61" w:name="_Toc3063"/>
      <w:r>
        <w:rPr>
          <w:rFonts w:ascii="Times New Roman" w:hAnsi="Times New Roman" w:cs="Times New Roman"/>
        </w:rPr>
        <w:t>附件五：30t合金熔化炉调试验收报告</w:t>
      </w:r>
      <w:bookmarkEnd w:id="61"/>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0" o:spid="_x0000_s1112" type="#_x0000_t75" style="position:absolute;left:0;margin-left:-5.4pt;margin-top:16.5pt;height:608.3pt;width:425.2pt;mso-wrap-distance-bottom:0pt;mso-wrap-distance-top:0pt;rotation:0f;z-index:251683840;" o:ole="f" fillcolor="#FFFFFF" filled="f" o:preferrelative="t" stroked="f" coordorigin="0,0" coordsize="21600,21600">
            <v:fill on="f" color2="#FFFFFF" focus="0%"/>
            <v:imagedata gain="65536f" blacklevel="0f" gamma="0" o:title="" r:id="rId36"/>
            <o:lock v:ext="edit" position="f" selection="f" grouping="f" rotation="f" cropping="f" text="f" aspectratio="t"/>
            <w10:wrap type="topAndBottom"/>
          </v:shape>
        </w:pict>
      </w: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1" o:spid="_x0000_s1113" type="#_x0000_t75" style="position:absolute;left:0;margin-left:-5.6pt;margin-top:22.1pt;height:598.75pt;width:425.2pt;mso-wrap-distance-bottom:0pt;mso-wrap-distance-top:0pt;rotation:0f;z-index:251684864;" o:ole="f" fillcolor="#FFFFFF" filled="f" o:preferrelative="t" stroked="f" coordorigin="0,0" coordsize="21600,21600">
            <v:fill on="f" color2="#FFFFFF" focus="0%"/>
            <v:imagedata gain="65536f" blacklevel="0f" gamma="0" o:title="" r:id="rId37"/>
            <o:lock v:ext="edit" position="f" selection="f" grouping="f" rotation="f" cropping="f" text="f" aspectratio="t"/>
            <w10:wrap type="topAndBottom"/>
          </v:shape>
        </w:pict>
      </w:r>
    </w:p>
    <w:p>
      <w:pPr>
        <w:rPr>
          <w:rFonts w:ascii="Times New Roman" w:hAnsi="Times New Roman" w:cs="Times New Roman"/>
        </w:rPr>
      </w:pP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2" o:spid="_x0000_s1114" type="#_x0000_t75" style="position:absolute;left:0;margin-left:-4.4pt;margin-top:23.9pt;height:615.8pt;width:425.2pt;mso-wrap-distance-bottom:0pt;mso-wrap-distance-top:0pt;rotation:0f;z-index:251685888;" o:ole="f" fillcolor="#FFFFFF" filled="f" o:preferrelative="t" stroked="f" coordorigin="0,0" coordsize="21600,21600">
            <v:fill on="f" color2="#FFFFFF" focus="0%"/>
            <v:imagedata gain="65536f" blacklevel="0f" gamma="0" o:title="" r:id="rId38"/>
            <o:lock v:ext="edit" position="f" selection="f" grouping="f" rotation="f" cropping="f" text="f" aspectratio="t"/>
            <w10:wrap type="topAndBottom"/>
          </v:shape>
        </w:pict>
      </w:r>
    </w:p>
    <w:p>
      <w:pPr>
        <w:pStyle w:val="2"/>
        <w:ind w:firstLine="56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62" w:name="_Toc16679"/>
      <w:r>
        <w:rPr>
          <w:rFonts w:ascii="Times New Roman" w:hAnsi="Times New Roman" w:cs="Times New Roman"/>
        </w:rPr>
        <w:t>附件六：除尘器功能验收报告</w:t>
      </w:r>
      <w:bookmarkEnd w:id="62"/>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35" o:spid="_x0000_s1115" type="#_x0000_t75" style="position:absolute;left:0;margin-left:-6pt;margin-top:19pt;height:601.05pt;width:425.2pt;mso-wrap-distance-bottom:0pt;mso-wrap-distance-top:0pt;rotation:0f;z-index:251686912;" o:ole="f" fillcolor="#FFFFFF" filled="f" o:preferrelative="t" stroked="f" coordorigin="0,0" coordsize="21600,21600">
            <v:fill on="f" color2="#FFFFFF" focus="0%"/>
            <v:imagedata gain="65536f" blacklevel="0f" gamma="0" o:title="" r:id="rId39"/>
            <o:lock v:ext="edit" position="f" selection="f" grouping="f" rotation="f" cropping="f" text="f" aspectratio="t"/>
            <w10:wrap type="topAndBottom"/>
          </v:shape>
        </w:pict>
      </w:r>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36" o:spid="_x0000_s1116" type="#_x0000_t75" style="position:absolute;left:0;margin-left:-5.4pt;margin-top:23.3pt;height:601.05pt;width:425.2pt;mso-wrap-distance-bottom:0pt;mso-wrap-distance-top:0pt;rotation:0f;z-index:251687936;" o:ole="f" fillcolor="#FFFFFF" filled="f" o:preferrelative="t" stroked="f" coordorigin="0,0" coordsize="21600,21600">
            <v:fill on="f" color2="#FFFFFF" focus="0%"/>
            <v:imagedata gain="65536f" blacklevel="0f" gamma="0" o:title="" r:id="rId40"/>
            <o:lock v:ext="edit" position="f" selection="f" grouping="f" rotation="f" cropping="f" text="f" aspectratio="t"/>
            <w10:wrap type="topAndBottom"/>
          </v:shape>
        </w:pict>
      </w:r>
    </w:p>
    <w:p>
      <w:pPr>
        <w:rPr>
          <w:rFonts w:ascii="Times New Roman" w:hAnsi="Times New Roman" w:cs="Times New Roman"/>
        </w:rPr>
      </w:pPr>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37" o:spid="_x0000_s1117" type="#_x0000_t75" style="position:absolute;left:0;margin-left:-6pt;margin-top:22.1pt;height:601.05pt;width:425.2pt;mso-wrap-distance-bottom:0pt;mso-wrap-distance-top:0pt;rotation:0f;z-index:251688960;" o:ole="f" fillcolor="#FFFFFF" filled="f" o:preferrelative="t" stroked="f" coordorigin="0,0" coordsize="21600,21600">
            <v:fill on="f" color2="#FFFFFF" focus="0%"/>
            <v:imagedata gain="65536f" blacklevel="0f" gamma="0" o:title="" r:id="rId41"/>
            <o:lock v:ext="edit" position="f" selection="f" grouping="f" rotation="f" cropping="f" text="f" aspectratio="t"/>
            <w10:wrap type="topAndBottom"/>
          </v:shape>
        </w:pict>
      </w:r>
    </w:p>
    <w:p>
      <w:pPr>
        <w:rPr>
          <w:rFonts w:ascii="Times New Roman" w:hAnsi="Times New Roman" w:cs="Times New Roman"/>
        </w:rPr>
      </w:pPr>
    </w:p>
    <w:p>
      <w:pPr>
        <w:pStyle w:val="2"/>
        <w:ind w:firstLine="56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63" w:name="_Toc22210"/>
      <w:r>
        <w:rPr>
          <w:rFonts w:hint="eastAsia" w:ascii="等线 Light" w:hAnsi="等线 Light" w:eastAsia="宋体" w:cs="黑体"/>
          <w:b/>
          <w:bCs/>
          <w:kern w:val="2"/>
          <w:sz w:val="30"/>
          <w:szCs w:val="32"/>
          <w:lang w:val="en-US" w:eastAsia="zh-CN" w:bidi="ar-SA"/>
        </w:rPr>
        <w:pict>
          <v:shape id="图片 20" o:spid="_x0000_s1118" type="#_x0000_t75" style="position:absolute;left:0;margin-top:37.1pt;height:377.35pt;width:538.6pt;mso-position-horizontal:center;mso-position-horizontal-relative:margin;mso-wrap-distance-bottom:0pt;mso-wrap-distance-top:0pt;rotation:0f;z-index:251697152;" o:ole="f" fillcolor="#FFFFFF" filled="f" o:preferrelative="t" stroked="f" coordorigin="0,0" coordsize="21600,21600">
            <v:fill on="f" color2="#FFFFFF" focus="0%"/>
            <v:imagedata gain="65536f" blacklevel="0f" gamma="0" o:title="" r:id="rId42"/>
            <o:lock v:ext="edit" position="f" selection="f" grouping="f" rotation="f" cropping="f" text="f" aspectratio="t"/>
            <w10:wrap type="topAndBottom"/>
          </v:shape>
        </w:pict>
      </w:r>
      <w:r>
        <w:rPr>
          <w:rFonts w:ascii="Times New Roman" w:hAnsi="Times New Roman" w:cs="Times New Roman"/>
        </w:rPr>
        <w:t>附件七：排污许可证</w:t>
      </w:r>
      <w:bookmarkEnd w:id="63"/>
    </w:p>
    <w:p>
      <w:pPr>
        <w:pStyle w:val="2"/>
        <w:ind w:firstLine="0" w:firstLineChars="0"/>
        <w:sectPr>
          <w:pgSz w:w="16838" w:h="11906" w:orient="landscape"/>
          <w:pgMar w:top="1800" w:right="1440" w:bottom="1800" w:left="1440" w:header="851" w:footer="992" w:gutter="0"/>
          <w:cols w:space="720" w:num="1"/>
          <w:docGrid w:type="lines" w:linePitch="312" w:charSpace="0"/>
        </w:sectPr>
      </w:pPr>
    </w:p>
    <w:p>
      <w:pPr>
        <w:pStyle w:val="4"/>
        <w:rPr>
          <w:rFonts w:ascii="Times New Roman" w:hAnsi="Times New Roman" w:cs="Times New Roman"/>
        </w:rPr>
      </w:pPr>
      <w:bookmarkStart w:id="64" w:name="_Toc30557"/>
      <w:r>
        <w:rPr>
          <w:rFonts w:ascii="Times New Roman" w:hAnsi="Times New Roman" w:cs="Times New Roman"/>
        </w:rPr>
        <w:t>附件八：工程情况说明</w:t>
      </w:r>
      <w:bookmarkEnd w:id="64"/>
    </w:p>
    <w:p>
      <w:pPr>
        <w:jc w:val="center"/>
        <w:rPr>
          <w:rFonts w:ascii="Times New Roman" w:hAnsi="Times New Roman" w:cs="Times New Roman"/>
          <w:b/>
          <w:bCs/>
          <w:sz w:val="30"/>
          <w:szCs w:val="30"/>
        </w:rPr>
      </w:pPr>
    </w:p>
    <w:p>
      <w:pPr>
        <w:jc w:val="center"/>
        <w:rPr>
          <w:rFonts w:ascii="Times New Roman" w:hAnsi="Times New Roman" w:cs="Times New Roman"/>
          <w:b/>
          <w:bCs/>
          <w:sz w:val="30"/>
          <w:szCs w:val="30"/>
        </w:rPr>
      </w:pPr>
      <w:r>
        <w:rPr>
          <w:rFonts w:ascii="Times New Roman" w:hAnsi="Times New Roman" w:cs="Times New Roman"/>
          <w:b/>
          <w:bCs/>
          <w:sz w:val="30"/>
          <w:szCs w:val="30"/>
        </w:rPr>
        <w:t>关于炼钢一厂降噪减排综合治理改造项目</w:t>
      </w:r>
    </w:p>
    <w:p>
      <w:pPr>
        <w:jc w:val="center"/>
        <w:rPr>
          <w:rFonts w:ascii="Times New Roman" w:hAnsi="Times New Roman" w:cs="Times New Roman"/>
          <w:b/>
          <w:bCs/>
          <w:sz w:val="30"/>
          <w:szCs w:val="30"/>
        </w:rPr>
      </w:pPr>
      <w:r>
        <w:rPr>
          <w:rFonts w:ascii="Times New Roman" w:hAnsi="Times New Roman" w:cs="Times New Roman"/>
          <w:b/>
          <w:bCs/>
          <w:sz w:val="30"/>
          <w:szCs w:val="30"/>
        </w:rPr>
        <w:t>工程的情况说明</w:t>
      </w:r>
    </w:p>
    <w:p>
      <w:pPr>
        <w:jc w:val="left"/>
        <w:rPr>
          <w:rFonts w:ascii="Times New Roman" w:hAnsi="Times New Roman" w:cs="Times New Roman"/>
          <w:szCs w:val="28"/>
        </w:rPr>
      </w:pPr>
    </w:p>
    <w:p>
      <w:pPr>
        <w:ind w:firstLine="560" w:firstLineChars="200"/>
        <w:jc w:val="left"/>
        <w:rPr>
          <w:rFonts w:ascii="Times New Roman" w:hAnsi="Times New Roman" w:cs="Times New Roman"/>
          <w:szCs w:val="28"/>
        </w:rPr>
      </w:pPr>
      <w:r>
        <w:rPr>
          <w:rFonts w:ascii="Times New Roman" w:hAnsi="Times New Roman" w:cs="Times New Roman"/>
          <w:szCs w:val="28"/>
        </w:rPr>
        <w:t>炼钢一厂“不锈钢线降噪减排综合治理项目”于2018年6月21日下发投资，工程编号：2018不锈环技7#。投资计划7393.77万元，2019年8月1日调整为9362.99万元。其中，设备费4341.71万元，建安费4653.43万元，其它费367.85万元。项目主要内容：1、将电炉跨厂房南延长42米，迁建炉壳修砌工位至南延厂房内。2、在现有炉壳修砌工位建设一座30t双工位合金熔化装置，配套建设除尘器系统及半密封除尘罩、上料及1台90t冶金液体桥式起重机等相关辅助设施。3、配套建设连铸跨到电炉跨钢包过跨线，并增设旋转过跨车。合金熔化装置用电从公司12降新铺设35KV一趟电缆到合金熔化装置变压器。4、对现有90吨电炉除尘进行超低排放改造。</w:t>
      </w:r>
    </w:p>
    <w:p>
      <w:pPr>
        <w:ind w:firstLine="564"/>
        <w:jc w:val="left"/>
        <w:rPr>
          <w:rFonts w:ascii="Times New Roman" w:hAnsi="Times New Roman" w:cs="Times New Roman"/>
          <w:szCs w:val="28"/>
        </w:rPr>
      </w:pPr>
      <w:r>
        <w:rPr>
          <w:rFonts w:ascii="Times New Roman" w:hAnsi="Times New Roman" w:eastAsia="宋体" w:cs="Times New Roman"/>
          <w:kern w:val="0"/>
          <w:sz w:val="24"/>
          <w:szCs w:val="24"/>
          <w:lang w:val="en-US" w:eastAsia="zh-CN" w:bidi="ar-SA"/>
        </w:rPr>
        <w:pict>
          <v:shape id="图片 139" o:spid="_x0000_s1119" type="#_x0000_t75" style="position:absolute;left:0;margin-left:273.6pt;margin-top:92.95pt;height:113.25pt;width:113.25pt;rotation:0f;z-index:-251658240;" o:ole="f" fillcolor="#FFFFFF" filled="f" o:preferrelative="t" stroked="f" coordorigin="0,0" coordsize="21600,21600">
            <v:fill on="f" color2="#FFFFFF" focus="0%"/>
            <v:imagedata gain="65536f" blacklevel="0f" gamma="0" o:title="" r:id="rId43"/>
            <o:lock v:ext="edit" position="f" selection="f" grouping="f" rotation="f" cropping="f" text="f" aspectratio="t"/>
          </v:shape>
        </w:pict>
      </w:r>
      <w:r>
        <w:rPr>
          <w:rFonts w:ascii="Times New Roman" w:hAnsi="Times New Roman" w:cs="Times New Roman"/>
          <w:szCs w:val="28"/>
        </w:rPr>
        <w:t>在项目实施过程中，结合环境影响报告书和批复文件，核实工程实施情况，全部按照可研报告和初步设计施工。工程无变动，无变更。特此说明。</w:t>
      </w:r>
    </w:p>
    <w:p>
      <w:pPr>
        <w:ind w:firstLine="564"/>
        <w:jc w:val="left"/>
        <w:rPr>
          <w:rFonts w:ascii="Times New Roman" w:hAnsi="Times New Roman" w:cs="Times New Roman"/>
          <w:szCs w:val="28"/>
        </w:rPr>
      </w:pPr>
    </w:p>
    <w:p>
      <w:pPr>
        <w:ind w:firstLine="564"/>
        <w:jc w:val="left"/>
        <w:rPr>
          <w:rFonts w:ascii="Times New Roman" w:hAnsi="Times New Roman" w:cs="Times New Roman"/>
          <w:szCs w:val="28"/>
        </w:rPr>
      </w:pPr>
    </w:p>
    <w:p>
      <w:pPr>
        <w:ind w:firstLine="564"/>
        <w:jc w:val="left"/>
        <w:rPr>
          <w:rFonts w:ascii="Times New Roman" w:hAnsi="Times New Roman" w:cs="Times New Roman"/>
          <w:szCs w:val="28"/>
        </w:rPr>
      </w:pPr>
      <w:r>
        <w:rPr>
          <w:rFonts w:ascii="Times New Roman" w:hAnsi="Times New Roman" w:cs="Times New Roman"/>
          <w:szCs w:val="28"/>
        </w:rPr>
        <w:t>　　　　　　　　　　　　　　　　　炼钢一厂项目部</w:t>
      </w:r>
    </w:p>
    <w:p>
      <w:pPr>
        <w:ind w:firstLine="5320" w:firstLineChars="1900"/>
        <w:jc w:val="left"/>
        <w:rPr>
          <w:rFonts w:ascii="Times New Roman" w:hAnsi="Times New Roman" w:cs="Times New Roman"/>
          <w:szCs w:val="28"/>
        </w:rPr>
      </w:pPr>
      <w:r>
        <w:rPr>
          <w:rFonts w:ascii="Times New Roman" w:hAnsi="Times New Roman" w:cs="Times New Roman"/>
          <w:szCs w:val="28"/>
        </w:rPr>
        <w:t>2021年6月15日</w:t>
      </w:r>
    </w:p>
    <w:p>
      <w:pPr>
        <w:pStyle w:val="2"/>
        <w:ind w:firstLine="560"/>
        <w:rPr>
          <w:rFonts w:ascii="Times New Roman" w:hAnsi="Times New Roman" w:cs="Times New Roman"/>
        </w:rPr>
      </w:pPr>
    </w:p>
    <w:p>
      <w:pPr>
        <w:rPr>
          <w:rFonts w:ascii="Times New Roman" w:hAnsi="Times New Roman" w:cs="Times New Roman"/>
        </w:rPr>
      </w:pPr>
    </w:p>
    <w:p>
      <w:pPr>
        <w:pStyle w:val="2"/>
        <w:ind w:firstLine="560"/>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65" w:name="_Toc11892"/>
      <w:r>
        <w:rPr>
          <w:rFonts w:ascii="Times New Roman" w:hAnsi="Times New Roman" w:cs="Times New Roman"/>
        </w:rPr>
        <w:t>附件九：监测报告</w:t>
      </w:r>
      <w:bookmarkEnd w:id="65"/>
    </w:p>
    <w:p>
      <w:pPr>
        <w:pStyle w:val="2"/>
        <w:ind w:firstLine="560"/>
        <w:rPr>
          <w:rFonts w:ascii="Times New Roman" w:hAnsi="Times New Roman" w:cs="Times New Roma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rPr>
        <w:rFonts w:cs="Tahoma"/>
      </w:rPr>
    </w:pPr>
    <w:r>
      <w:rPr>
        <w:rFonts w:ascii="等线" w:hAnsi="等线" w:eastAsia="宋体" w:cs="Calibri"/>
        <w:kern w:val="2"/>
        <w:sz w:val="18"/>
        <w:szCs w:val="18"/>
        <w:lang w:val="en-US" w:eastAsia="zh-CN" w:bidi="ar-SA"/>
      </w:rPr>
      <w:pict>
        <v:rect id="文本框 10" o:spid="_x0000_s1025" style="position:absolute;left:0;margin-top:0pt;height:16.5pt;width:8.15pt;mso-position-horizontal:center;mso-position-horizontal-relative:margin;mso-wrap-style:none;rotation:0f;z-index:251659264;"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15"/>
                  <w:rPr>
                    <w:rFonts w:cs="Tahoma"/>
                  </w:rPr>
                </w:pP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pPr>
    <w:r>
      <w:rPr>
        <w:rFonts w:ascii="等线" w:hAnsi="等线" w:eastAsia="宋体" w:cs="黑体"/>
        <w:kern w:val="2"/>
        <w:sz w:val="18"/>
        <w:szCs w:val="18"/>
        <w:lang w:val="en-US" w:eastAsia="zh-CN" w:bidi="ar-SA"/>
      </w:rPr>
      <w:pict>
        <v:rect id="文本框 118" o:spid="_x0000_s1026" style="position:absolute;left:0;margin-top:0pt;height:144pt;width:144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15"/>
                </w:pPr>
                <w:r>
                  <w:fldChar w:fldCharType="begin"/>
                </w:r>
                <w:r>
                  <w:instrText xml:space="preserve"> PAGE  \* MERGEFORMAT </w:instrText>
                </w:r>
                <w:r>
                  <w:fldChar w:fldCharType="separate"/>
                </w:r>
                <w:r>
                  <w:t>2</w:t>
                </w:r>
                <w:r>
                  <w:fldChar w:fldCharType="end"/>
                </w:r>
              </w:p>
            </w:txbxContent>
          </v:textbox>
        </v:rect>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jc w:val="center"/>
    </w:pPr>
    <w:r>
      <w:fldChar w:fldCharType="begin"/>
    </w:r>
    <w:r>
      <w:instrText xml:space="preserve">PAGE   \* MERGEFORMAT</w:instrText>
    </w:r>
    <w:r>
      <w:fldChar w:fldCharType="separate"/>
    </w:r>
    <w:r>
      <w:rPr>
        <w:lang w:val="zh-CN"/>
      </w:rPr>
      <w:t>49</w:t>
    </w:r>
    <w:r>
      <w:fldChar w:fldCharType="end"/>
    </w: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rPr>
        <w:sz w:val="18"/>
        <w:szCs w:val="18"/>
      </w:rPr>
    </w:pPr>
    <w:r>
      <w:rPr>
        <w:rFonts w:hint="eastAsia"/>
        <w:sz w:val="18"/>
        <w:szCs w:val="18"/>
      </w:rPr>
      <w:t>山西太钢不锈钢股份有限公司不锈钢生产线降噪减排综合治理改造项目</w:t>
    </w:r>
  </w:p>
  <w:p>
    <w:pPr>
      <w:pStyle w:val="16"/>
      <w:jc w:val="both"/>
    </w:pPr>
    <w:r>
      <w:rPr>
        <w:rFonts w:hint="eastAsia"/>
      </w:rPr>
      <w:t>竣工环境保护验收监测报告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40"/>
  <w:drawingGridVerticalSpacing w:val="381"/>
  <w:displayHorizontalDrawingGridEvery w:val="2"/>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6637CF"/>
    <w:rsid w:val="00014708"/>
    <w:rsid w:val="00015B02"/>
    <w:rsid w:val="00016D21"/>
    <w:rsid w:val="000268F9"/>
    <w:rsid w:val="00032556"/>
    <w:rsid w:val="00052E42"/>
    <w:rsid w:val="000577DB"/>
    <w:rsid w:val="00074701"/>
    <w:rsid w:val="00090C4E"/>
    <w:rsid w:val="000945E5"/>
    <w:rsid w:val="00095927"/>
    <w:rsid w:val="000F1140"/>
    <w:rsid w:val="000F3901"/>
    <w:rsid w:val="000F6DD0"/>
    <w:rsid w:val="00103D8F"/>
    <w:rsid w:val="00106C0E"/>
    <w:rsid w:val="00126A54"/>
    <w:rsid w:val="00143BAC"/>
    <w:rsid w:val="0016015C"/>
    <w:rsid w:val="00166774"/>
    <w:rsid w:val="001833CC"/>
    <w:rsid w:val="00184E99"/>
    <w:rsid w:val="0019038D"/>
    <w:rsid w:val="001A52BE"/>
    <w:rsid w:val="001D2075"/>
    <w:rsid w:val="001E61E9"/>
    <w:rsid w:val="0020396E"/>
    <w:rsid w:val="00211BD7"/>
    <w:rsid w:val="00212B6A"/>
    <w:rsid w:val="002152E4"/>
    <w:rsid w:val="00236CF9"/>
    <w:rsid w:val="0024533A"/>
    <w:rsid w:val="00253215"/>
    <w:rsid w:val="0026158F"/>
    <w:rsid w:val="00287D88"/>
    <w:rsid w:val="002C24D0"/>
    <w:rsid w:val="002D24B3"/>
    <w:rsid w:val="002D6682"/>
    <w:rsid w:val="002E03EA"/>
    <w:rsid w:val="002E074F"/>
    <w:rsid w:val="002E082B"/>
    <w:rsid w:val="002F338F"/>
    <w:rsid w:val="002F3EE1"/>
    <w:rsid w:val="002F5BCA"/>
    <w:rsid w:val="003026D0"/>
    <w:rsid w:val="00340488"/>
    <w:rsid w:val="00355112"/>
    <w:rsid w:val="00357189"/>
    <w:rsid w:val="003615FE"/>
    <w:rsid w:val="00394B97"/>
    <w:rsid w:val="003A44FF"/>
    <w:rsid w:val="003B1345"/>
    <w:rsid w:val="003B17D2"/>
    <w:rsid w:val="003D0C98"/>
    <w:rsid w:val="003E4895"/>
    <w:rsid w:val="003F4AAB"/>
    <w:rsid w:val="003F59D9"/>
    <w:rsid w:val="003F7821"/>
    <w:rsid w:val="00403EB2"/>
    <w:rsid w:val="00413662"/>
    <w:rsid w:val="00426E0A"/>
    <w:rsid w:val="00445D83"/>
    <w:rsid w:val="00453C0E"/>
    <w:rsid w:val="00474443"/>
    <w:rsid w:val="00492D1A"/>
    <w:rsid w:val="00496C10"/>
    <w:rsid w:val="004A0443"/>
    <w:rsid w:val="004C3E90"/>
    <w:rsid w:val="004D057E"/>
    <w:rsid w:val="004D61F7"/>
    <w:rsid w:val="004E7BEE"/>
    <w:rsid w:val="004F4566"/>
    <w:rsid w:val="00555F89"/>
    <w:rsid w:val="00556591"/>
    <w:rsid w:val="0055732F"/>
    <w:rsid w:val="00564875"/>
    <w:rsid w:val="005649F0"/>
    <w:rsid w:val="00573566"/>
    <w:rsid w:val="00574843"/>
    <w:rsid w:val="00576FB5"/>
    <w:rsid w:val="00592481"/>
    <w:rsid w:val="00593094"/>
    <w:rsid w:val="005A06BA"/>
    <w:rsid w:val="005A42C2"/>
    <w:rsid w:val="005B35EA"/>
    <w:rsid w:val="005D205A"/>
    <w:rsid w:val="005D4830"/>
    <w:rsid w:val="005D6D34"/>
    <w:rsid w:val="005E7AE8"/>
    <w:rsid w:val="005F18AD"/>
    <w:rsid w:val="005F2263"/>
    <w:rsid w:val="00605834"/>
    <w:rsid w:val="00612524"/>
    <w:rsid w:val="0063120A"/>
    <w:rsid w:val="0063184A"/>
    <w:rsid w:val="00631CFA"/>
    <w:rsid w:val="00661340"/>
    <w:rsid w:val="006637CF"/>
    <w:rsid w:val="00666A5A"/>
    <w:rsid w:val="00681056"/>
    <w:rsid w:val="0069013A"/>
    <w:rsid w:val="006A1363"/>
    <w:rsid w:val="006A50B0"/>
    <w:rsid w:val="006B0049"/>
    <w:rsid w:val="006B3FA3"/>
    <w:rsid w:val="006D3B2C"/>
    <w:rsid w:val="006E11FE"/>
    <w:rsid w:val="00721994"/>
    <w:rsid w:val="00733309"/>
    <w:rsid w:val="00741653"/>
    <w:rsid w:val="00754EDC"/>
    <w:rsid w:val="00775929"/>
    <w:rsid w:val="00793F9F"/>
    <w:rsid w:val="007A533C"/>
    <w:rsid w:val="007C359A"/>
    <w:rsid w:val="007E6E09"/>
    <w:rsid w:val="007F6FF5"/>
    <w:rsid w:val="00803C68"/>
    <w:rsid w:val="00830C67"/>
    <w:rsid w:val="008455FF"/>
    <w:rsid w:val="008527AD"/>
    <w:rsid w:val="00867286"/>
    <w:rsid w:val="008857D2"/>
    <w:rsid w:val="008A237B"/>
    <w:rsid w:val="008B4DAA"/>
    <w:rsid w:val="008D2302"/>
    <w:rsid w:val="008E565F"/>
    <w:rsid w:val="00922402"/>
    <w:rsid w:val="009234A5"/>
    <w:rsid w:val="009413BE"/>
    <w:rsid w:val="0098382A"/>
    <w:rsid w:val="0099097E"/>
    <w:rsid w:val="00993865"/>
    <w:rsid w:val="00995B6A"/>
    <w:rsid w:val="00995BC1"/>
    <w:rsid w:val="009A2CBE"/>
    <w:rsid w:val="009A79BB"/>
    <w:rsid w:val="009B2E83"/>
    <w:rsid w:val="009B365D"/>
    <w:rsid w:val="009D1DE5"/>
    <w:rsid w:val="00A112C1"/>
    <w:rsid w:val="00A417B3"/>
    <w:rsid w:val="00A4385F"/>
    <w:rsid w:val="00A6571B"/>
    <w:rsid w:val="00A73B44"/>
    <w:rsid w:val="00AA5771"/>
    <w:rsid w:val="00AA63D9"/>
    <w:rsid w:val="00AB31F1"/>
    <w:rsid w:val="00AB6EE3"/>
    <w:rsid w:val="00AD05E7"/>
    <w:rsid w:val="00AE539E"/>
    <w:rsid w:val="00B205AC"/>
    <w:rsid w:val="00B2191D"/>
    <w:rsid w:val="00B513D9"/>
    <w:rsid w:val="00B56E2B"/>
    <w:rsid w:val="00B65853"/>
    <w:rsid w:val="00B6748E"/>
    <w:rsid w:val="00B80E2C"/>
    <w:rsid w:val="00BA4DE4"/>
    <w:rsid w:val="00BA5937"/>
    <w:rsid w:val="00BB0690"/>
    <w:rsid w:val="00BB4D35"/>
    <w:rsid w:val="00BC01E0"/>
    <w:rsid w:val="00BC7CCE"/>
    <w:rsid w:val="00BD2E0F"/>
    <w:rsid w:val="00BD79DF"/>
    <w:rsid w:val="00BE318D"/>
    <w:rsid w:val="00C06604"/>
    <w:rsid w:val="00C26AE6"/>
    <w:rsid w:val="00C42A1E"/>
    <w:rsid w:val="00C71146"/>
    <w:rsid w:val="00C76AF1"/>
    <w:rsid w:val="00C8394A"/>
    <w:rsid w:val="00C9571F"/>
    <w:rsid w:val="00CB7257"/>
    <w:rsid w:val="00CC214C"/>
    <w:rsid w:val="00CC2234"/>
    <w:rsid w:val="00CC7B10"/>
    <w:rsid w:val="00CD1278"/>
    <w:rsid w:val="00CD6E02"/>
    <w:rsid w:val="00CE6291"/>
    <w:rsid w:val="00D043DE"/>
    <w:rsid w:val="00D04AE4"/>
    <w:rsid w:val="00D147C7"/>
    <w:rsid w:val="00D32A2C"/>
    <w:rsid w:val="00D405ED"/>
    <w:rsid w:val="00D70378"/>
    <w:rsid w:val="00D910C9"/>
    <w:rsid w:val="00D94D3D"/>
    <w:rsid w:val="00DA2C09"/>
    <w:rsid w:val="00DA49EA"/>
    <w:rsid w:val="00DB0C41"/>
    <w:rsid w:val="00DB48E8"/>
    <w:rsid w:val="00DF4A43"/>
    <w:rsid w:val="00DF60B2"/>
    <w:rsid w:val="00E01B7D"/>
    <w:rsid w:val="00E02118"/>
    <w:rsid w:val="00E025BC"/>
    <w:rsid w:val="00E052C8"/>
    <w:rsid w:val="00E20EB0"/>
    <w:rsid w:val="00E3099A"/>
    <w:rsid w:val="00E349C6"/>
    <w:rsid w:val="00E467E5"/>
    <w:rsid w:val="00E73F62"/>
    <w:rsid w:val="00E87BF5"/>
    <w:rsid w:val="00EA4ED4"/>
    <w:rsid w:val="00EB2888"/>
    <w:rsid w:val="00EB400F"/>
    <w:rsid w:val="00EC0F76"/>
    <w:rsid w:val="00EC154B"/>
    <w:rsid w:val="00EC187A"/>
    <w:rsid w:val="00ED1482"/>
    <w:rsid w:val="00EF32DC"/>
    <w:rsid w:val="00EF5309"/>
    <w:rsid w:val="00F070FA"/>
    <w:rsid w:val="00F17FB5"/>
    <w:rsid w:val="00F46CE0"/>
    <w:rsid w:val="00F80EEC"/>
    <w:rsid w:val="00F905B8"/>
    <w:rsid w:val="00F93F10"/>
    <w:rsid w:val="00FC72F5"/>
    <w:rsid w:val="00FD7821"/>
    <w:rsid w:val="00FE053D"/>
    <w:rsid w:val="00FF1AEB"/>
    <w:rsid w:val="00FF5CC2"/>
    <w:rsid w:val="00FF73B4"/>
    <w:rsid w:val="05B74771"/>
    <w:rsid w:val="13CE084B"/>
    <w:rsid w:val="23501321"/>
    <w:rsid w:val="2EA73FB6"/>
    <w:rsid w:val="2EB85BB2"/>
    <w:rsid w:val="39544075"/>
    <w:rsid w:val="3B642FB7"/>
    <w:rsid w:val="409A58CC"/>
    <w:rsid w:val="4DAF5FC2"/>
    <w:rsid w:val="55B967D9"/>
    <w:rsid w:val="5CD807DE"/>
    <w:rsid w:val="5E314767"/>
    <w:rsid w:val="62E5357B"/>
    <w:rsid w:val="6BE3312D"/>
    <w:rsid w:val="6E312ADE"/>
    <w:rsid w:val="6F492391"/>
    <w:rsid w:val="7146655B"/>
    <w:rsid w:val="741168E6"/>
    <w:rsid w:val="7C333A3C"/>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0" w:name="footnote text"/>
    <w:lsdException w:uiPriority="99" w:semiHidden="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99" w:semiHidden="0" w:name="Body Text"/>
    <w:lsdException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semiHidden="0" w:name="Date"/>
    <w:lsdException w:unhideWhenUsed="0" w:uiPriority="0" w:semiHidden="0" w:name="Body Text First Indent"/>
    <w:lsdException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20" w:lineRule="exact"/>
      <w:jc w:val="both"/>
    </w:pPr>
    <w:rPr>
      <w:rFonts w:ascii="等线" w:hAnsi="等线" w:eastAsia="宋体" w:cs="黑体"/>
      <w:kern w:val="2"/>
      <w:sz w:val="28"/>
      <w:szCs w:val="22"/>
      <w:lang w:val="en-US" w:eastAsia="zh-CN" w:bidi="ar-SA"/>
    </w:rPr>
  </w:style>
  <w:style w:type="paragraph" w:styleId="3">
    <w:name w:val="heading 1"/>
    <w:basedOn w:val="1"/>
    <w:next w:val="1"/>
    <w:link w:val="27"/>
    <w:qFormat/>
    <w:uiPriority w:val="9"/>
    <w:pPr>
      <w:keepNext/>
      <w:keepLines/>
      <w:outlineLvl w:val="0"/>
    </w:pPr>
    <w:rPr>
      <w:b/>
      <w:bCs/>
      <w:kern w:val="44"/>
      <w:sz w:val="32"/>
      <w:szCs w:val="44"/>
    </w:rPr>
  </w:style>
  <w:style w:type="paragraph" w:styleId="4">
    <w:name w:val="heading 2"/>
    <w:basedOn w:val="1"/>
    <w:next w:val="1"/>
    <w:link w:val="28"/>
    <w:unhideWhenUsed/>
    <w:qFormat/>
    <w:uiPriority w:val="9"/>
    <w:pPr>
      <w:keepNext/>
      <w:keepLines/>
      <w:outlineLvl w:val="1"/>
    </w:pPr>
    <w:rPr>
      <w:rFonts w:ascii="等线 Light" w:hAnsi="等线 Light" w:cs="黑体"/>
      <w:b/>
      <w:bCs/>
      <w:sz w:val="30"/>
      <w:szCs w:val="32"/>
    </w:rPr>
  </w:style>
  <w:style w:type="paragraph" w:styleId="5">
    <w:name w:val="heading 3"/>
    <w:basedOn w:val="1"/>
    <w:next w:val="1"/>
    <w:link w:val="30"/>
    <w:unhideWhenUsed/>
    <w:qFormat/>
    <w:uiPriority w:val="9"/>
    <w:pPr>
      <w:keepNext/>
      <w:keepLines/>
      <w:outlineLvl w:val="2"/>
    </w:pPr>
    <w:rPr>
      <w:b/>
      <w:bCs/>
      <w:szCs w:val="32"/>
    </w:rPr>
  </w:style>
  <w:style w:type="paragraph" w:styleId="6">
    <w:name w:val="heading 4"/>
    <w:basedOn w:val="1"/>
    <w:next w:val="1"/>
    <w:link w:val="42"/>
    <w:unhideWhenUsed/>
    <w:qFormat/>
    <w:uiPriority w:val="9"/>
    <w:pPr>
      <w:keepNext/>
      <w:keepLines/>
      <w:spacing w:before="280" w:after="290" w:line="376" w:lineRule="atLeast"/>
      <w:outlineLvl w:val="3"/>
    </w:pPr>
    <w:rPr>
      <w:rFonts w:ascii="等线 Light" w:hAnsi="等线 Light" w:cs="黑体"/>
      <w:b/>
      <w:bCs/>
      <w:szCs w:val="28"/>
    </w:rPr>
  </w:style>
  <w:style w:type="character" w:default="1" w:styleId="20">
    <w:name w:val="Default Paragraph Font"/>
    <w:unhideWhenUsed/>
    <w:uiPriority w:val="1"/>
  </w:style>
  <w:style w:type="table" w:default="1" w:styleId="21">
    <w:name w:val="Normal Table"/>
    <w:unhideWhenUsed/>
    <w:uiPriority w:val="99"/>
    <w:tblPr>
      <w:tblStyle w:val="21"/>
      <w:tblLayout w:type="fixed"/>
      <w:tblCellMar>
        <w:top w:w="0" w:type="dxa"/>
        <w:left w:w="108" w:type="dxa"/>
        <w:bottom w:w="0" w:type="dxa"/>
        <w:right w:w="108" w:type="dxa"/>
      </w:tblCellMar>
    </w:tblPr>
    <w:tcPr>
      <w:textDirection w:val="lrTb"/>
    </w:tcPr>
  </w:style>
  <w:style w:type="paragraph" w:styleId="2">
    <w:name w:val="Body Text First Indent 2"/>
    <w:basedOn w:val="1"/>
    <w:next w:val="1"/>
    <w:link w:val="38"/>
    <w:unhideWhenUsed/>
    <w:uiPriority w:val="99"/>
    <w:pPr>
      <w:ind w:firstLine="420" w:firstLineChars="200"/>
    </w:pPr>
  </w:style>
  <w:style w:type="paragraph" w:styleId="7">
    <w:name w:val="List 3"/>
    <w:basedOn w:val="1"/>
    <w:uiPriority w:val="0"/>
    <w:pPr>
      <w:spacing w:line="300" w:lineRule="exact"/>
      <w:jc w:val="center"/>
    </w:pPr>
    <w:rPr>
      <w:rFonts w:ascii="Times New Roman" w:hAnsi="Times New Roman" w:cs="Times New Roman"/>
      <w:kern w:val="0"/>
      <w:sz w:val="21"/>
      <w:szCs w:val="20"/>
    </w:rPr>
  </w:style>
  <w:style w:type="paragraph" w:styleId="8">
    <w:name w:val="annotation subject"/>
    <w:basedOn w:val="9"/>
    <w:next w:val="9"/>
    <w:link w:val="39"/>
    <w:uiPriority w:val="0"/>
    <w:pPr>
      <w:spacing w:before="50" w:beforeLines="50" w:line="240" w:lineRule="auto"/>
      <w:jc w:val="center"/>
    </w:pPr>
    <w:rPr>
      <w:rFonts w:ascii="Times New Roman" w:hAnsi="Times New Roman" w:eastAsia="黑体" w:cs="宋体"/>
      <w:bCs/>
      <w:sz w:val="21"/>
      <w:szCs w:val="24"/>
    </w:rPr>
  </w:style>
  <w:style w:type="paragraph" w:styleId="9">
    <w:name w:val="annotation text"/>
    <w:basedOn w:val="1"/>
    <w:link w:val="40"/>
    <w:unhideWhenUsed/>
    <w:uiPriority w:val="99"/>
    <w:pPr>
      <w:jc w:val="left"/>
    </w:pPr>
  </w:style>
  <w:style w:type="paragraph" w:styleId="10">
    <w:name w:val="Body Text First Indent"/>
    <w:basedOn w:val="11"/>
    <w:link w:val="34"/>
    <w:uiPriority w:val="0"/>
    <w:pPr>
      <w:adjustRightInd w:val="0"/>
      <w:snapToGrid w:val="0"/>
      <w:spacing w:after="0" w:line="300" w:lineRule="exact"/>
      <w:jc w:val="center"/>
    </w:pPr>
    <w:rPr>
      <w:rFonts w:eastAsia="等线"/>
      <w:sz w:val="24"/>
      <w:szCs w:val="24"/>
    </w:rPr>
  </w:style>
  <w:style w:type="paragraph" w:styleId="11">
    <w:name w:val="Body Text"/>
    <w:basedOn w:val="1"/>
    <w:link w:val="35"/>
    <w:unhideWhenUsed/>
    <w:uiPriority w:val="99"/>
    <w:pPr>
      <w:spacing w:after="120"/>
    </w:pPr>
  </w:style>
  <w:style w:type="paragraph" w:styleId="12">
    <w:name w:val="Normal Indent"/>
    <w:basedOn w:val="1"/>
    <w:next w:val="1"/>
    <w:uiPriority w:val="0"/>
    <w:pPr>
      <w:spacing w:line="300" w:lineRule="exact"/>
      <w:jc w:val="center"/>
    </w:pPr>
    <w:rPr>
      <w:rFonts w:ascii="Times New Roman" w:hAnsi="Times New Roman" w:cs="Times New Roman"/>
      <w:sz w:val="21"/>
      <w:szCs w:val="24"/>
    </w:rPr>
  </w:style>
  <w:style w:type="paragraph" w:styleId="13">
    <w:name w:val="Body Text Indent"/>
    <w:basedOn w:val="1"/>
    <w:link w:val="37"/>
    <w:unhideWhenUsed/>
    <w:uiPriority w:val="99"/>
    <w:pPr>
      <w:spacing w:after="120"/>
      <w:ind w:left="420" w:leftChars="200"/>
    </w:pPr>
  </w:style>
  <w:style w:type="paragraph" w:styleId="14">
    <w:name w:val="Date"/>
    <w:basedOn w:val="1"/>
    <w:next w:val="1"/>
    <w:link w:val="33"/>
    <w:unhideWhenUsed/>
    <w:uiPriority w:val="99"/>
    <w:pPr>
      <w:ind w:left="100" w:leftChars="2500"/>
    </w:pPr>
  </w:style>
  <w:style w:type="paragraph" w:styleId="15">
    <w:name w:val="footer"/>
    <w:basedOn w:val="1"/>
    <w:link w:val="32"/>
    <w:unhideWhenUsed/>
    <w:uiPriority w:val="99"/>
    <w:pPr>
      <w:tabs>
        <w:tab w:val="center" w:pos="4153"/>
        <w:tab w:val="right" w:pos="8306"/>
      </w:tabs>
      <w:snapToGrid w:val="0"/>
      <w:spacing w:line="240" w:lineRule="atLeast"/>
      <w:jc w:val="left"/>
    </w:pPr>
    <w:rPr>
      <w:sz w:val="18"/>
      <w:szCs w:val="18"/>
    </w:rPr>
  </w:style>
  <w:style w:type="paragraph" w:styleId="16">
    <w:name w:val="header"/>
    <w:basedOn w:val="1"/>
    <w:link w:val="31"/>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7">
    <w:name w:val="toc 1"/>
    <w:basedOn w:val="1"/>
    <w:next w:val="1"/>
    <w:unhideWhenUsed/>
    <w:uiPriority w:val="39"/>
  </w:style>
  <w:style w:type="paragraph" w:styleId="18">
    <w:name w:val="toc 2"/>
    <w:basedOn w:val="1"/>
    <w:next w:val="1"/>
    <w:unhideWhenUsed/>
    <w:uiPriority w:val="39"/>
    <w:pPr>
      <w:ind w:left="420" w:leftChars="200"/>
    </w:pPr>
  </w:style>
  <w:style w:type="paragraph" w:styleId="19">
    <w:name w:val="Title"/>
    <w:basedOn w:val="1"/>
    <w:next w:val="1"/>
    <w:link w:val="29"/>
    <w:qFormat/>
    <w:uiPriority w:val="10"/>
    <w:pPr>
      <w:jc w:val="center"/>
      <w:outlineLvl w:val="0"/>
    </w:pPr>
    <w:rPr>
      <w:rFonts w:ascii="等线 Light" w:hAnsi="等线 Light" w:cs="黑体"/>
      <w:b/>
      <w:bCs/>
      <w:szCs w:val="32"/>
    </w:rPr>
  </w:style>
  <w:style w:type="table" w:styleId="22">
    <w:name w:val="Table Grid"/>
    <w:basedOn w:val="21"/>
    <w:qFormat/>
    <w:uiPriority w:val="99"/>
    <w:p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3">
    <w:name w:val="正文 New"/>
    <w:uiPriority w:val="99"/>
    <w:pPr>
      <w:widowControl w:val="0"/>
      <w:spacing w:line="360" w:lineRule="auto"/>
      <w:jc w:val="both"/>
    </w:pPr>
    <w:rPr>
      <w:rFonts w:ascii="Times New Roman" w:hAnsi="Times New Roman" w:eastAsia="宋体" w:cs="Times New Roman"/>
      <w:kern w:val="2"/>
      <w:sz w:val="28"/>
      <w:szCs w:val="28"/>
      <w:lang w:val="en-US" w:eastAsia="zh-CN" w:bidi="ar-SA"/>
    </w:rPr>
  </w:style>
  <w:style w:type="paragraph" w:customStyle="1" w:styleId="24">
    <w:name w:val="Default"/>
    <w:qFormat/>
    <w:uiPriority w:val="99"/>
    <w:pPr>
      <w:widowControl w:val="0"/>
      <w:autoSpaceDE w:val="0"/>
      <w:autoSpaceDN w:val="0"/>
      <w:adjustRightInd w:val="0"/>
    </w:pPr>
    <w:rPr>
      <w:rFonts w:ascii="Times New Roman" w:hAnsi="Times New Roman" w:eastAsia="微软雅黑" w:cs="Times New Roman"/>
      <w:color w:val="000000"/>
      <w:sz w:val="24"/>
      <w:szCs w:val="24"/>
      <w:lang w:val="en-US" w:eastAsia="zh-CN" w:bidi="ar-SA"/>
    </w:rPr>
  </w:style>
  <w:style w:type="paragraph" w:customStyle="1" w:styleId="25">
    <w:name w:val="WPSOffice手动目录 1"/>
    <w:uiPriority w:val="0"/>
    <w:rPr>
      <w:rFonts w:ascii="Times New Roman" w:hAnsi="Times New Roman" w:eastAsia="宋体" w:cs="Times New Roman"/>
      <w:lang w:val="en-US" w:eastAsia="zh-CN" w:bidi="ar-SA"/>
    </w:rPr>
  </w:style>
  <w:style w:type="paragraph" w:customStyle="1" w:styleId="26">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7">
    <w:name w:val="标题 1 字符"/>
    <w:basedOn w:val="20"/>
    <w:link w:val="3"/>
    <w:uiPriority w:val="9"/>
    <w:rPr>
      <w:rFonts w:eastAsia="宋体"/>
      <w:b/>
      <w:bCs/>
      <w:kern w:val="44"/>
      <w:sz w:val="32"/>
      <w:szCs w:val="44"/>
    </w:rPr>
  </w:style>
  <w:style w:type="character" w:customStyle="1" w:styleId="28">
    <w:name w:val="标题 2 字符"/>
    <w:basedOn w:val="20"/>
    <w:link w:val="4"/>
    <w:uiPriority w:val="9"/>
    <w:rPr>
      <w:rFonts w:ascii="等线 Light" w:hAnsi="等线 Light" w:eastAsia="宋体" w:cs="黑体"/>
      <w:b/>
      <w:bCs/>
      <w:sz w:val="30"/>
      <w:szCs w:val="32"/>
    </w:rPr>
  </w:style>
  <w:style w:type="character" w:customStyle="1" w:styleId="29">
    <w:name w:val="标题 字符"/>
    <w:basedOn w:val="20"/>
    <w:link w:val="19"/>
    <w:uiPriority w:val="10"/>
    <w:rPr>
      <w:rFonts w:ascii="等线 Light" w:hAnsi="等线 Light" w:eastAsia="宋体" w:cs="黑体"/>
      <w:b/>
      <w:bCs/>
      <w:sz w:val="28"/>
      <w:szCs w:val="32"/>
    </w:rPr>
  </w:style>
  <w:style w:type="character" w:customStyle="1" w:styleId="30">
    <w:name w:val="标题 3 字符"/>
    <w:basedOn w:val="20"/>
    <w:link w:val="5"/>
    <w:uiPriority w:val="9"/>
    <w:rPr>
      <w:rFonts w:eastAsia="宋体"/>
      <w:b/>
      <w:bCs/>
      <w:sz w:val="28"/>
      <w:szCs w:val="32"/>
    </w:rPr>
  </w:style>
  <w:style w:type="character" w:customStyle="1" w:styleId="31">
    <w:name w:val="页眉 字符"/>
    <w:basedOn w:val="20"/>
    <w:link w:val="16"/>
    <w:uiPriority w:val="99"/>
    <w:rPr>
      <w:rFonts w:eastAsia="宋体"/>
      <w:sz w:val="18"/>
      <w:szCs w:val="18"/>
    </w:rPr>
  </w:style>
  <w:style w:type="character" w:customStyle="1" w:styleId="32">
    <w:name w:val="页脚 字符"/>
    <w:basedOn w:val="20"/>
    <w:link w:val="15"/>
    <w:qFormat/>
    <w:uiPriority w:val="99"/>
    <w:rPr>
      <w:rFonts w:eastAsia="宋体"/>
      <w:sz w:val="18"/>
      <w:szCs w:val="18"/>
    </w:rPr>
  </w:style>
  <w:style w:type="character" w:customStyle="1" w:styleId="33">
    <w:name w:val="日期 字符"/>
    <w:basedOn w:val="20"/>
    <w:link w:val="14"/>
    <w:semiHidden/>
    <w:uiPriority w:val="99"/>
    <w:rPr>
      <w:rFonts w:eastAsia="宋体"/>
      <w:sz w:val="28"/>
    </w:rPr>
  </w:style>
  <w:style w:type="character" w:customStyle="1" w:styleId="34">
    <w:name w:val="正文文本首行缩进 字符"/>
    <w:link w:val="10"/>
    <w:uiPriority w:val="0"/>
    <w:rPr>
      <w:sz w:val="24"/>
      <w:szCs w:val="24"/>
    </w:rPr>
  </w:style>
  <w:style w:type="character" w:customStyle="1" w:styleId="35">
    <w:name w:val="正文文本 字符"/>
    <w:basedOn w:val="20"/>
    <w:link w:val="11"/>
    <w:semiHidden/>
    <w:uiPriority w:val="99"/>
    <w:rPr>
      <w:rFonts w:eastAsia="宋体"/>
      <w:sz w:val="28"/>
    </w:rPr>
  </w:style>
  <w:style w:type="character" w:customStyle="1" w:styleId="36">
    <w:name w:val="正文文本首行缩进 字符1"/>
    <w:basedOn w:val="35"/>
    <w:semiHidden/>
    <w:uiPriority w:val="99"/>
    <w:rPr>
      <w:rFonts w:eastAsia="宋体"/>
      <w:sz w:val="28"/>
    </w:rPr>
  </w:style>
  <w:style w:type="character" w:customStyle="1" w:styleId="37">
    <w:name w:val="正文文本缩进 字符"/>
    <w:basedOn w:val="20"/>
    <w:link w:val="13"/>
    <w:semiHidden/>
    <w:qFormat/>
    <w:uiPriority w:val="99"/>
    <w:rPr>
      <w:rFonts w:eastAsia="宋体"/>
      <w:sz w:val="28"/>
    </w:rPr>
  </w:style>
  <w:style w:type="character" w:customStyle="1" w:styleId="38">
    <w:name w:val="正文文本首行缩进 2 字符"/>
    <w:basedOn w:val="37"/>
    <w:link w:val="2"/>
    <w:semiHidden/>
    <w:uiPriority w:val="99"/>
    <w:rPr>
      <w:rFonts w:eastAsia="宋体"/>
      <w:sz w:val="28"/>
    </w:rPr>
  </w:style>
  <w:style w:type="character" w:customStyle="1" w:styleId="39">
    <w:name w:val="批注主题 字符"/>
    <w:link w:val="8"/>
    <w:qFormat/>
    <w:uiPriority w:val="0"/>
    <w:rPr>
      <w:rFonts w:ascii="Times New Roman" w:hAnsi="Times New Roman" w:eastAsia="黑体" w:cs="宋体"/>
      <w:bCs/>
      <w:szCs w:val="24"/>
    </w:rPr>
  </w:style>
  <w:style w:type="character" w:customStyle="1" w:styleId="40">
    <w:name w:val="批注文字 字符"/>
    <w:basedOn w:val="20"/>
    <w:link w:val="9"/>
    <w:semiHidden/>
    <w:uiPriority w:val="99"/>
    <w:rPr>
      <w:rFonts w:eastAsia="宋体"/>
      <w:sz w:val="28"/>
    </w:rPr>
  </w:style>
  <w:style w:type="character" w:customStyle="1" w:styleId="41">
    <w:name w:val="批注主题 字符1"/>
    <w:basedOn w:val="40"/>
    <w:semiHidden/>
    <w:uiPriority w:val="99"/>
    <w:rPr>
      <w:rFonts w:eastAsia="宋体"/>
      <w:b/>
      <w:bCs/>
      <w:sz w:val="28"/>
    </w:rPr>
  </w:style>
  <w:style w:type="character" w:customStyle="1" w:styleId="42">
    <w:name w:val="标题 4 字符"/>
    <w:basedOn w:val="20"/>
    <w:link w:val="6"/>
    <w:uiPriority w:val="9"/>
    <w:rPr>
      <w:rFonts w:ascii="等线 Light" w:hAnsi="等线 Light" w:cs="黑体"/>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1.xml"/><Relationship Id="rId44" Type="http://schemas.openxmlformats.org/officeDocument/2006/relationships/customXml" Target="../customXml/item1.xml"/><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jpeg"/><Relationship Id="rId40" Type="http://schemas.openxmlformats.org/officeDocument/2006/relationships/image" Target="media/image31.jpeg"/><Relationship Id="rId4" Type="http://schemas.openxmlformats.org/officeDocument/2006/relationships/footer" Target="footer1.xml"/><Relationship Id="rId39" Type="http://schemas.openxmlformats.org/officeDocument/2006/relationships/image" Target="media/image30.jpe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settings" Target="settings.xml"/><Relationship Id="rId29" Type="http://schemas.openxmlformats.org/officeDocument/2006/relationships/image" Target="media/image20.pn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png"/><Relationship Id="rId2" Type="http://schemas.openxmlformats.org/officeDocument/2006/relationships/styles" Target="style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emf"/><Relationship Id="rId16" Type="http://schemas.openxmlformats.org/officeDocument/2006/relationships/oleObject" Target="embeddings/oleObject1.bin"/><Relationship Id="rId15" Type="http://schemas.openxmlformats.org/officeDocument/2006/relationships/image" Target="media/image7.pn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34" textRotate="1"/>
    <customShpInfo spid="_x0000_s1035" textRotate="1"/>
    <customShpInfo spid="_x0000_s1036" textRotate="1"/>
    <customShpInfo spid="_x0000_s1039" textRotate="1"/>
    <customShpInfo spid="_x0000_s1040" textRotate="1"/>
    <customShpInfo spid="_x0000_s1041" textRotate="1"/>
    <customShpInfo spid="_x0000_s1042" textRotate="1"/>
    <customShpInfo spid="_x0000_s1043" textRotate="1"/>
    <customShpInfo spid="_x0000_s1044" textRotate="1"/>
    <customShpInfo spid="_x0000_s1045" textRotate="1"/>
    <customShpInfo spid="_x0000_s1046" textRotate="1"/>
    <customShpInfo spid="_x0000_s1047" textRotate="1"/>
    <customShpInfo spid="_x0000_s1048" textRotate="1"/>
    <customShpInfo spid="_x0000_s1049" textRotate="1"/>
    <customShpInfo spid="_x0000_s1050" textRotate="1"/>
    <customShpInfo spid="_x0000_s1051" textRotate="1"/>
    <customShpInfo spid="_x0000_s1052" textRotate="1"/>
    <customShpInfo spid="_x0000_s1053" textRotate="1"/>
    <customShpInfo spid="_x0000_s1054" textRotate="1"/>
    <customShpInfo spid="_x0000_s1055" textRotate="1"/>
    <customShpInfo spid="_x0000_s1056" textRotate="1"/>
    <customShpInfo spid="_x0000_s1057" textRotate="1"/>
    <customShpInfo spid="_x0000_s1058" textRotate="1"/>
    <customShpInfo spid="_x0000_s1059" textRotate="1"/>
    <customShpInfo spid="_x0000_s1060" textRotate="1"/>
    <customShpInfo spid="_x0000_s1061" textRotate="1"/>
    <customShpInfo spid="_x0000_s1062" textRotate="1"/>
    <customShpInfo spid="_x0000_s1063" textRotate="1"/>
    <customShpInfo spid="_x0000_s1064" textRotate="1"/>
    <customShpInfo spid="_x0000_s1065" textRotate="1"/>
    <customShpInfo spid="_x0000_s1066" textRotate="1"/>
    <customShpInfo spid="_x0000_s1067" textRotate="1"/>
    <customShpInfo spid="_x0000_s1068" textRotate="1"/>
    <customShpInfo spid="_x0000_s1069" textRotate="1"/>
    <customShpInfo spid="_x0000_s1070" textRotate="1"/>
    <customShpInfo spid="_x0000_s1071" textRotate="1"/>
    <customShpInfo spid="_x0000_s1072" textRotate="1"/>
    <customShpInfo spid="_x0000_s1073" textRotate="1"/>
    <customShpInfo spid="_x0000_s1074" textRotate="1"/>
    <customShpInfo spid="_x0000_s1075" textRotate="1"/>
    <customShpInfo spid="_x0000_s1076" textRotate="1"/>
    <customShpInfo spid="_x0000_s1077" textRotate="1"/>
    <customShpInfo spid="_x0000_s1078" textRotate="1"/>
    <customShpInfo spid="_x0000_s1079" textRotate="1"/>
    <customShpInfo spid="_x0000_s1080" textRotate="1"/>
    <customShpInfo spid="_x0000_s1081" textRotate="1"/>
    <customShpInfo spid="_x0000_s1082" textRotate="1"/>
    <customShpInfo spid="_x0000_s1083" textRotate="1"/>
    <customShpInfo spid="_x0000_s1084" textRotate="1"/>
    <customShpInfo spid="_x0000_s1085" textRotate="1"/>
    <customShpInfo spid="_x0000_s1086" textRotate="1"/>
    <customShpInfo spid="_x0000_s1087" textRotate="1"/>
    <customShpInfo spid="_x0000_s1088" textRotate="1"/>
    <customShpInfo spid="_x0000_s1089" textRotate="1"/>
    <customShpInfo spid="_x0000_s1090" textRotate="1"/>
    <customShpInfo spid="_x0000_s109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6027</Words>
  <Characters>34355</Characters>
  <Lines>286</Lines>
  <Paragraphs>80</Paragraphs>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2021-09-15T01:19:00Z</dcterms:created>
  <dc:creator>TGGCJSGS021</dc:creator>
  <cp:lastModifiedBy>TG</cp:lastModifiedBy>
  <cp:lastPrinted>2022-01-26T08:49:00Z</cp:lastPrinted>
  <dcterms:modified xsi:type="dcterms:W3CDTF">2022-02-12T00:25:36Z</dcterms:modified>
  <dc:title>山西太钢不锈钢股份有限公司</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y fmtid="{D5CDD505-2E9C-101B-9397-08002B2CF9AE}" pid="3" name="ICV">
    <vt:lpwstr>DB0DDD20E72940C1B360F2FAB229C930</vt:lpwstr>
  </property>
</Properties>
</file>