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057" w:rsidRDefault="008E6057" w:rsidP="008E6057">
      <w:pPr>
        <w:spacing w:line="500" w:lineRule="exact"/>
        <w:jc w:val="center"/>
        <w:rPr>
          <w:rFonts w:ascii="方正小标宋简体" w:eastAsia="方正小标宋简体" w:hAnsiTheme="minorHAnsi" w:cstheme="minorBidi"/>
          <w:sz w:val="36"/>
          <w:szCs w:val="36"/>
        </w:rPr>
      </w:pPr>
      <w:bookmarkStart w:id="0" w:name="_GoBack"/>
      <w:r>
        <w:rPr>
          <w:rFonts w:ascii="方正小标宋简体" w:eastAsia="方正小标宋简体" w:hAnsiTheme="minorHAnsi" w:cstheme="minorBidi" w:hint="eastAsia"/>
          <w:sz w:val="36"/>
          <w:szCs w:val="36"/>
        </w:rPr>
        <w:t>山西钢科碳材料有限公司公开信息</w:t>
      </w:r>
    </w:p>
    <w:p w:rsidR="008E6057" w:rsidRDefault="008E6057" w:rsidP="008E6057">
      <w:pPr>
        <w:spacing w:line="500" w:lineRule="exact"/>
        <w:jc w:val="center"/>
        <w:rPr>
          <w:rFonts w:ascii="楷体_GB2312" w:eastAsia="楷体_GB2312"/>
          <w:sz w:val="32"/>
          <w:szCs w:val="32"/>
        </w:rPr>
      </w:pPr>
      <w:bookmarkStart w:id="1" w:name="_Hlk87361413"/>
      <w:bookmarkEnd w:id="0"/>
      <w:r>
        <w:rPr>
          <w:rFonts w:ascii="楷体_GB2312" w:eastAsia="楷体_GB2312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/>
          <w:sz w:val="32"/>
          <w:szCs w:val="32"/>
        </w:rPr>
        <w:t>021</w:t>
      </w:r>
      <w:r>
        <w:rPr>
          <w:rFonts w:ascii="楷体_GB2312" w:eastAsia="楷体_GB2312" w:hint="eastAsia"/>
          <w:sz w:val="32"/>
          <w:szCs w:val="32"/>
        </w:rPr>
        <w:t>年1</w:t>
      </w:r>
      <w:r>
        <w:rPr>
          <w:rFonts w:ascii="楷体_GB2312" w:eastAsia="楷体_GB2312"/>
          <w:sz w:val="32"/>
          <w:szCs w:val="32"/>
        </w:rPr>
        <w:t>0</w:t>
      </w:r>
      <w:r>
        <w:rPr>
          <w:rFonts w:ascii="楷体_GB2312" w:eastAsia="楷体_GB2312" w:hint="eastAsia"/>
          <w:sz w:val="32"/>
          <w:szCs w:val="32"/>
        </w:rPr>
        <w:t>月</w:t>
      </w:r>
      <w:r>
        <w:rPr>
          <w:rFonts w:ascii="楷体_GB2312" w:eastAsia="楷体_GB2312"/>
          <w:sz w:val="32"/>
          <w:szCs w:val="32"/>
        </w:rPr>
        <w:t>)</w:t>
      </w:r>
    </w:p>
    <w:bookmarkEnd w:id="1"/>
    <w:p w:rsidR="008E6057" w:rsidRDefault="008E6057" w:rsidP="008E6057">
      <w:pPr>
        <w:widowControl/>
        <w:spacing w:line="500" w:lineRule="exact"/>
        <w:ind w:firstLineChars="250" w:firstLine="80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一、工商注册登记等企业基本信息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山西钢科碳材料有限公司（以下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简称钢科公司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成立于2012年9月，是中国宝武太钢集团的全资子公司，是一家集高端碳纤维及其复合材料生产、研发、技术服务为一体的新材料企业，属于国家高新技术企业。注册资本4.1755亿元，总占地面积500亩，地处太原市阳曲县转型发展产业园区。近年来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高质量发展，已成为中国航天用碳纤维主力供应商及国产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宇航级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碳纤维行业领军企业。</w:t>
      </w:r>
    </w:p>
    <w:p w:rsidR="008E6057" w:rsidRDefault="008E6057" w:rsidP="008E6057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公司经营范围为碳纤维及其制品、碳纤维复合材料的研发、制造、销售及其检测、技术服务、技术咨询、设备的研制；新兴材料的研发、制造、销售及其检测；碳纤维及其复合材料的工程设计研究。目前，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已相继开发出高强型、高强中模型、高强高模型三大系列1</w:t>
      </w:r>
      <w:r>
        <w:rPr>
          <w:rFonts w:ascii="仿宋" w:eastAsia="仿宋" w:hAnsi="仿宋" w:cs="仿宋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牌号的高性能碳纤维产品，批量稳定供应国家航天、航空等重要领域。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二、公司治理及管理架构、重要人事变动、企业负责人薪酬水平情况</w:t>
      </w:r>
      <w:bookmarkStart w:id="2" w:name="_Toc_1_3_0000000047"/>
    </w:p>
    <w:p w:rsidR="008E6057" w:rsidRDefault="008E6057" w:rsidP="008E6057">
      <w:pPr>
        <w:widowControl/>
        <w:spacing w:line="50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（一）公司治理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发展思路：高举中国特色社会主义伟大旗帜，以习近平新时代中国特色社会主义思想为指导，全面贯彻习近平总书记考察调研中国宝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武重要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讲话精神和视察太钢重要讲话重要指示，增强“四个意识”，坚定“四个自信”，做到“两个维护”，深化产学研用一体化合作模式，建立健全自主可控的产品体系，持续保障航空航天等领域对高等级碳纤维的重大需求，不断满足核电、轨道交通、新能源等国民经济重要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领域对高性能低成本碳纤维的广泛需求，推动国产碳纤维及其复合材料产业高质量发展。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生产运营管控：坚持问题导向和效益引领，持续推进全流程精益化过程管控，合理编排生产计划，有效减少原料浪费，提升原丝-碳纤维的收得率。细化全流程工艺控制要求和作业标准，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摸索启车新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方法和设备控制新手段，提高生产运行的稳定性。持续探索节能降耗、绿色低碳新生产工艺，推进降低废气排放量和余热利用新技术应用，降低单位产品能耗。加强岗位人员技能提升，强化应知应会应做的培训和检查力度，人员操作技能持续提升，截止1</w:t>
      </w:r>
      <w:r>
        <w:rPr>
          <w:rFonts w:ascii="仿宋" w:eastAsia="仿宋" w:hAnsi="仿宋" w:cs="仿宋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月底，已超额完成全年产量预算目标，合格率较去年大幅提升。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科技质量管理：积极推进产学研合作，科研项目取得新收获，2021年赢得国家、省市多项科研项目，获政府专项经费支持；省级重大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专项等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多个项目进入项目验收阶段。立足技术创新，加速产能建设，高标准完成了太钢碳纤维三期工程年产1800吨碳纤维生产线建设。加强科技管理制度建设，编修订了“科研项目管理制度”等多项管理制度。加强专有技术及专利管理工作，加速打造自主知识产权专利群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以宝武高质量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钢铁创新生态圈和“三高两化”要求为依</w:t>
      </w:r>
    </w:p>
    <w:p w:rsidR="008E6057" w:rsidRDefault="008E6057" w:rsidP="008E6057">
      <w:pPr>
        <w:widowControl/>
        <w:spacing w:line="5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托，以“增品种、提品质、创品牌”为目标，以“完善质量管理基础、提升质量管理绩效”为主题开展2021年“质量月”活动；以创建“体系样板”、制修订和宣贯质量制度、工序质量走访、建构</w:t>
      </w:r>
      <w:r>
        <w:rPr>
          <w:rFonts w:ascii="仿宋" w:eastAsia="仿宋" w:hAnsi="仿宋" w:cs="仿宋"/>
          <w:sz w:val="32"/>
          <w:szCs w:val="32"/>
        </w:rPr>
        <w:t>质量成本模型</w:t>
      </w:r>
      <w:r>
        <w:rPr>
          <w:rFonts w:ascii="仿宋" w:eastAsia="仿宋" w:hAnsi="仿宋" w:cs="仿宋" w:hint="eastAsia"/>
          <w:sz w:val="32"/>
          <w:szCs w:val="32"/>
        </w:rPr>
        <w:t>、组织质量管理知识竞赛、</w:t>
      </w:r>
      <w:r>
        <w:rPr>
          <w:rFonts w:ascii="仿宋" w:eastAsia="仿宋" w:hAnsi="仿宋" w:cs="仿宋"/>
          <w:sz w:val="32"/>
          <w:szCs w:val="32"/>
        </w:rPr>
        <w:t>开展质量大讨论</w:t>
      </w:r>
      <w:r>
        <w:rPr>
          <w:rFonts w:ascii="仿宋" w:eastAsia="仿宋" w:hAnsi="仿宋" w:cs="仿宋" w:hint="eastAsia"/>
          <w:sz w:val="32"/>
          <w:szCs w:val="32"/>
        </w:rPr>
        <w:t>等工作为抓手，实现公司质量体系本质性改进；高标准完成质量体系内审、外审工作，实现工序服务意识提升和质量管理基础完善，推动产品质量过程控制精细化、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标准化，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助力钢科公司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早日建成国内领先、世界一流高性能碳纤维产业基地。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标找差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持续进步：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按照太钢集团的要求，高标准确立对标标杆，通过开展8个领域的对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标找差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，实现了经营管理能力的提升。其中，新增销量比率、研发人员占比、科技研发投入和年度授权专利数已接近或部分超过对标对象。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将进一步</w:t>
      </w:r>
      <w:r>
        <w:rPr>
          <w:rFonts w:ascii="仿宋" w:eastAsia="仿宋" w:hAnsi="仿宋" w:cs="仿宋"/>
          <w:sz w:val="32"/>
          <w:szCs w:val="32"/>
        </w:rPr>
        <w:t>聚焦与世界一流企业的差距，</w:t>
      </w:r>
      <w:r>
        <w:rPr>
          <w:rFonts w:ascii="仿宋" w:eastAsia="仿宋" w:hAnsi="仿宋" w:cs="仿宋" w:hint="eastAsia"/>
          <w:sz w:val="32"/>
          <w:szCs w:val="32"/>
        </w:rPr>
        <w:t>持续改进、务求实效</w:t>
      </w:r>
      <w:r>
        <w:rPr>
          <w:rFonts w:ascii="仿宋" w:eastAsia="仿宋" w:hAnsi="仿宋" w:cs="仿宋"/>
          <w:sz w:val="32"/>
          <w:szCs w:val="32"/>
        </w:rPr>
        <w:t>，推动各项对标提升任务取得实质性进展</w:t>
      </w:r>
      <w:r>
        <w:rPr>
          <w:rFonts w:ascii="仿宋" w:eastAsia="仿宋" w:hAnsi="仿宋" w:cs="仿宋" w:hint="eastAsia"/>
          <w:sz w:val="32"/>
          <w:szCs w:val="32"/>
        </w:rPr>
        <w:t>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推动钢科公司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战略目标实现。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设备管控：修订《设备分工界面管理办法》，进一步落实设备点检、维护、检修责任，并将设备原因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对产线及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产量影响纳入经济责任制考核，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设备维保及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全员设备管理取得新进展。利用周查、月总结形式对设备隐患及运行情况进行全面检查、管控，对查出问题限时整改，及时消除了设备劣化和安全隐患，有力保障了设备安全、稳定运行，为公司预算目标的完成奠定了坚实基础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安全管理：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安全管理管理工作始终坚持“一高两严”总要求，以落实“党政同责、一岗双责”“三个必须”为核心，以“三反”歼灭战、“三个专项整治”“双重预防机制建设”为重点，以“安全生产标准化建设、违章记分管理、承包方黑名单管理”为抓手，完善安全生产制度体系，着力提升本质安全化水平和执行力，全面增强安全风险防控能力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连续多年实现了轻伤以上事故、急性职业病事故为零的安全管理目标，为公司生产、科研和项目建设提供了安全保障。在2021年太钢集团季度评价中一季度为优秀、二、三季度为良好。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能源管理:积极推进重点用能产线（设备）工艺节能，实施了高能耗设备工艺节能专项，对锅炉燃烧系统、循环水系统运行进行了优化调整等，取得了良好效果，单位产品能耗降幅显著。以“绿色、发展、可持续”为指导思想，结合公司实际，完成了《山西钢科碳材料有限公司一期、二期生产基地节能总体规划》，为下一步开展节能降耗工作提供了科学、可行的依据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生态环保：推进环保制度化建设，制订《环境保护管理制度》，从大气治理、水的管控、一般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固废管控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、危险废物管理等方面明确细化各部门与生产单元的职责及工作任务，保证环保管理工作高效、有序开展。通过《“三废”污染防治管理办法》《环境保护目标考核管理办法》及《危险废物管理办法》，为开展环保工作提供了制度保障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党的建设：党总支制定下发了《党建工作评价考核管理办法》，重新修订下发了评价细则、《钢科公司党总支中心组学习管理规定》；健全和完善了科级干部和有业务管理权人员档案,细化和完善了班子成员及各党支部（部门、车间）党风廉政目标逐级责任内容，签订了责任书。扎实开展党史学习教育，《展望报》共编发党史学习教育专刊6期，发挥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微信群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、宣传栏、学习强国、电子阅览屏等宣传阵地作用，组织广大党员干部、职工群众深入学习党史知识。在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党群团之家微信群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开展了党史知识竞答，组织党员自主录制党史红色小故事、开展红色电影配音活动，通过“每月一星”、红色故事演讲比赛等形式，广泛宣传身边的先进集体和闪光人物，倡导爱岗敬业、无私奉献的精神，在职工中营造了积极向上的良好风尚。</w:t>
      </w:r>
    </w:p>
    <w:bookmarkEnd w:id="2"/>
    <w:p w:rsidR="008E6057" w:rsidRDefault="008E6057" w:rsidP="008E6057">
      <w:pPr>
        <w:widowControl/>
        <w:spacing w:line="500" w:lineRule="exact"/>
        <w:ind w:firstLineChars="200" w:firstLine="643"/>
        <w:jc w:val="left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二）</w:t>
      </w:r>
      <w:r>
        <w:rPr>
          <w:rFonts w:ascii="仿宋" w:eastAsia="仿宋" w:hAnsi="仿宋" w:cs="仿宋" w:hint="eastAsia"/>
          <w:b/>
          <w:sz w:val="32"/>
          <w:szCs w:val="32"/>
        </w:rPr>
        <w:t>管理架构及运行情况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lastRenderedPageBreak/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设立董事会和监事，董事会设董事5人，其中董事长1人，设监事1人。经理层设总经理1人，副总经理3人，总经理助理1人。下设7个部门、9个生产单元。现有职工565人。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持续完善《全员绩效考评管理办法》，主要从关键经营指标、重点工作、专业管理评价、党建、事故/事件等方面开展绩效考评，形成了安全履职、全面履职、精准履职、高效履职及全员履职的绩效考评体系。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为进一步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完善钢科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公司规章制度体系，贯彻中国宝武、太钢集团“制度树”建设精神，2021年，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钢科公司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对现有制度进行梳理，对公司现存制度、授权文件进行增删、修订，消灭贯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标程序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文件，初步形成了涵盖党建、生产、安全、质量、设备、能源、人事、采购、办公、成本、生态环境、5S治理等多方面管理内容的“制度树”体系。</w:t>
      </w:r>
    </w:p>
    <w:p w:rsidR="008E6057" w:rsidRDefault="008E6057" w:rsidP="008E6057">
      <w:pPr>
        <w:widowControl/>
        <w:spacing w:line="500" w:lineRule="exact"/>
        <w:ind w:firstLineChars="200" w:firstLine="643"/>
        <w:jc w:val="left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bCs/>
          <w:sz w:val="32"/>
          <w:szCs w:val="32"/>
        </w:rPr>
        <w:t>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三）</w:t>
      </w:r>
      <w:r>
        <w:rPr>
          <w:rFonts w:ascii="仿宋" w:eastAsia="仿宋" w:hAnsi="仿宋" w:cs="仿宋" w:hint="eastAsia"/>
          <w:b/>
          <w:sz w:val="32"/>
          <w:szCs w:val="32"/>
        </w:rPr>
        <w:t>重要人事变动</w:t>
      </w:r>
    </w:p>
    <w:p w:rsidR="008E6057" w:rsidRDefault="008E6057" w:rsidP="008E6057">
      <w:pPr>
        <w:widowControl/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根据钢董监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函【2021】9号《关于委派山西钢科碳材料有限公司董事长、董事的函》委派李建民为山西钢科碳材料有限公司董事、董事长人选；王立新不再担任山西钢科碳材料有限公司董事长、董事。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钢行干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发【2021】20号《关于苗晓等2人任免职务的通知》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推荐苗晓为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山西钢科碳材料有限公司副总经理人选，经山西钢科碳材料有限公司董事会同意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聘任苗晓为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山西钢科碳材料有限公司副总经理；王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飞不再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担任山西钢科碳材料有限公司副总经理。</w:t>
      </w:r>
    </w:p>
    <w:p w:rsidR="008E6057" w:rsidRDefault="008E6057" w:rsidP="008E6057">
      <w:pPr>
        <w:widowControl/>
        <w:spacing w:line="500" w:lineRule="exact"/>
        <w:ind w:firstLineChars="250" w:firstLine="80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三、企业主要财务状况和经营成果、国有资本保值增值情况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略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四、企业重大改制重组结果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无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五、通过产权市场转让</w:t>
      </w:r>
      <w:proofErr w:type="gramStart"/>
      <w:r>
        <w:rPr>
          <w:rFonts w:ascii="黑体" w:eastAsia="黑体" w:hAnsi="黑体" w:cs="仿宋" w:hint="eastAsia"/>
          <w:sz w:val="32"/>
          <w:szCs w:val="32"/>
        </w:rPr>
        <w:t>让</w:t>
      </w:r>
      <w:proofErr w:type="gramEnd"/>
      <w:r>
        <w:rPr>
          <w:rFonts w:ascii="黑体" w:eastAsia="黑体" w:hAnsi="黑体" w:cs="仿宋" w:hint="eastAsia"/>
          <w:sz w:val="32"/>
          <w:szCs w:val="32"/>
        </w:rPr>
        <w:t>企业产权和企业增资等信息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六、有关部门依法要求公开的监督检查问题整改情况、重大突发时间事态发展和应急处置情况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七、企业履行社会责任情况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完成了环保税的申报及缴纳工作。对废润滑油、废溶剂、污水站污泥等危险废物进行合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处置，严格执行网上申报制度，同时结合各项规定要求，规范了危险废物暂存库的标识、台账、记录等相关资料。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动员公司职工群众广泛参与、踊跃购买脱贫地区农特产品，以消费促进群众增收，促进脱贫地区产品变商品、收成变收入，帮助太钢帮扶的 2 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个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县 15 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个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村、山西地区其它脱贫县，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以及宝武定点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帮扶地区群众增收。职工购买率达到96%。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八、其他依照法律法规应当公开的信息</w:t>
      </w:r>
    </w:p>
    <w:p w:rsidR="008E6057" w:rsidRDefault="008E6057" w:rsidP="008E6057">
      <w:pPr>
        <w:widowControl/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</w:p>
    <w:p w:rsidR="00756C47" w:rsidRDefault="00756C47"/>
    <w:sectPr w:rsidR="00756C4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057"/>
    <w:rsid w:val="00756C47"/>
    <w:rsid w:val="008E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1F4BE1-A607-445F-9572-FB0184087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057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509</Words>
  <Characters>2906</Characters>
  <Application>Microsoft Office Word</Application>
  <DocSecurity>0</DocSecurity>
  <Lines>24</Lines>
  <Paragraphs>6</Paragraphs>
  <ScaleCrop>false</ScaleCrop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武滨</dc:creator>
  <cp:keywords/>
  <dc:description/>
  <cp:lastModifiedBy>武滨</cp:lastModifiedBy>
  <cp:revision>1</cp:revision>
  <dcterms:created xsi:type="dcterms:W3CDTF">2021-11-15T07:36:00Z</dcterms:created>
  <dcterms:modified xsi:type="dcterms:W3CDTF">2021-11-15T07:37:00Z</dcterms:modified>
</cp:coreProperties>
</file>