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EE4" w:rsidRPr="00C17CF0" w:rsidRDefault="00F47126">
      <w:pPr>
        <w:jc w:val="center"/>
        <w:rPr>
          <w:rFonts w:ascii="方正小标宋简体" w:eastAsia="方正小标宋简体" w:hAnsi="等线" w:cs="Times New Roman"/>
          <w:sz w:val="36"/>
          <w:szCs w:val="36"/>
        </w:rPr>
      </w:pPr>
      <w:r w:rsidRPr="00C17CF0">
        <w:rPr>
          <w:rFonts w:ascii="方正小标宋简体" w:eastAsia="方正小标宋简体" w:hAnsi="等线" w:cs="Times New Roman" w:hint="eastAsia"/>
          <w:sz w:val="36"/>
          <w:szCs w:val="36"/>
        </w:rPr>
        <w:t>太钢集团岚县矿业有限公司公开信息</w:t>
      </w:r>
    </w:p>
    <w:p w:rsidR="00E24EE4" w:rsidRPr="00F47126" w:rsidRDefault="00F47126">
      <w:pPr>
        <w:jc w:val="center"/>
        <w:rPr>
          <w:rFonts w:ascii="楷体_GB2312" w:eastAsia="楷体_GB2312" w:hAnsi="Times New Roman" w:cs="Times New Roman"/>
          <w:sz w:val="32"/>
          <w:szCs w:val="32"/>
        </w:rPr>
      </w:pPr>
      <w:bookmarkStart w:id="0" w:name="_GoBack"/>
      <w:r w:rsidRPr="00F47126">
        <w:rPr>
          <w:rFonts w:ascii="楷体_GB2312" w:eastAsia="楷体_GB2312" w:hAnsi="Times New Roman" w:cs="Times New Roman" w:hint="eastAsia"/>
          <w:sz w:val="32"/>
          <w:szCs w:val="32"/>
        </w:rPr>
        <w:t>（</w:t>
      </w:r>
      <w:r w:rsidR="007509D0" w:rsidRPr="00F47126">
        <w:rPr>
          <w:rFonts w:ascii="楷体_GB2312" w:eastAsia="楷体_GB2312" w:hAnsi="Times New Roman" w:cs="Times New Roman"/>
          <w:sz w:val="32"/>
          <w:szCs w:val="32"/>
        </w:rPr>
        <w:t>2021</w:t>
      </w:r>
      <w:r w:rsidR="007509D0" w:rsidRPr="00F47126">
        <w:rPr>
          <w:rFonts w:ascii="楷体_GB2312" w:eastAsia="楷体_GB2312" w:hAnsi="Times New Roman" w:cs="Times New Roman" w:hint="eastAsia"/>
          <w:sz w:val="32"/>
          <w:szCs w:val="32"/>
        </w:rPr>
        <w:t>年</w:t>
      </w:r>
      <w:r w:rsidRPr="00F47126">
        <w:rPr>
          <w:rFonts w:ascii="楷体_GB2312" w:eastAsia="楷体_GB2312" w:hAnsi="Times New Roman" w:cs="Times New Roman"/>
          <w:sz w:val="32"/>
          <w:szCs w:val="32"/>
        </w:rPr>
        <w:t>10</w:t>
      </w:r>
      <w:r w:rsidRPr="00F47126">
        <w:rPr>
          <w:rFonts w:ascii="楷体_GB2312" w:eastAsia="楷体_GB2312" w:hAnsi="Times New Roman" w:cs="Times New Roman" w:hint="eastAsia"/>
          <w:sz w:val="32"/>
          <w:szCs w:val="32"/>
        </w:rPr>
        <w:t>月</w:t>
      </w:r>
      <w:r w:rsidRPr="00F47126">
        <w:rPr>
          <w:rFonts w:ascii="楷体_GB2312" w:eastAsia="楷体_GB2312" w:hAnsi="Times New Roman" w:cs="Times New Roman" w:hint="eastAsia"/>
          <w:sz w:val="32"/>
          <w:szCs w:val="32"/>
        </w:rPr>
        <w:t>）</w:t>
      </w:r>
    </w:p>
    <w:bookmarkEnd w:id="0"/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一、工商注册登记等企业基本信息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</w:pPr>
      <w:r>
        <w:rPr>
          <w:rFonts w:ascii="仿宋_GB2312" w:eastAsia="仿宋_GB2312" w:hint="eastAsia"/>
          <w:color w:val="000000"/>
          <w:sz w:val="32"/>
          <w:szCs w:val="32"/>
        </w:rPr>
        <w:t>太钢集团岚县矿业有限公司公司成立于</w:t>
      </w:r>
      <w:r>
        <w:rPr>
          <w:rFonts w:ascii="仿宋_GB2312" w:eastAsia="仿宋_GB2312"/>
          <w:color w:val="000000"/>
          <w:sz w:val="32"/>
          <w:szCs w:val="32"/>
        </w:rPr>
        <w:t>2009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color w:val="000000"/>
          <w:sz w:val="32"/>
          <w:szCs w:val="32"/>
        </w:rPr>
        <w:t>月，是太原钢铁（集团）有限公司全资子公司。注册资本</w:t>
      </w:r>
      <w:r>
        <w:rPr>
          <w:rFonts w:ascii="仿宋_GB2312" w:eastAsia="仿宋_GB2312"/>
          <w:color w:val="000000"/>
          <w:sz w:val="32"/>
          <w:szCs w:val="32"/>
        </w:rPr>
        <w:t>75.0870</w:t>
      </w:r>
      <w:r>
        <w:rPr>
          <w:rFonts w:ascii="仿宋_GB2312" w:eastAsia="仿宋_GB2312" w:hint="eastAsia"/>
          <w:color w:val="000000"/>
          <w:sz w:val="32"/>
          <w:szCs w:val="32"/>
        </w:rPr>
        <w:t>亿元。总占地面积</w:t>
      </w:r>
      <w:r>
        <w:rPr>
          <w:rFonts w:ascii="仿宋_GB2312" w:eastAsia="仿宋_GB2312"/>
          <w:color w:val="000000"/>
          <w:sz w:val="32"/>
          <w:szCs w:val="32"/>
        </w:rPr>
        <w:t>46600</w:t>
      </w:r>
      <w:r>
        <w:rPr>
          <w:rFonts w:ascii="仿宋_GB2312" w:eastAsia="仿宋_GB2312" w:hint="eastAsia"/>
          <w:color w:val="000000"/>
          <w:sz w:val="32"/>
          <w:szCs w:val="32"/>
        </w:rPr>
        <w:t>亩，是目前亚洲规模最大，工艺技术装备最先进的微细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粒红磁混合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采选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球联合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冶金铁矿山，是太钢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十二五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规划的重点项目之一、山西省重点工程，也是列入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国家发改委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《钢铁产业调整和振兴规划》中的矿山开发项目。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</w:pPr>
      <w:r>
        <w:rPr>
          <w:rFonts w:ascii="仿宋_GB2312" w:eastAsia="仿宋_GB2312" w:hint="eastAsia"/>
          <w:color w:val="000000"/>
          <w:sz w:val="32"/>
          <w:szCs w:val="32"/>
        </w:rPr>
        <w:t>公司经营范围为铁矿勘探、开采；铁矿粉加工、销售；球团加工、销售；粉煤灰销售；选矿药剂加工；废石、尾砂加工销售；工业固体废物处理（不含危险废物和废弃电器电子产品）；冶金机电设备及备件、矿山设备及备件制造、安装、修理、销售；电力、蒸汽及水等生产及供应；铁路专用线及货物运输；矿山工程技术咨询及服务；住宿、洗浴、健身活动、食品</w:t>
      </w:r>
      <w:r>
        <w:rPr>
          <w:rFonts w:ascii="仿宋_GB2312" w:eastAsia="仿宋_GB2312" w:hint="eastAsia"/>
          <w:color w:val="000000"/>
          <w:sz w:val="32"/>
          <w:szCs w:val="32"/>
        </w:rPr>
        <w:t>经营、餐饮服务、物业管理；公路运输；普通道路运输（只限在厂区范围内运输）。主要产品为铁精矿粉和球团矿。设计年采剥总量</w:t>
      </w:r>
      <w:r>
        <w:rPr>
          <w:rFonts w:ascii="仿宋_GB2312" w:eastAsia="仿宋_GB2312"/>
          <w:color w:val="000000"/>
          <w:sz w:val="32"/>
          <w:szCs w:val="32"/>
        </w:rPr>
        <w:t>8580</w:t>
      </w:r>
      <w:r>
        <w:rPr>
          <w:rFonts w:ascii="仿宋_GB2312" w:eastAsia="仿宋_GB2312" w:hint="eastAsia"/>
          <w:color w:val="000000"/>
          <w:sz w:val="32"/>
          <w:szCs w:val="32"/>
        </w:rPr>
        <w:t>万吨（</w:t>
      </w:r>
      <w:r>
        <w:rPr>
          <w:rFonts w:ascii="仿宋_GB2312" w:eastAsia="仿宋_GB2312"/>
          <w:color w:val="000000"/>
          <w:sz w:val="32"/>
          <w:szCs w:val="32"/>
        </w:rPr>
        <w:t>2018</w:t>
      </w:r>
      <w:r>
        <w:rPr>
          <w:rFonts w:ascii="仿宋_GB2312" w:eastAsia="仿宋_GB2312" w:hint="eastAsia"/>
          <w:color w:val="000000"/>
          <w:sz w:val="32"/>
          <w:szCs w:val="32"/>
        </w:rPr>
        <w:t>年优化调整</w:t>
      </w:r>
      <w:r>
        <w:rPr>
          <w:rFonts w:ascii="仿宋_GB2312" w:eastAsia="仿宋_GB2312"/>
          <w:color w:val="000000"/>
          <w:sz w:val="32"/>
          <w:szCs w:val="32"/>
        </w:rPr>
        <w:t>1.05</w:t>
      </w:r>
      <w:r>
        <w:rPr>
          <w:rFonts w:ascii="仿宋_GB2312" w:eastAsia="仿宋_GB2312" w:hint="eastAsia"/>
          <w:color w:val="000000"/>
          <w:sz w:val="32"/>
          <w:szCs w:val="32"/>
        </w:rPr>
        <w:t>亿吨），选矿年处理量</w:t>
      </w:r>
      <w:r>
        <w:rPr>
          <w:rFonts w:ascii="仿宋_GB2312" w:eastAsia="仿宋_GB2312"/>
          <w:color w:val="000000"/>
          <w:sz w:val="32"/>
          <w:szCs w:val="32"/>
        </w:rPr>
        <w:t>2200</w:t>
      </w:r>
      <w:r>
        <w:rPr>
          <w:rFonts w:ascii="仿宋_GB2312" w:eastAsia="仿宋_GB2312" w:hint="eastAsia"/>
          <w:color w:val="000000"/>
          <w:sz w:val="32"/>
          <w:szCs w:val="32"/>
        </w:rPr>
        <w:t>万吨，年产铁精矿粉</w:t>
      </w:r>
      <w:r>
        <w:rPr>
          <w:rFonts w:ascii="仿宋_GB2312" w:eastAsia="仿宋_GB2312"/>
          <w:color w:val="000000"/>
          <w:sz w:val="32"/>
          <w:szCs w:val="32"/>
        </w:rPr>
        <w:t>741.8</w:t>
      </w:r>
      <w:r>
        <w:rPr>
          <w:rFonts w:ascii="仿宋_GB2312" w:eastAsia="仿宋_GB2312" w:hint="eastAsia"/>
          <w:color w:val="000000"/>
          <w:sz w:val="32"/>
          <w:szCs w:val="32"/>
        </w:rPr>
        <w:t>万吨，铁精矿品位</w:t>
      </w:r>
      <w:r>
        <w:rPr>
          <w:rFonts w:ascii="仿宋_GB2312" w:eastAsia="仿宋_GB2312"/>
          <w:color w:val="000000"/>
          <w:sz w:val="32"/>
          <w:szCs w:val="32"/>
        </w:rPr>
        <w:t>TFe65%</w:t>
      </w:r>
      <w:r>
        <w:rPr>
          <w:rFonts w:ascii="仿宋_GB2312" w:eastAsia="仿宋_GB2312" w:hint="eastAsia"/>
          <w:color w:val="000000"/>
          <w:sz w:val="32"/>
          <w:szCs w:val="32"/>
        </w:rPr>
        <w:t>以上，矿山服务年限</w:t>
      </w:r>
      <w:r>
        <w:rPr>
          <w:rFonts w:ascii="仿宋_GB2312" w:eastAsia="仿宋_GB2312"/>
          <w:color w:val="000000"/>
          <w:sz w:val="32"/>
          <w:szCs w:val="32"/>
        </w:rPr>
        <w:t>40</w:t>
      </w:r>
      <w:r>
        <w:rPr>
          <w:rFonts w:ascii="仿宋_GB2312" w:eastAsia="仿宋_GB2312" w:hint="eastAsia"/>
          <w:color w:val="000000"/>
          <w:sz w:val="32"/>
          <w:szCs w:val="32"/>
        </w:rPr>
        <w:t>年，稳产期</w:t>
      </w:r>
      <w:r>
        <w:rPr>
          <w:rFonts w:ascii="仿宋_GB2312" w:eastAsia="仿宋_GB2312"/>
          <w:color w:val="000000"/>
          <w:sz w:val="32"/>
          <w:szCs w:val="32"/>
        </w:rPr>
        <w:t>34</w:t>
      </w:r>
      <w:r>
        <w:rPr>
          <w:rFonts w:ascii="仿宋_GB2312" w:eastAsia="仿宋_GB2312" w:hint="eastAsia"/>
          <w:color w:val="000000"/>
          <w:sz w:val="32"/>
          <w:szCs w:val="32"/>
        </w:rPr>
        <w:t>年；</w:t>
      </w: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设计年产</w:t>
      </w:r>
      <w:r>
        <w:rPr>
          <w:rFonts w:ascii="仿宋_GB2312" w:eastAsia="仿宋_GB2312"/>
          <w:color w:val="000000"/>
          <w:sz w:val="32"/>
          <w:szCs w:val="32"/>
        </w:rPr>
        <w:t>200</w:t>
      </w:r>
      <w:r>
        <w:rPr>
          <w:rFonts w:ascii="仿宋_GB2312" w:eastAsia="仿宋_GB2312" w:hint="eastAsia"/>
          <w:color w:val="000000"/>
          <w:sz w:val="32"/>
          <w:szCs w:val="32"/>
        </w:rPr>
        <w:t>万吨球团；设计铁路运力为</w:t>
      </w:r>
      <w:r>
        <w:rPr>
          <w:rFonts w:ascii="仿宋_GB2312" w:eastAsia="仿宋_GB2312"/>
          <w:color w:val="000000"/>
          <w:sz w:val="32"/>
          <w:szCs w:val="32"/>
        </w:rPr>
        <w:t>1000</w:t>
      </w:r>
      <w:r>
        <w:rPr>
          <w:rFonts w:ascii="仿宋_GB2312" w:eastAsia="仿宋_GB2312" w:hint="eastAsia"/>
          <w:color w:val="000000"/>
          <w:sz w:val="32"/>
          <w:szCs w:val="32"/>
        </w:rPr>
        <w:t>万吨</w:t>
      </w:r>
      <w:r>
        <w:rPr>
          <w:rFonts w:ascii="仿宋_GB2312" w:eastAsia="仿宋_GB2312"/>
          <w:color w:val="000000"/>
          <w:sz w:val="32"/>
          <w:szCs w:val="32"/>
        </w:rPr>
        <w:t>/</w:t>
      </w:r>
      <w:r>
        <w:rPr>
          <w:rFonts w:ascii="仿宋_GB2312" w:eastAsia="仿宋_GB2312" w:hint="eastAsia"/>
          <w:color w:val="000000"/>
          <w:sz w:val="32"/>
          <w:szCs w:val="32"/>
        </w:rPr>
        <w:t>年。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</w:pPr>
      <w:r>
        <w:rPr>
          <w:rFonts w:ascii="仿宋_GB2312" w:eastAsia="仿宋_GB2312" w:hint="eastAsia"/>
          <w:color w:val="000000"/>
          <w:sz w:val="32"/>
          <w:szCs w:val="32"/>
        </w:rPr>
        <w:t>采用核心业务和重要生产环节自营、非核心业务和辅助业务外包的管理运营模式（采矿整体外包、民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爆业务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外包、采掘计划管理及选矿、球团自营）。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二、公司治理及管理架构、重要人事变动、企</w:t>
      </w:r>
      <w:r>
        <w:rPr>
          <w:rFonts w:ascii="黑体" w:eastAsia="黑体" w:hAnsi="黑体" w:hint="eastAsia"/>
          <w:color w:val="000000"/>
          <w:sz w:val="32"/>
          <w:szCs w:val="32"/>
        </w:rPr>
        <w:t>业负责人薪酬水平情况</w:t>
      </w:r>
    </w:p>
    <w:p w:rsidR="00E24EE4" w:rsidRDefault="00F47126">
      <w:pPr>
        <w:spacing w:line="600" w:lineRule="exact"/>
        <w:ind w:firstLineChars="196" w:firstLine="630"/>
        <w:rPr>
          <w:rFonts w:ascii="仿宋_GB2312" w:eastAsia="仿宋_GB2312" w:hAnsi="楷体"/>
          <w:b/>
          <w:bCs/>
          <w:kern w:val="0"/>
          <w:sz w:val="32"/>
          <w:szCs w:val="32"/>
        </w:rPr>
      </w:pPr>
      <w:bookmarkStart w:id="1" w:name="_Toc_1_3_0000000047"/>
      <w:r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（一）公司治理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今年以来，岚县矿业公司以“超越自我、跑赢大盘、追求卓越、全球引领”为强绩效导向，坚决贯彻“三高两化”，全力打造极致矿山，管理遵循“十一条”，安全落地“八个字”，运用</w:t>
      </w:r>
      <w:r>
        <w:rPr>
          <w:rFonts w:ascii="仿宋" w:eastAsia="仿宋" w:hAnsi="仿宋"/>
          <w:color w:val="000000"/>
          <w:sz w:val="32"/>
          <w:szCs w:val="32"/>
        </w:rPr>
        <w:t>“</w:t>
      </w:r>
      <w:r>
        <w:rPr>
          <w:rFonts w:ascii="仿宋" w:eastAsia="仿宋" w:hAnsi="仿宋" w:hint="eastAsia"/>
          <w:color w:val="000000"/>
          <w:sz w:val="32"/>
          <w:szCs w:val="32"/>
        </w:rPr>
        <w:t>三谁、三能</w:t>
      </w:r>
      <w:r>
        <w:rPr>
          <w:rFonts w:ascii="仿宋" w:eastAsia="仿宋" w:hAnsi="仿宋"/>
          <w:color w:val="000000"/>
          <w:sz w:val="32"/>
          <w:szCs w:val="32"/>
        </w:rPr>
        <w:t>+</w:t>
      </w:r>
      <w:r>
        <w:rPr>
          <w:rFonts w:ascii="仿宋" w:eastAsia="仿宋" w:hAnsi="仿宋" w:hint="eastAsia"/>
          <w:color w:val="000000"/>
          <w:sz w:val="32"/>
          <w:szCs w:val="32"/>
        </w:rPr>
        <w:t>五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措</w:t>
      </w:r>
      <w:proofErr w:type="gramEnd"/>
      <w:r>
        <w:rPr>
          <w:rFonts w:ascii="仿宋" w:eastAsia="仿宋" w:hAnsi="仿宋"/>
          <w:color w:val="000000"/>
          <w:sz w:val="32"/>
          <w:szCs w:val="32"/>
        </w:rPr>
        <w:t>”</w:t>
      </w:r>
      <w:r>
        <w:rPr>
          <w:rFonts w:ascii="仿宋" w:eastAsia="仿宋" w:hAnsi="仿宋" w:hint="eastAsia"/>
          <w:color w:val="000000"/>
          <w:sz w:val="32"/>
          <w:szCs w:val="32"/>
        </w:rPr>
        <w:t>方法挖潜降本，向管理创新要效率，向技术进步要效益，对标一流找差距，自我跨越高质量，促进了安全履职、全面履职、精准履职、高效履职，生产经营建设和各项管理工作有条不紊推进。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（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1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）</w:t>
      </w:r>
      <w:r>
        <w:rPr>
          <w:rFonts w:ascii="仿宋" w:eastAsia="仿宋" w:hAnsi="仿宋" w:hint="eastAsia"/>
          <w:color w:val="000000"/>
          <w:sz w:val="32"/>
          <w:szCs w:val="32"/>
        </w:rPr>
        <w:t>强化生产运营管理，遵循“多条带、多部位、小比例”配矿原则，坚持“矿体</w:t>
      </w:r>
      <w:r>
        <w:rPr>
          <w:rFonts w:ascii="仿宋" w:eastAsia="仿宋" w:hAnsi="仿宋" w:hint="eastAsia"/>
          <w:color w:val="000000"/>
          <w:sz w:val="32"/>
          <w:szCs w:val="32"/>
        </w:rPr>
        <w:t>+</w:t>
      </w:r>
      <w:r>
        <w:rPr>
          <w:rFonts w:ascii="仿宋" w:eastAsia="仿宋" w:hAnsi="仿宋" w:hint="eastAsia"/>
          <w:color w:val="000000"/>
          <w:sz w:val="32"/>
          <w:szCs w:val="32"/>
        </w:rPr>
        <w:t>条带</w:t>
      </w:r>
      <w:r>
        <w:rPr>
          <w:rFonts w:ascii="仿宋" w:eastAsia="仿宋" w:hAnsi="仿宋" w:hint="eastAsia"/>
          <w:color w:val="000000"/>
          <w:sz w:val="32"/>
          <w:szCs w:val="32"/>
        </w:rPr>
        <w:t>+</w:t>
      </w:r>
      <w:r>
        <w:rPr>
          <w:rFonts w:ascii="仿宋" w:eastAsia="仿宋" w:hAnsi="仿宋" w:hint="eastAsia"/>
          <w:color w:val="000000"/>
          <w:sz w:val="32"/>
          <w:szCs w:val="32"/>
        </w:rPr>
        <w:t>矿石类型</w:t>
      </w:r>
      <w:r>
        <w:rPr>
          <w:rFonts w:ascii="仿宋" w:eastAsia="仿宋" w:hAnsi="仿宋" w:hint="eastAsia"/>
          <w:color w:val="000000"/>
          <w:sz w:val="32"/>
          <w:szCs w:val="32"/>
        </w:rPr>
        <w:t>+</w:t>
      </w:r>
      <w:r>
        <w:rPr>
          <w:rFonts w:ascii="仿宋" w:eastAsia="仿宋" w:hAnsi="仿宋" w:hint="eastAsia"/>
          <w:color w:val="000000"/>
          <w:sz w:val="32"/>
          <w:szCs w:val="32"/>
        </w:rPr>
        <w:t>品位</w:t>
      </w:r>
      <w:r>
        <w:rPr>
          <w:rFonts w:ascii="仿宋" w:eastAsia="仿宋" w:hAnsi="仿宋" w:hint="eastAsia"/>
          <w:color w:val="000000"/>
          <w:sz w:val="32"/>
          <w:szCs w:val="32"/>
        </w:rPr>
        <w:t>+</w:t>
      </w:r>
      <w:r>
        <w:rPr>
          <w:rFonts w:ascii="仿宋" w:eastAsia="仿宋" w:hAnsi="仿宋" w:hint="eastAsia"/>
          <w:color w:val="000000"/>
          <w:sz w:val="32"/>
          <w:szCs w:val="32"/>
        </w:rPr>
        <w:t>含铁硅酸盐</w:t>
      </w:r>
      <w:r>
        <w:rPr>
          <w:rFonts w:ascii="仿宋" w:eastAsia="仿宋" w:hAnsi="仿宋" w:hint="eastAsia"/>
          <w:color w:val="000000"/>
          <w:sz w:val="32"/>
          <w:szCs w:val="32"/>
        </w:rPr>
        <w:t>+</w:t>
      </w:r>
      <w:r>
        <w:rPr>
          <w:rFonts w:ascii="仿宋" w:eastAsia="仿宋" w:hAnsi="仿宋" w:hint="eastAsia"/>
          <w:color w:val="000000"/>
          <w:sz w:val="32"/>
          <w:szCs w:val="32"/>
        </w:rPr>
        <w:t>硫含量”六要素精细化配矿，为全系统均衡稳定生产创造了前提条件。贯彻“工艺与装备一体化”管理思路，组织开展选矿工艺评价，严格执行浮选“四象限”工艺标准、“三联动”操作法和</w:t>
      </w:r>
      <w:r>
        <w:rPr>
          <w:rFonts w:ascii="仿宋" w:eastAsia="仿宋" w:hAnsi="仿宋" w:hint="eastAsia"/>
          <w:color w:val="000000"/>
          <w:sz w:val="32"/>
          <w:szCs w:val="32"/>
        </w:rPr>
        <w:t>0.1%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锥阀幅度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调整法，选矿金属回收率超设计水平运行。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（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2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）</w:t>
      </w:r>
      <w:r>
        <w:rPr>
          <w:rFonts w:ascii="仿宋" w:eastAsia="仿宋" w:hAnsi="仿宋" w:hint="eastAsia"/>
          <w:color w:val="000000"/>
          <w:sz w:val="32"/>
          <w:szCs w:val="32"/>
        </w:rPr>
        <w:t>加</w:t>
      </w:r>
      <w:r>
        <w:rPr>
          <w:rFonts w:ascii="仿宋" w:eastAsia="仿宋" w:hAnsi="仿宋" w:hint="eastAsia"/>
          <w:color w:val="000000"/>
          <w:sz w:val="32"/>
          <w:szCs w:val="32"/>
        </w:rPr>
        <w:t>大科技创新力度，推进以产学研合作与自主创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新相结合的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层级化创新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体系，制定技术研发管理制度，确立年度技术</w:t>
      </w:r>
      <w:r>
        <w:rPr>
          <w:rFonts w:ascii="仿宋" w:eastAsia="仿宋" w:hAnsi="仿宋"/>
          <w:color w:val="000000"/>
          <w:sz w:val="32"/>
          <w:szCs w:val="32"/>
        </w:rPr>
        <w:t>研发项目</w:t>
      </w:r>
      <w:r>
        <w:rPr>
          <w:rFonts w:ascii="仿宋" w:eastAsia="仿宋" w:hAnsi="仿宋" w:hint="eastAsia"/>
          <w:color w:val="000000"/>
          <w:sz w:val="32"/>
          <w:szCs w:val="32"/>
        </w:rPr>
        <w:t>26</w:t>
      </w:r>
      <w:r>
        <w:rPr>
          <w:rFonts w:ascii="仿宋" w:eastAsia="仿宋" w:hAnsi="仿宋" w:hint="eastAsia"/>
          <w:color w:val="000000"/>
          <w:sz w:val="32"/>
          <w:szCs w:val="32"/>
        </w:rPr>
        <w:t>项</w:t>
      </w:r>
      <w:r>
        <w:rPr>
          <w:rFonts w:ascii="仿宋" w:eastAsia="仿宋" w:hAnsi="仿宋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研发费用</w:t>
      </w:r>
      <w:r>
        <w:rPr>
          <w:rFonts w:ascii="仿宋" w:eastAsia="仿宋" w:hAnsi="仿宋" w:hint="eastAsia"/>
          <w:color w:val="000000"/>
          <w:sz w:val="32"/>
          <w:szCs w:val="32"/>
        </w:rPr>
        <w:t>3.68</w:t>
      </w:r>
      <w:r>
        <w:rPr>
          <w:rFonts w:ascii="仿宋" w:eastAsia="仿宋" w:hAnsi="仿宋" w:hint="eastAsia"/>
          <w:color w:val="000000"/>
          <w:sz w:val="32"/>
          <w:szCs w:val="32"/>
        </w:rPr>
        <w:t>亿元；</w:t>
      </w:r>
      <w:r>
        <w:rPr>
          <w:rFonts w:ascii="仿宋" w:eastAsia="仿宋" w:hAnsi="仿宋"/>
          <w:color w:val="000000"/>
          <w:sz w:val="32"/>
          <w:szCs w:val="32"/>
        </w:rPr>
        <w:t>集团公司级科技攻关课题</w:t>
      </w:r>
      <w:r>
        <w:rPr>
          <w:rFonts w:ascii="仿宋" w:eastAsia="仿宋" w:hAnsi="仿宋"/>
          <w:color w:val="000000"/>
          <w:sz w:val="32"/>
          <w:szCs w:val="32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</w:rPr>
        <w:t>项</w:t>
      </w:r>
      <w:r>
        <w:rPr>
          <w:rFonts w:ascii="仿宋" w:eastAsia="仿宋" w:hAnsi="仿宋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矿部技术攻关项目</w:t>
      </w:r>
      <w:r>
        <w:rPr>
          <w:rFonts w:ascii="仿宋" w:eastAsia="仿宋" w:hAnsi="仿宋" w:hint="eastAsia"/>
          <w:color w:val="000000"/>
          <w:sz w:val="32"/>
          <w:szCs w:val="32"/>
        </w:rPr>
        <w:t>46</w:t>
      </w:r>
      <w:r>
        <w:rPr>
          <w:rFonts w:ascii="仿宋" w:eastAsia="仿宋" w:hAnsi="仿宋" w:hint="eastAsia"/>
          <w:color w:val="000000"/>
          <w:sz w:val="32"/>
          <w:szCs w:val="32"/>
        </w:rPr>
        <w:t>项。加强专有技术及专利管理工作，截至</w:t>
      </w:r>
      <w:r>
        <w:rPr>
          <w:rFonts w:ascii="仿宋" w:eastAsia="仿宋" w:hAnsi="仿宋" w:hint="eastAsia"/>
          <w:color w:val="000000"/>
          <w:sz w:val="32"/>
          <w:szCs w:val="32"/>
        </w:rPr>
        <w:t>10</w:t>
      </w:r>
      <w:r>
        <w:rPr>
          <w:rFonts w:ascii="仿宋" w:eastAsia="仿宋" w:hAnsi="仿宋" w:hint="eastAsia"/>
          <w:color w:val="000000"/>
          <w:sz w:val="32"/>
          <w:szCs w:val="32"/>
        </w:rPr>
        <w:t>月份申报专利</w:t>
      </w:r>
      <w:r>
        <w:rPr>
          <w:rFonts w:ascii="仿宋" w:eastAsia="仿宋" w:hAnsi="仿宋" w:hint="eastAsia"/>
          <w:color w:val="000000"/>
          <w:sz w:val="32"/>
          <w:szCs w:val="32"/>
        </w:rPr>
        <w:t>13</w:t>
      </w:r>
      <w:r>
        <w:rPr>
          <w:rFonts w:ascii="仿宋" w:eastAsia="仿宋" w:hAnsi="仿宋" w:hint="eastAsia"/>
          <w:color w:val="000000"/>
          <w:sz w:val="32"/>
          <w:szCs w:val="32"/>
        </w:rPr>
        <w:t>件，受理</w:t>
      </w:r>
      <w:r>
        <w:rPr>
          <w:rFonts w:ascii="仿宋" w:eastAsia="仿宋" w:hAnsi="仿宋" w:hint="eastAsia"/>
          <w:color w:val="000000"/>
          <w:sz w:val="32"/>
          <w:szCs w:val="32"/>
        </w:rPr>
        <w:t>3</w:t>
      </w:r>
      <w:r>
        <w:rPr>
          <w:rFonts w:ascii="仿宋" w:eastAsia="仿宋" w:hAnsi="仿宋" w:hint="eastAsia"/>
          <w:color w:val="000000"/>
          <w:sz w:val="32"/>
          <w:szCs w:val="32"/>
        </w:rPr>
        <w:t>件</w:t>
      </w:r>
      <w:r>
        <w:rPr>
          <w:rFonts w:ascii="仿宋" w:eastAsia="仿宋" w:hAnsi="仿宋" w:hint="eastAsia"/>
          <w:color w:val="000000"/>
          <w:sz w:val="32"/>
          <w:szCs w:val="32"/>
        </w:rPr>
        <w:t>,</w:t>
      </w:r>
      <w:r>
        <w:rPr>
          <w:rFonts w:ascii="仿宋" w:eastAsia="仿宋" w:hAnsi="仿宋" w:hint="eastAsia"/>
          <w:color w:val="000000"/>
          <w:sz w:val="32"/>
          <w:szCs w:val="32"/>
        </w:rPr>
        <w:t>历年累计申报专利</w:t>
      </w:r>
      <w:r>
        <w:rPr>
          <w:rFonts w:ascii="仿宋" w:eastAsia="仿宋" w:hAnsi="仿宋" w:hint="eastAsia"/>
          <w:color w:val="000000"/>
          <w:sz w:val="32"/>
          <w:szCs w:val="32"/>
        </w:rPr>
        <w:t>76</w:t>
      </w:r>
      <w:r>
        <w:rPr>
          <w:rFonts w:ascii="仿宋" w:eastAsia="仿宋" w:hAnsi="仿宋" w:hint="eastAsia"/>
          <w:color w:val="000000"/>
          <w:sz w:val="32"/>
          <w:szCs w:val="32"/>
        </w:rPr>
        <w:t>项，授权</w:t>
      </w:r>
      <w:r>
        <w:rPr>
          <w:rFonts w:ascii="仿宋" w:eastAsia="仿宋" w:hAnsi="仿宋" w:hint="eastAsia"/>
          <w:color w:val="000000"/>
          <w:sz w:val="32"/>
          <w:szCs w:val="32"/>
        </w:rPr>
        <w:t>37</w:t>
      </w:r>
      <w:r>
        <w:rPr>
          <w:rFonts w:ascii="仿宋" w:eastAsia="仿宋" w:hAnsi="仿宋" w:hint="eastAsia"/>
          <w:color w:val="000000"/>
          <w:sz w:val="32"/>
          <w:szCs w:val="32"/>
        </w:rPr>
        <w:t>项。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（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3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）</w:t>
      </w:r>
      <w:r>
        <w:rPr>
          <w:rFonts w:ascii="仿宋" w:eastAsia="仿宋" w:hAnsi="仿宋" w:hint="eastAsia"/>
          <w:color w:val="000000"/>
          <w:sz w:val="32"/>
          <w:szCs w:val="32"/>
        </w:rPr>
        <w:t>坚持对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标找差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，组建选矿工艺、球团工艺、管理提升、智慧矿山四个对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标管理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团队外出对标考察，从战略管理、人力资源管理、科技管理、运营管理、效率提升、财务管理、矿山可持续发展等方面，瞄准同行业上一名、同行业第一名对标，持</w:t>
      </w:r>
      <w:r>
        <w:rPr>
          <w:rFonts w:ascii="仿宋" w:eastAsia="仿宋" w:hAnsi="仿宋" w:hint="eastAsia"/>
          <w:color w:val="000000"/>
          <w:sz w:val="32"/>
          <w:szCs w:val="32"/>
        </w:rPr>
        <w:t>续提升管理技术水平。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（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4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）</w:t>
      </w:r>
      <w:r>
        <w:rPr>
          <w:rFonts w:ascii="仿宋" w:eastAsia="仿宋" w:hAnsi="仿宋" w:hint="eastAsia"/>
          <w:color w:val="000000"/>
          <w:sz w:val="32"/>
          <w:szCs w:val="32"/>
        </w:rPr>
        <w:t>强化工艺与装备一体化管控，将故障管理纳入设备管控体系，持续提高设备作业率，</w:t>
      </w:r>
      <w:r>
        <w:rPr>
          <w:rFonts w:ascii="仿宋" w:eastAsia="仿宋" w:hAnsi="仿宋" w:hint="eastAsia"/>
          <w:color w:val="000000"/>
          <w:sz w:val="32"/>
          <w:szCs w:val="32"/>
        </w:rPr>
        <w:t>1-10</w:t>
      </w:r>
      <w:r>
        <w:rPr>
          <w:rFonts w:ascii="仿宋" w:eastAsia="仿宋" w:hAnsi="仿宋" w:hint="eastAsia"/>
          <w:color w:val="000000"/>
          <w:sz w:val="32"/>
          <w:szCs w:val="32"/>
        </w:rPr>
        <w:t>月份半自磨机、压滤机、回转窑作业率均超预算完成，较去年同期有所提高，保证了设备的功能、精度达标，实现了低成本、安全、绿色生产。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（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5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）</w:t>
      </w:r>
      <w:r>
        <w:rPr>
          <w:rFonts w:ascii="仿宋" w:eastAsia="仿宋" w:hAnsi="仿宋" w:cs="宋体" w:hint="eastAsia"/>
          <w:kern w:val="0"/>
          <w:sz w:val="32"/>
          <w:szCs w:val="32"/>
        </w:rPr>
        <w:t>建立全员岗位安全生产责任制清单，</w:t>
      </w:r>
      <w:r>
        <w:rPr>
          <w:rFonts w:ascii="仿宋" w:eastAsia="仿宋" w:hAnsi="仿宋" w:cs="仿宋" w:hint="eastAsia"/>
          <w:bCs/>
          <w:sz w:val="32"/>
          <w:szCs w:val="32"/>
        </w:rPr>
        <w:t>精细划分管理人员“专业安全责任田”，做到守土有责、守土负责、守土尽责。推进安全风险分级管控和隐患排查双重预防机制建设，</w:t>
      </w:r>
      <w:r>
        <w:rPr>
          <w:rFonts w:ascii="仿宋" w:eastAsia="仿宋" w:hAnsi="仿宋" w:cs="仿宋" w:hint="eastAsia"/>
          <w:sz w:val="32"/>
          <w:szCs w:val="32"/>
        </w:rPr>
        <w:t>建立了风险分级管控体系，对管控档案进行分级管理</w:t>
      </w:r>
      <w:r>
        <w:rPr>
          <w:rFonts w:ascii="仿宋" w:eastAsia="仿宋" w:hAnsi="仿宋" w:cs="宋体" w:hint="eastAsia"/>
          <w:kern w:val="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强化采空区勘查探测，探明空区</w:t>
      </w:r>
      <w:r>
        <w:rPr>
          <w:rFonts w:ascii="仿宋" w:eastAsia="仿宋" w:hAnsi="仿宋" w:hint="eastAsia"/>
          <w:color w:val="000000"/>
          <w:sz w:val="32"/>
          <w:szCs w:val="32"/>
        </w:rPr>
        <w:t>75</w:t>
      </w:r>
      <w:r>
        <w:rPr>
          <w:rFonts w:ascii="仿宋" w:eastAsia="仿宋" w:hAnsi="仿宋" w:hint="eastAsia"/>
          <w:color w:val="000000"/>
          <w:sz w:val="32"/>
          <w:szCs w:val="32"/>
        </w:rPr>
        <w:t>个，较去年同期增加</w:t>
      </w:r>
      <w:r>
        <w:rPr>
          <w:rFonts w:ascii="仿宋" w:eastAsia="仿宋" w:hAnsi="仿宋" w:hint="eastAsia"/>
          <w:color w:val="000000"/>
          <w:sz w:val="32"/>
          <w:szCs w:val="32"/>
        </w:rPr>
        <w:t>16%</w:t>
      </w:r>
      <w:r>
        <w:rPr>
          <w:rFonts w:ascii="仿宋" w:eastAsia="仿宋" w:hAnsi="仿宋" w:hint="eastAsia"/>
          <w:color w:val="000000"/>
          <w:sz w:val="32"/>
          <w:szCs w:val="32"/>
        </w:rPr>
        <w:t>，累计探明空区</w:t>
      </w:r>
      <w:r>
        <w:rPr>
          <w:rFonts w:ascii="仿宋" w:eastAsia="仿宋" w:hAnsi="仿宋" w:hint="eastAsia"/>
          <w:color w:val="000000"/>
          <w:sz w:val="32"/>
          <w:szCs w:val="32"/>
        </w:rPr>
        <w:t>472</w:t>
      </w:r>
      <w:r>
        <w:rPr>
          <w:rFonts w:ascii="仿宋" w:eastAsia="仿宋" w:hAnsi="仿宋" w:hint="eastAsia"/>
          <w:color w:val="000000"/>
          <w:sz w:val="32"/>
          <w:szCs w:val="32"/>
        </w:rPr>
        <w:t>个，已处理</w:t>
      </w:r>
      <w:r>
        <w:rPr>
          <w:rFonts w:ascii="仿宋" w:eastAsia="仿宋" w:hAnsi="仿宋" w:hint="eastAsia"/>
          <w:color w:val="000000"/>
          <w:sz w:val="32"/>
          <w:szCs w:val="32"/>
        </w:rPr>
        <w:t>452</w:t>
      </w:r>
      <w:r>
        <w:rPr>
          <w:rFonts w:ascii="仿宋" w:eastAsia="仿宋" w:hAnsi="仿宋" w:hint="eastAsia"/>
          <w:color w:val="000000"/>
          <w:sz w:val="32"/>
          <w:szCs w:val="32"/>
        </w:rPr>
        <w:t>个，实现了安全探测“零”遗漏、安全处理“零”失误、安全管控“零”事故目标。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</w:t>
      </w:r>
      <w:r>
        <w:rPr>
          <w:rFonts w:ascii="仿宋" w:eastAsia="仿宋" w:hAnsi="仿宋" w:hint="eastAsia"/>
          <w:color w:val="000000"/>
          <w:sz w:val="32"/>
          <w:szCs w:val="32"/>
        </w:rPr>
        <w:t>6</w:t>
      </w:r>
      <w:r>
        <w:rPr>
          <w:rFonts w:ascii="仿宋" w:eastAsia="仿宋" w:hAnsi="仿宋" w:hint="eastAsia"/>
          <w:color w:val="000000"/>
          <w:sz w:val="32"/>
          <w:szCs w:val="32"/>
        </w:rPr>
        <w:t>）贯彻落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实习近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平总书记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关于碳达峰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、碳中和重要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批示精神，加强碳中和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碳达峰体制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机制建设，开展了磨矿介质优化工业试验，降低了选矿电单耗；淘汰落后电机</w:t>
      </w:r>
      <w:r>
        <w:rPr>
          <w:rFonts w:ascii="仿宋" w:eastAsia="仿宋" w:hAnsi="仿宋" w:hint="eastAsia"/>
          <w:color w:val="000000"/>
          <w:sz w:val="32"/>
          <w:szCs w:val="32"/>
        </w:rPr>
        <w:t>167</w:t>
      </w:r>
      <w:r>
        <w:rPr>
          <w:rFonts w:ascii="仿宋" w:eastAsia="仿宋" w:hAnsi="仿宋" w:hint="eastAsia"/>
          <w:color w:val="000000"/>
          <w:sz w:val="32"/>
          <w:szCs w:val="32"/>
        </w:rPr>
        <w:t>台，现已交货</w:t>
      </w:r>
      <w:r>
        <w:rPr>
          <w:rFonts w:ascii="仿宋" w:eastAsia="仿宋" w:hAnsi="仿宋" w:hint="eastAsia"/>
          <w:color w:val="000000"/>
          <w:sz w:val="32"/>
          <w:szCs w:val="32"/>
        </w:rPr>
        <w:t>60</w:t>
      </w:r>
      <w:r>
        <w:rPr>
          <w:rFonts w:ascii="仿宋" w:eastAsia="仿宋" w:hAnsi="仿宋" w:hint="eastAsia"/>
          <w:color w:val="000000"/>
          <w:sz w:val="32"/>
          <w:szCs w:val="32"/>
        </w:rPr>
        <w:t>台，逐步更换</w:t>
      </w:r>
      <w:r>
        <w:rPr>
          <w:rFonts w:ascii="仿宋" w:eastAsia="仿宋" w:hAnsi="仿宋" w:hint="eastAsia"/>
          <w:color w:val="000000"/>
          <w:sz w:val="32"/>
          <w:szCs w:val="32"/>
        </w:rPr>
        <w:t>47</w:t>
      </w:r>
      <w:r>
        <w:rPr>
          <w:rFonts w:ascii="仿宋" w:eastAsia="仿宋" w:hAnsi="仿宋" w:hint="eastAsia"/>
          <w:color w:val="000000"/>
          <w:sz w:val="32"/>
          <w:szCs w:val="32"/>
        </w:rPr>
        <w:t>台。优化浮选低压电网功率因素，投用低压电容补偿，每月节电约</w:t>
      </w:r>
      <w:r>
        <w:rPr>
          <w:rFonts w:ascii="仿宋" w:eastAsia="仿宋" w:hAnsi="仿宋" w:hint="eastAsia"/>
          <w:color w:val="000000"/>
          <w:sz w:val="32"/>
          <w:szCs w:val="32"/>
        </w:rPr>
        <w:t>175000kWh</w:t>
      </w:r>
      <w:r>
        <w:rPr>
          <w:rFonts w:ascii="仿宋" w:eastAsia="仿宋" w:hAnsi="仿宋" w:hint="eastAsia"/>
          <w:color w:val="000000"/>
          <w:sz w:val="32"/>
          <w:szCs w:val="32"/>
        </w:rPr>
        <w:t>。优化集矿皮带电机配置，每月节电约</w:t>
      </w:r>
      <w:r>
        <w:rPr>
          <w:rFonts w:ascii="仿宋" w:eastAsia="仿宋" w:hAnsi="仿宋" w:hint="eastAsia"/>
          <w:color w:val="000000"/>
          <w:sz w:val="32"/>
          <w:szCs w:val="32"/>
        </w:rPr>
        <w:t>50000kWh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</w:t>
      </w:r>
      <w:r>
        <w:rPr>
          <w:rFonts w:ascii="仿宋" w:eastAsia="仿宋" w:hAnsi="仿宋" w:hint="eastAsia"/>
          <w:color w:val="000000"/>
          <w:sz w:val="32"/>
          <w:szCs w:val="32"/>
        </w:rPr>
        <w:t>7</w:t>
      </w:r>
      <w:r>
        <w:rPr>
          <w:rFonts w:ascii="仿宋" w:eastAsia="仿宋" w:hAnsi="仿宋" w:hint="eastAsia"/>
          <w:color w:val="000000"/>
          <w:sz w:val="32"/>
          <w:szCs w:val="32"/>
        </w:rPr>
        <w:t>）夯实管理基础，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践行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精细文化，创建五星级班组，全矿</w:t>
      </w:r>
      <w:r>
        <w:rPr>
          <w:rFonts w:ascii="仿宋" w:eastAsia="仿宋" w:hAnsi="仿宋" w:hint="eastAsia"/>
          <w:color w:val="000000"/>
          <w:sz w:val="32"/>
          <w:szCs w:val="32"/>
        </w:rPr>
        <w:t>83</w:t>
      </w:r>
      <w:r>
        <w:rPr>
          <w:rFonts w:ascii="仿宋" w:eastAsia="仿宋" w:hAnsi="仿宋" w:hint="eastAsia"/>
          <w:color w:val="000000"/>
          <w:sz w:val="32"/>
          <w:szCs w:val="32"/>
        </w:rPr>
        <w:t>个班组全部通过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一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星级验收，</w:t>
      </w:r>
      <w:r>
        <w:rPr>
          <w:rFonts w:ascii="仿宋" w:eastAsia="仿宋" w:hAnsi="仿宋" w:hint="eastAsia"/>
          <w:color w:val="000000"/>
          <w:sz w:val="32"/>
          <w:szCs w:val="32"/>
        </w:rPr>
        <w:t>49</w:t>
      </w:r>
      <w:r>
        <w:rPr>
          <w:rFonts w:ascii="仿宋" w:eastAsia="仿宋" w:hAnsi="仿宋" w:hint="eastAsia"/>
          <w:color w:val="000000"/>
          <w:sz w:val="32"/>
          <w:szCs w:val="32"/>
        </w:rPr>
        <w:t>个班组通过二星级验收，</w:t>
      </w:r>
      <w:r>
        <w:rPr>
          <w:rFonts w:ascii="仿宋" w:eastAsia="仿宋" w:hAnsi="仿宋" w:hint="eastAsia"/>
          <w:color w:val="000000"/>
          <w:sz w:val="32"/>
          <w:szCs w:val="32"/>
        </w:rPr>
        <w:t>6</w:t>
      </w:r>
      <w:r>
        <w:rPr>
          <w:rFonts w:ascii="仿宋" w:eastAsia="仿宋" w:hAnsi="仿宋" w:hint="eastAsia"/>
          <w:color w:val="000000"/>
          <w:sz w:val="32"/>
          <w:szCs w:val="32"/>
        </w:rPr>
        <w:t>个班组通过三星级验收。推进“一人一月一精细”精细化管理案例征集活动，征集</w:t>
      </w:r>
      <w:r>
        <w:rPr>
          <w:rFonts w:ascii="仿宋" w:eastAsia="仿宋" w:hAnsi="仿宋" w:hint="eastAsia"/>
          <w:color w:val="000000"/>
          <w:sz w:val="32"/>
          <w:szCs w:val="32"/>
        </w:rPr>
        <w:t>2080</w:t>
      </w:r>
      <w:r>
        <w:rPr>
          <w:rFonts w:ascii="仿宋" w:eastAsia="仿宋" w:hAnsi="仿宋" w:hint="eastAsia"/>
          <w:color w:val="000000"/>
          <w:sz w:val="32"/>
          <w:szCs w:val="32"/>
        </w:rPr>
        <w:t>条精细化管理案例，推动了精细文化落地生根。建立决策</w:t>
      </w:r>
      <w:r>
        <w:rPr>
          <w:rFonts w:ascii="仿宋" w:eastAsia="仿宋" w:hAnsi="仿宋" w:hint="eastAsia"/>
          <w:color w:val="000000"/>
          <w:sz w:val="32"/>
          <w:szCs w:val="32"/>
        </w:rPr>
        <w:t>-</w:t>
      </w:r>
      <w:r>
        <w:rPr>
          <w:rFonts w:ascii="仿宋" w:eastAsia="仿宋" w:hAnsi="仿宋" w:hint="eastAsia"/>
          <w:color w:val="000000"/>
          <w:sz w:val="32"/>
          <w:szCs w:val="32"/>
        </w:rPr>
        <w:t>运营</w:t>
      </w:r>
      <w:r>
        <w:rPr>
          <w:rFonts w:ascii="仿宋" w:eastAsia="仿宋" w:hAnsi="仿宋" w:hint="eastAsia"/>
          <w:color w:val="000000"/>
          <w:sz w:val="32"/>
          <w:szCs w:val="32"/>
        </w:rPr>
        <w:t>-</w:t>
      </w:r>
      <w:r>
        <w:rPr>
          <w:rFonts w:ascii="仿宋" w:eastAsia="仿宋" w:hAnsi="仿宋" w:hint="eastAsia"/>
          <w:color w:val="000000"/>
          <w:sz w:val="32"/>
          <w:szCs w:val="32"/>
        </w:rPr>
        <w:t>执行三级高效管控体系，提高了管理效率，促进了安全履职、全面履职、精准履职、高效履职。</w:t>
      </w:r>
    </w:p>
    <w:p w:rsidR="00E24EE4" w:rsidRDefault="00F47126">
      <w:pPr>
        <w:ind w:firstLine="5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（</w:t>
      </w:r>
      <w:r>
        <w:rPr>
          <w:rFonts w:ascii="仿宋" w:eastAsia="仿宋" w:hAnsi="仿宋" w:hint="eastAsia"/>
          <w:b/>
          <w:bCs/>
          <w:sz w:val="32"/>
          <w:szCs w:val="32"/>
        </w:rPr>
        <w:t>8</w:t>
      </w:r>
      <w:r>
        <w:rPr>
          <w:rFonts w:ascii="仿宋" w:eastAsia="仿宋" w:hAnsi="仿宋" w:hint="eastAsia"/>
          <w:b/>
          <w:bCs/>
          <w:sz w:val="32"/>
          <w:szCs w:val="32"/>
        </w:rPr>
        <w:t>）</w:t>
      </w:r>
      <w:r>
        <w:rPr>
          <w:rFonts w:ascii="仿宋" w:eastAsia="仿宋" w:hAnsi="仿宋" w:cs="仿宋_GB2312" w:hint="eastAsia"/>
          <w:sz w:val="32"/>
          <w:szCs w:val="32"/>
        </w:rPr>
        <w:t>坚持党对国有企业的全面领导，对表对标全国国有企业党建工作会议精神，把握“两个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一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以贯之”，把党组织研究讨论作为重大决策前置程序，提高了民主决策水平。健全完善了党委会议事制度</w:t>
      </w:r>
      <w:r>
        <w:rPr>
          <w:rFonts w:ascii="仿宋" w:eastAsia="仿宋" w:hAnsi="仿宋" w:cs="仿宋_GB2312" w:hint="eastAsia"/>
          <w:sz w:val="32"/>
          <w:szCs w:val="32"/>
        </w:rPr>
        <w:t>、领导干部多点联系制度、支部党群工作考核评价办法等</w:t>
      </w:r>
      <w:r>
        <w:rPr>
          <w:rFonts w:ascii="仿宋" w:eastAsia="仿宋" w:hAnsi="仿宋" w:cs="仿宋_GB2312" w:hint="eastAsia"/>
          <w:sz w:val="32"/>
          <w:szCs w:val="32"/>
        </w:rPr>
        <w:t>22</w:t>
      </w:r>
      <w:r>
        <w:rPr>
          <w:rFonts w:ascii="仿宋" w:eastAsia="仿宋" w:hAnsi="仿宋" w:cs="仿宋_GB2312" w:hint="eastAsia"/>
          <w:sz w:val="32"/>
          <w:szCs w:val="32"/>
        </w:rPr>
        <w:t>项党委工作制度，提高了党建工作科学化制度化规范化管理水平。扎实推进党史学习教育，累计实施“我为群众办实事”项目</w:t>
      </w:r>
      <w:r>
        <w:rPr>
          <w:rFonts w:ascii="仿宋" w:eastAsia="仿宋" w:hAnsi="仿宋" w:cs="仿宋_GB2312" w:hint="eastAsia"/>
          <w:sz w:val="32"/>
          <w:szCs w:val="32"/>
        </w:rPr>
        <w:t>81</w:t>
      </w:r>
      <w:r>
        <w:rPr>
          <w:rFonts w:ascii="仿宋" w:eastAsia="仿宋" w:hAnsi="仿宋" w:cs="仿宋_GB2312" w:hint="eastAsia"/>
          <w:sz w:val="32"/>
          <w:szCs w:val="32"/>
        </w:rPr>
        <w:t>个，已完成</w:t>
      </w:r>
      <w:r>
        <w:rPr>
          <w:rFonts w:ascii="仿宋" w:eastAsia="仿宋" w:hAnsi="仿宋" w:cs="仿宋_GB2312" w:hint="eastAsia"/>
          <w:sz w:val="32"/>
          <w:szCs w:val="32"/>
        </w:rPr>
        <w:t>65</w:t>
      </w:r>
      <w:r>
        <w:rPr>
          <w:rFonts w:ascii="仿宋" w:eastAsia="仿宋" w:hAnsi="仿宋" w:cs="仿宋_GB2312" w:hint="eastAsia"/>
          <w:sz w:val="32"/>
          <w:szCs w:val="32"/>
        </w:rPr>
        <w:t>个。持续压实党建工作责任，对支部考评实行“双百分”制，提高了党的建设质量。</w:t>
      </w:r>
    </w:p>
    <w:p w:rsidR="00E24EE4" w:rsidRDefault="00F47126">
      <w:pPr>
        <w:spacing w:line="600" w:lineRule="exact"/>
        <w:ind w:firstLineChars="196" w:firstLine="627"/>
        <w:rPr>
          <w:rFonts w:ascii="仿宋_GB2312" w:eastAsia="仿宋_GB2312" w:hAnsi="楷体"/>
          <w:b/>
          <w:bCs/>
          <w:kern w:val="0"/>
          <w:sz w:val="32"/>
          <w:szCs w:val="32"/>
        </w:rPr>
      </w:pPr>
      <w:r>
        <w:rPr>
          <w:rFonts w:ascii="楷体_GB2312" w:eastAsia="楷体_GB2312" w:hAnsi="Times New Roman" w:hint="eastAsia"/>
          <w:color w:val="000000"/>
          <w:sz w:val="32"/>
          <w:szCs w:val="32"/>
        </w:rPr>
        <w:t>（</w:t>
      </w:r>
      <w:r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二）</w:t>
      </w:r>
      <w:bookmarkEnd w:id="1"/>
      <w:r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管理架构及运行情况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岚县矿业公司现有职工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357</w:t>
      </w:r>
      <w:r>
        <w:rPr>
          <w:rFonts w:ascii="仿宋_GB2312" w:eastAsia="仿宋_GB2312" w:hint="eastAsia"/>
          <w:color w:val="000000"/>
          <w:sz w:val="32"/>
          <w:szCs w:val="32"/>
        </w:rPr>
        <w:t>人。设立</w:t>
      </w:r>
      <w:r>
        <w:rPr>
          <w:rFonts w:ascii="仿宋_GB2312" w:eastAsia="仿宋_GB2312"/>
          <w:color w:val="000000"/>
          <w:sz w:val="32"/>
          <w:szCs w:val="32"/>
        </w:rPr>
        <w:t>15</w:t>
      </w:r>
      <w:r>
        <w:rPr>
          <w:rFonts w:ascii="仿宋_GB2312" w:eastAsia="仿宋_GB2312" w:hint="eastAsia"/>
          <w:color w:val="000000"/>
          <w:sz w:val="32"/>
          <w:szCs w:val="32"/>
        </w:rPr>
        <w:t>个专业职能科室、</w:t>
      </w:r>
      <w:r>
        <w:rPr>
          <w:rFonts w:ascii="仿宋_GB2312" w:eastAsia="仿宋_GB2312"/>
          <w:color w:val="000000"/>
          <w:sz w:val="32"/>
          <w:szCs w:val="32"/>
        </w:rPr>
        <w:t>5</w:t>
      </w:r>
      <w:r>
        <w:rPr>
          <w:rFonts w:ascii="仿宋_GB2312" w:eastAsia="仿宋_GB2312" w:hint="eastAsia"/>
          <w:color w:val="000000"/>
          <w:sz w:val="32"/>
          <w:szCs w:val="32"/>
        </w:rPr>
        <w:t>个部、</w:t>
      </w:r>
      <w:r>
        <w:rPr>
          <w:rFonts w:ascii="仿宋_GB2312" w:eastAsia="仿宋_GB2312"/>
          <w:color w:val="000000"/>
          <w:sz w:val="32"/>
          <w:szCs w:val="32"/>
        </w:rPr>
        <w:t>15</w:t>
      </w:r>
      <w:r>
        <w:rPr>
          <w:rFonts w:ascii="仿宋_GB2312" w:eastAsia="仿宋_GB2312" w:hint="eastAsia"/>
          <w:color w:val="000000"/>
          <w:sz w:val="32"/>
          <w:szCs w:val="32"/>
        </w:rPr>
        <w:t>个作业区（其中，撤销后勤作业区，原后勤作业区</w:t>
      </w:r>
      <w:r>
        <w:rPr>
          <w:rFonts w:ascii="仿宋_GB2312" w:eastAsia="仿宋_GB2312"/>
          <w:color w:val="000000"/>
          <w:sz w:val="32"/>
          <w:szCs w:val="32"/>
        </w:rPr>
        <w:t>22</w:t>
      </w:r>
      <w:r>
        <w:rPr>
          <w:rFonts w:ascii="仿宋_GB2312" w:eastAsia="仿宋_GB2312" w:hint="eastAsia"/>
          <w:color w:val="000000"/>
          <w:sz w:val="32"/>
          <w:szCs w:val="32"/>
        </w:rPr>
        <w:t>人整体划入创业站）。建立决策层、运营层、执行层三级高效管控体系，把管理标准、业务标准和操作标准执行程度纳入岗位绩</w:t>
      </w:r>
      <w:r>
        <w:rPr>
          <w:rFonts w:ascii="仿宋_GB2312" w:eastAsia="仿宋_GB2312" w:hint="eastAsia"/>
          <w:color w:val="000000"/>
          <w:sz w:val="32"/>
          <w:szCs w:val="32"/>
        </w:rPr>
        <w:t>效考评，提高</w:t>
      </w:r>
      <w:r>
        <w:rPr>
          <w:rFonts w:ascii="仿宋_GB2312" w:eastAsia="仿宋_GB2312" w:cs="Times New Roman" w:hint="eastAsia"/>
          <w:color w:val="000000"/>
          <w:sz w:val="32"/>
          <w:szCs w:val="32"/>
        </w:rPr>
        <w:t>全员</w:t>
      </w:r>
      <w:proofErr w:type="gramStart"/>
      <w:r>
        <w:rPr>
          <w:rFonts w:ascii="仿宋_GB2312" w:eastAsia="仿宋_GB2312" w:cs="Times New Roman" w:hint="eastAsia"/>
          <w:color w:val="000000"/>
          <w:sz w:val="32"/>
          <w:szCs w:val="32"/>
        </w:rPr>
        <w:t>知责履</w:t>
      </w:r>
      <w:proofErr w:type="gramEnd"/>
      <w:r>
        <w:rPr>
          <w:rFonts w:ascii="仿宋_GB2312" w:eastAsia="仿宋_GB2312" w:cs="Times New Roman" w:hint="eastAsia"/>
          <w:color w:val="000000"/>
          <w:sz w:val="32"/>
          <w:szCs w:val="32"/>
        </w:rPr>
        <w:t>职能力。持续完善《全员绩效考评管理办法》，从主要经营指标、关键事件及重点工作、自主提升、管理成果、党建及一岗双责五个方面开展全方位履职绩效考评，形成了安全履职、全面履职、精准履职、高效履职及全员履职绩效考评体系。</w:t>
      </w:r>
    </w:p>
    <w:p w:rsidR="00E24EE4" w:rsidRDefault="00F47126">
      <w:pPr>
        <w:spacing w:beforeLines="50" w:before="156" w:afterLines="50" w:after="156" w:line="360" w:lineRule="auto"/>
        <w:ind w:left="75" w:firstLineChars="200" w:firstLine="640"/>
      </w:pPr>
      <w:r>
        <w:rPr>
          <w:rFonts w:ascii="仿宋_GB2312" w:eastAsia="仿宋_GB2312" w:hint="eastAsia"/>
          <w:color w:val="000000"/>
          <w:sz w:val="32"/>
          <w:szCs w:val="32"/>
        </w:rPr>
        <w:t>内部制度共计</w:t>
      </w:r>
      <w:r>
        <w:rPr>
          <w:rFonts w:ascii="仿宋_GB2312" w:eastAsia="仿宋_GB2312"/>
          <w:color w:val="000000"/>
          <w:sz w:val="32"/>
          <w:szCs w:val="32"/>
        </w:rPr>
        <w:t>227</w:t>
      </w:r>
      <w:r>
        <w:rPr>
          <w:rFonts w:ascii="仿宋_GB2312" w:eastAsia="仿宋_GB2312" w:hint="eastAsia"/>
          <w:color w:val="000000"/>
          <w:sz w:val="32"/>
          <w:szCs w:val="32"/>
        </w:rPr>
        <w:t>项，包括生产、安全、质量、设备、人事、基建、办公、成本、管理等。公司内部管理制度包括生产、安全、质量、设备、采购、办公、人事、财务、工程、党建、招标、合同等方面，比较完善和健全，公司不定期对各项制度进行检查和修订，确保各项制度能够得到有效的贯彻执行。</w:t>
      </w:r>
    </w:p>
    <w:p w:rsidR="00E24EE4" w:rsidRDefault="00F47126">
      <w:pPr>
        <w:spacing w:line="600" w:lineRule="exact"/>
        <w:ind w:firstLineChars="196" w:firstLine="630"/>
        <w:rPr>
          <w:rFonts w:ascii="仿宋_GB2312" w:eastAsia="仿宋_GB2312" w:hAnsi="楷体"/>
          <w:b/>
          <w:bCs/>
          <w:kern w:val="0"/>
          <w:sz w:val="32"/>
          <w:szCs w:val="32"/>
        </w:rPr>
      </w:pPr>
      <w:r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（三）重要人事变动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</w:t>
      </w: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>28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钢行干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发（</w:t>
      </w: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）</w:t>
      </w: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sz w:val="32"/>
          <w:szCs w:val="32"/>
        </w:rPr>
        <w:t>号文件，任命李煊生同志为太</w:t>
      </w:r>
      <w:r>
        <w:rPr>
          <w:rFonts w:ascii="仿宋_GB2312" w:eastAsia="仿宋_GB2312" w:hint="eastAsia"/>
          <w:color w:val="000000"/>
          <w:sz w:val="32"/>
          <w:szCs w:val="32"/>
        </w:rPr>
        <w:t>钢集团岚县矿业有限公司党委副书记、纪委书记，推荐李煊生同志为太钢集团岚县矿业有限公司工会代主席（</w:t>
      </w: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日通过召开岚县矿业公司工会全委会选举成为工会主席）。免去田巨明同志太钢集团岚县矿业有限公司党委副书记、纪委书记职务，田巨明同志不再担任太</w:t>
      </w: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钢集团岚县矿业有限公司工会主席职务。</w:t>
      </w:r>
    </w:p>
    <w:p w:rsidR="00E24EE4" w:rsidRDefault="00F47126">
      <w:pPr>
        <w:spacing w:beforeLines="50" w:before="156" w:afterLines="50" w:after="156" w:line="360" w:lineRule="auto"/>
        <w:ind w:left="75"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</w:t>
      </w: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>28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钢行干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发（</w:t>
      </w: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）</w:t>
      </w:r>
      <w:r>
        <w:rPr>
          <w:rFonts w:ascii="仿宋_GB2312" w:eastAsia="仿宋_GB2312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号文件，推荐杨忠林为太钢集团岚县矿业有限公司总工程师人选。李煊生不再担任太钢集团岚县矿业有限公司总工程师职务。</w:t>
      </w:r>
    </w:p>
    <w:p w:rsidR="00E24EE4" w:rsidRDefault="00F47126">
      <w:pPr>
        <w:spacing w:beforeLines="50" w:before="156" w:afterLines="50" w:after="156" w:line="360" w:lineRule="auto"/>
        <w:ind w:left="75"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</w:t>
      </w: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>28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钢行干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发（</w:t>
      </w: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）</w:t>
      </w:r>
      <w:r>
        <w:rPr>
          <w:rFonts w:ascii="仿宋_GB2312" w:eastAsia="仿宋_GB2312"/>
          <w:color w:val="000000"/>
          <w:sz w:val="32"/>
          <w:szCs w:val="32"/>
        </w:rPr>
        <w:t>6</w:t>
      </w:r>
      <w:r>
        <w:rPr>
          <w:rFonts w:ascii="仿宋_GB2312" w:eastAsia="仿宋_GB2312" w:hint="eastAsia"/>
          <w:color w:val="000000"/>
          <w:sz w:val="32"/>
          <w:szCs w:val="32"/>
        </w:rPr>
        <w:t>号文件，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聘任郎进平为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太原钢铁（集团）有限公司矿业分公司复合材料厂厂长；聘任李贤同志为太原钢铁（集团）有限公司袁家村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铁矿副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矿长；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解聘郎进平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的太原钢铁（集团）有限公司袁家村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铁矿副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矿长职务。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三、企业主要财务状况和经营成果、国有资本保值增值情况</w:t>
      </w:r>
    </w:p>
    <w:p w:rsidR="00E24EE4" w:rsidRDefault="00F47126">
      <w:pPr>
        <w:adjustRightInd w:val="0"/>
        <w:snapToGrid w:val="0"/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（一）主要财务状况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资产总额：截至</w:t>
      </w:r>
      <w:r>
        <w:rPr>
          <w:rFonts w:ascii="仿宋_GB2312" w:eastAsia="仿宋_GB2312"/>
          <w:bCs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月为</w:t>
      </w:r>
      <w:r>
        <w:rPr>
          <w:rFonts w:ascii="仿宋_GB2312" w:eastAsia="仿宋_GB2312"/>
          <w:bCs/>
          <w:color w:val="000000"/>
          <w:sz w:val="32"/>
          <w:szCs w:val="32"/>
        </w:rPr>
        <w:t>1144654.73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万元。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负债总额：截至</w:t>
      </w:r>
      <w:r>
        <w:rPr>
          <w:rFonts w:ascii="仿宋_GB2312" w:eastAsia="仿宋_GB2312"/>
          <w:bCs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月为</w:t>
      </w:r>
      <w:r>
        <w:rPr>
          <w:rFonts w:ascii="仿宋_GB2312" w:eastAsia="仿宋_GB2312"/>
          <w:bCs/>
          <w:color w:val="000000"/>
          <w:sz w:val="32"/>
          <w:szCs w:val="32"/>
        </w:rPr>
        <w:t>185023.89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万元。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所有者权益：截至</w:t>
      </w:r>
      <w:r>
        <w:rPr>
          <w:rFonts w:ascii="仿宋_GB2312" w:eastAsia="仿宋_GB2312"/>
          <w:bCs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月为</w:t>
      </w:r>
      <w:r>
        <w:rPr>
          <w:rFonts w:ascii="仿宋_GB2312" w:eastAsia="仿宋_GB2312"/>
          <w:bCs/>
          <w:color w:val="000000"/>
          <w:sz w:val="32"/>
          <w:szCs w:val="32"/>
        </w:rPr>
        <w:t>959630.84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万元。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/>
          <w:bCs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/>
          <w:bCs/>
          <w:color w:val="000000"/>
          <w:sz w:val="32"/>
          <w:szCs w:val="32"/>
        </w:rPr>
        <w:t>1-10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月份上缴税费</w:t>
      </w:r>
      <w:r>
        <w:rPr>
          <w:rFonts w:ascii="仿宋_GB2312" w:eastAsia="仿宋_GB2312"/>
          <w:bCs/>
          <w:color w:val="000000"/>
          <w:sz w:val="32"/>
          <w:szCs w:val="32"/>
        </w:rPr>
        <w:t>144781.79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万元。</w:t>
      </w:r>
    </w:p>
    <w:p w:rsidR="00E24EE4" w:rsidRDefault="00F47126">
      <w:pPr>
        <w:adjustRightInd w:val="0"/>
        <w:snapToGrid w:val="0"/>
        <w:spacing w:line="600" w:lineRule="exact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（二）经营业绩指标完成情况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/>
          <w:bCs/>
          <w:color w:val="000000"/>
          <w:sz w:val="32"/>
          <w:szCs w:val="32"/>
        </w:rPr>
        <w:t>1.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效益指标：</w:t>
      </w:r>
      <w:r>
        <w:rPr>
          <w:rFonts w:ascii="仿宋_GB2312" w:eastAsia="仿宋_GB2312"/>
          <w:bCs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年全年营业收入年预算</w:t>
      </w:r>
      <w:r>
        <w:rPr>
          <w:rFonts w:ascii="仿宋_GB2312" w:eastAsia="仿宋_GB2312"/>
          <w:bCs/>
          <w:color w:val="000000"/>
          <w:sz w:val="32"/>
          <w:szCs w:val="32"/>
        </w:rPr>
        <w:t>94.07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亿元，</w:t>
      </w:r>
      <w:r>
        <w:rPr>
          <w:rFonts w:ascii="仿宋_GB2312" w:eastAsia="仿宋_GB2312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月份累计完成</w:t>
      </w:r>
      <w:r>
        <w:rPr>
          <w:rFonts w:ascii="仿宋_GB2312" w:eastAsia="仿宋_GB2312"/>
          <w:bCs/>
          <w:color w:val="000000"/>
          <w:sz w:val="32"/>
          <w:szCs w:val="32"/>
        </w:rPr>
        <w:t xml:space="preserve"> 90.76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亿元；利润总额年预算</w:t>
      </w:r>
      <w:r>
        <w:rPr>
          <w:rFonts w:ascii="仿宋_GB2312" w:eastAsia="仿宋_GB2312"/>
          <w:bCs/>
          <w:color w:val="000000"/>
          <w:sz w:val="32"/>
          <w:szCs w:val="32"/>
        </w:rPr>
        <w:t>57.97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亿元，</w:t>
      </w:r>
      <w:r>
        <w:rPr>
          <w:rFonts w:ascii="仿宋_GB2312" w:eastAsia="仿宋_GB2312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月份累计完成</w:t>
      </w:r>
      <w:r>
        <w:rPr>
          <w:rFonts w:ascii="仿宋_GB2312" w:eastAsia="仿宋_GB2312"/>
          <w:bCs/>
          <w:color w:val="000000"/>
          <w:sz w:val="32"/>
          <w:szCs w:val="32"/>
        </w:rPr>
        <w:t>44.20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亿元；净利润年预算</w:t>
      </w:r>
      <w:r>
        <w:rPr>
          <w:rFonts w:ascii="仿宋_GB2312" w:eastAsia="仿宋_GB2312"/>
          <w:bCs/>
          <w:color w:val="000000"/>
          <w:sz w:val="32"/>
          <w:szCs w:val="32"/>
        </w:rPr>
        <w:t>54.74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亿元，</w:t>
      </w:r>
      <w:r>
        <w:rPr>
          <w:rFonts w:ascii="仿宋_GB2312" w:eastAsia="仿宋_GB2312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月份累计完成</w:t>
      </w:r>
      <w:r>
        <w:rPr>
          <w:rFonts w:ascii="仿宋_GB2312" w:eastAsia="仿宋_GB2312"/>
          <w:bCs/>
          <w:color w:val="000000"/>
          <w:sz w:val="32"/>
          <w:szCs w:val="32"/>
        </w:rPr>
        <w:t xml:space="preserve"> 38.10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亿元。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/>
          <w:bCs/>
          <w:color w:val="000000"/>
          <w:sz w:val="32"/>
          <w:szCs w:val="32"/>
        </w:rPr>
        <w:lastRenderedPageBreak/>
        <w:t>2.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产品产量、销量指标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产量指标：采剥总量年预算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13000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月份累计完成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11275.42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104.08%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13000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万吨；精矿产量年预算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900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（其中，自产精矿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795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，外</w:t>
      </w:r>
      <w:proofErr w:type="gramStart"/>
      <w:r>
        <w:rPr>
          <w:rFonts w:ascii="仿宋_GB2312" w:eastAsia="仿宋_GB2312" w:hint="eastAsia"/>
          <w:bCs/>
          <w:color w:val="000000"/>
          <w:sz w:val="32"/>
          <w:szCs w:val="32"/>
        </w:rPr>
        <w:t>委加工</w:t>
      </w:r>
      <w:proofErr w:type="gramEnd"/>
      <w:r>
        <w:rPr>
          <w:rFonts w:ascii="仿宋_GB2312" w:eastAsia="仿宋_GB2312" w:hint="eastAsia"/>
          <w:bCs/>
          <w:color w:val="000000"/>
          <w:sz w:val="32"/>
          <w:szCs w:val="32"/>
        </w:rPr>
        <w:t>精矿量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105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），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月份完成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755.79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（自产精矿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675.07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，外</w:t>
      </w:r>
      <w:proofErr w:type="gramStart"/>
      <w:r>
        <w:rPr>
          <w:rFonts w:ascii="仿宋_GB2312" w:eastAsia="仿宋_GB2312" w:hint="eastAsia"/>
          <w:bCs/>
          <w:color w:val="000000"/>
          <w:sz w:val="32"/>
          <w:szCs w:val="32"/>
        </w:rPr>
        <w:t>委加工</w:t>
      </w:r>
      <w:proofErr w:type="gramEnd"/>
      <w:r>
        <w:rPr>
          <w:rFonts w:ascii="仿宋_GB2312" w:eastAsia="仿宋_GB2312" w:hint="eastAsia"/>
          <w:bCs/>
          <w:color w:val="000000"/>
          <w:sz w:val="32"/>
          <w:szCs w:val="32"/>
        </w:rPr>
        <w:t>精矿量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80.71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），完成率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100.77%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807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万吨；球团产量年预算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260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月份完成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206.66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，完成率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95.38%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250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万吨。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销量指标：精矿销售年预算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639.44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月份完成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579.58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，完成率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108.77%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；球团销售年预算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260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月份完成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208.59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，完成率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96.27%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3.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主要质量、技术、成本指标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质量指标：输出精矿品位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TFe(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±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0.3%)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稳定率年预算≥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80%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月份平均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82.44%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，完成率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103.05%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82%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；输出精矿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SiO2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（±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0.2%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）稳定率年预算≥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81%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月份平均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81.93%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，完成率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101.14%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81%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；输出球团抗压强度（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&gt;2000N/</w:t>
      </w:r>
      <w:proofErr w:type="gramStart"/>
      <w:r>
        <w:rPr>
          <w:rFonts w:ascii="仿宋_GB2312" w:eastAsia="仿宋_GB2312" w:hint="eastAsia"/>
          <w:bCs/>
          <w:color w:val="000000"/>
          <w:sz w:val="32"/>
          <w:szCs w:val="32"/>
        </w:rPr>
        <w:t>个</w:t>
      </w:r>
      <w:proofErr w:type="gramEnd"/>
      <w:r>
        <w:rPr>
          <w:rFonts w:ascii="仿宋_GB2312" w:eastAsia="仿宋_GB2312" w:hint="eastAsia"/>
          <w:bCs/>
          <w:color w:val="000000"/>
          <w:sz w:val="32"/>
          <w:szCs w:val="32"/>
        </w:rPr>
        <w:t>的比率）年预算≥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70%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月份平均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76.56%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，完成率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109.37%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71%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技术指标：半自磨机利用系数年预算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2.04t/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台时·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m3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月份累计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.02t/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台时·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m3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2.04t/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台时·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m3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；半自磨机</w:t>
      </w:r>
      <w:proofErr w:type="gramStart"/>
      <w:r>
        <w:rPr>
          <w:rFonts w:ascii="仿宋_GB2312" w:eastAsia="仿宋_GB2312" w:hint="eastAsia"/>
          <w:bCs/>
          <w:color w:val="000000"/>
          <w:sz w:val="32"/>
          <w:szCs w:val="32"/>
        </w:rPr>
        <w:t>作业率年预算</w:t>
      </w:r>
      <w:proofErr w:type="gramEnd"/>
      <w:r>
        <w:rPr>
          <w:rFonts w:ascii="仿宋_GB2312" w:eastAsia="仿宋_GB2312" w:hint="eastAsia"/>
          <w:bCs/>
          <w:color w:val="000000"/>
          <w:sz w:val="32"/>
          <w:szCs w:val="32"/>
        </w:rPr>
        <w:t>91.19%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月份累计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89.60%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91.19%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；</w:t>
      </w:r>
      <w:proofErr w:type="gramStart"/>
      <w:r>
        <w:rPr>
          <w:rFonts w:ascii="仿宋_GB2312" w:eastAsia="仿宋_GB2312" w:hint="eastAsia"/>
          <w:bCs/>
          <w:color w:val="000000"/>
          <w:sz w:val="32"/>
          <w:szCs w:val="32"/>
        </w:rPr>
        <w:t>链篦机利用系数</w:t>
      </w:r>
      <w:proofErr w:type="gramEnd"/>
      <w:r>
        <w:rPr>
          <w:rFonts w:ascii="仿宋_GB2312" w:eastAsia="仿宋_GB2312" w:hint="eastAsia"/>
          <w:bCs/>
          <w:color w:val="000000"/>
          <w:sz w:val="32"/>
          <w:szCs w:val="32"/>
        </w:rPr>
        <w:t>年预算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32.44t/m2d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lastRenderedPageBreak/>
        <w:t>月份累计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31.87t/m2d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31.20t/m2d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；链</w:t>
      </w:r>
      <w:proofErr w:type="gramStart"/>
      <w:r>
        <w:rPr>
          <w:rFonts w:ascii="仿宋_GB2312" w:eastAsia="仿宋_GB2312" w:hint="eastAsia"/>
          <w:bCs/>
          <w:color w:val="000000"/>
          <w:sz w:val="32"/>
          <w:szCs w:val="32"/>
        </w:rPr>
        <w:t>篦机作业率年</w:t>
      </w:r>
      <w:proofErr w:type="gramEnd"/>
      <w:r>
        <w:rPr>
          <w:rFonts w:ascii="仿宋_GB2312" w:eastAsia="仿宋_GB2312" w:hint="eastAsia"/>
          <w:bCs/>
          <w:color w:val="000000"/>
          <w:sz w:val="32"/>
          <w:szCs w:val="32"/>
        </w:rPr>
        <w:t>预算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87.12%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月份累计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84.37%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87.12%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成本指标：红精矿成本目标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350.13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元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吨，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月份完成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350.33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元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吨，全年预计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349.44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元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吨；酸性球团加工费</w:t>
      </w:r>
      <w:proofErr w:type="gramStart"/>
      <w:r>
        <w:rPr>
          <w:rFonts w:ascii="仿宋_GB2312" w:eastAsia="仿宋_GB2312" w:hint="eastAsia"/>
          <w:bCs/>
          <w:color w:val="000000"/>
          <w:sz w:val="32"/>
          <w:szCs w:val="32"/>
        </w:rPr>
        <w:t>目标元</w:t>
      </w:r>
      <w:proofErr w:type="gramEnd"/>
      <w:r>
        <w:rPr>
          <w:rFonts w:ascii="仿宋_GB2312" w:eastAsia="仿宋_GB2312" w:hint="eastAsia"/>
          <w:bCs/>
          <w:color w:val="000000"/>
          <w:sz w:val="32"/>
          <w:szCs w:val="32"/>
        </w:rPr>
        <w:t>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吨，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～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月份完成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104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元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吨，全年预计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10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6.21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元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/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吨。</w:t>
      </w:r>
    </w:p>
    <w:p w:rsidR="00E24EE4" w:rsidRDefault="00F47126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>（三）国有资本保值增值情况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1-10</w:t>
      </w:r>
      <w:r>
        <w:rPr>
          <w:rFonts w:ascii="仿宋_GB2312" w:eastAsia="仿宋_GB2312" w:hint="eastAsia"/>
          <w:color w:val="000000"/>
          <w:sz w:val="32"/>
          <w:szCs w:val="32"/>
        </w:rPr>
        <w:t>月份，国有资本保值增值率为</w:t>
      </w:r>
      <w:r>
        <w:rPr>
          <w:rFonts w:ascii="仿宋_GB2312" w:eastAsia="仿宋_GB2312"/>
          <w:color w:val="000000"/>
          <w:sz w:val="32"/>
          <w:szCs w:val="32"/>
        </w:rPr>
        <w:t>115.85%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四、企业重大改制重组结果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2021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6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日太钢集团岚县矿业有限公司由国有控股变更为国有独资。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五、通过产权市场转让</w:t>
      </w:r>
      <w:proofErr w:type="gramStart"/>
      <w:r>
        <w:rPr>
          <w:rFonts w:ascii="黑体" w:eastAsia="黑体" w:hAnsi="黑体" w:hint="eastAsia"/>
          <w:color w:val="000000"/>
          <w:sz w:val="32"/>
          <w:szCs w:val="32"/>
        </w:rPr>
        <w:t>让</w:t>
      </w:r>
      <w:proofErr w:type="gramEnd"/>
      <w:r>
        <w:rPr>
          <w:rFonts w:ascii="黑体" w:eastAsia="黑体" w:hAnsi="黑体" w:hint="eastAsia"/>
          <w:color w:val="000000"/>
          <w:sz w:val="32"/>
          <w:szCs w:val="32"/>
        </w:rPr>
        <w:t>企业产权和企业增资等信息无</w:t>
      </w:r>
    </w:p>
    <w:p w:rsidR="00E24EE4" w:rsidRDefault="00F47126">
      <w:pPr>
        <w:spacing w:beforeLines="50" w:before="156" w:afterLines="50" w:after="156" w:line="360" w:lineRule="auto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无</w:t>
      </w:r>
    </w:p>
    <w:p w:rsidR="00E24EE4" w:rsidRDefault="00F47126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六、有关部门依法要求公开的监督检查问题整改情况、重大突发时间事态发展和应急处置情况</w:t>
      </w:r>
    </w:p>
    <w:p w:rsidR="00E24EE4" w:rsidRDefault="00F47126">
      <w:pPr>
        <w:adjustRightInd w:val="0"/>
        <w:snapToGrid w:val="0"/>
        <w:spacing w:line="600" w:lineRule="exact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cs="Times New Roman" w:hint="eastAsia"/>
          <w:color w:val="000000"/>
          <w:sz w:val="32"/>
          <w:szCs w:val="32"/>
        </w:rPr>
        <w:t>无</w:t>
      </w:r>
    </w:p>
    <w:p w:rsidR="00E24EE4" w:rsidRDefault="00F47126">
      <w:pPr>
        <w:spacing w:beforeLines="50" w:before="156" w:afterLines="50" w:after="156" w:line="360" w:lineRule="auto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 xml:space="preserve">    </w:t>
      </w:r>
      <w:r>
        <w:rPr>
          <w:rFonts w:ascii="黑体" w:eastAsia="黑体" w:hAnsi="黑体" w:hint="eastAsia"/>
          <w:bCs/>
          <w:color w:val="000000"/>
          <w:sz w:val="32"/>
          <w:szCs w:val="32"/>
        </w:rPr>
        <w:t>七、企业履行社会责任情况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贯彻</w:t>
      </w:r>
      <w:r>
        <w:rPr>
          <w:rFonts w:ascii="仿宋" w:eastAsia="仿宋" w:hAnsi="仿宋"/>
          <w:color w:val="000000"/>
          <w:sz w:val="32"/>
          <w:szCs w:val="32"/>
        </w:rPr>
        <w:t>《关于落实</w:t>
      </w:r>
      <w:r>
        <w:rPr>
          <w:rFonts w:ascii="仿宋" w:eastAsia="仿宋" w:hAnsi="仿宋"/>
          <w:color w:val="000000"/>
          <w:sz w:val="32"/>
          <w:szCs w:val="32"/>
        </w:rPr>
        <w:t>2021</w:t>
      </w:r>
      <w:r>
        <w:rPr>
          <w:rFonts w:ascii="仿宋" w:eastAsia="仿宋" w:hAnsi="仿宋"/>
          <w:color w:val="000000"/>
          <w:sz w:val="32"/>
          <w:szCs w:val="32"/>
        </w:rPr>
        <w:t>年中国宝武太钢定点帮扶工作成效考核评价指标任务的实施意见》相关要求，组织开展</w:t>
      </w:r>
      <w:r>
        <w:rPr>
          <w:rFonts w:ascii="仿宋" w:eastAsia="仿宋" w:hAnsi="仿宋"/>
          <w:color w:val="000000"/>
          <w:sz w:val="32"/>
          <w:szCs w:val="32"/>
        </w:rPr>
        <w:t>2021</w:t>
      </w:r>
      <w:r>
        <w:rPr>
          <w:rFonts w:ascii="仿宋" w:eastAsia="仿宋" w:hAnsi="仿宋"/>
          <w:color w:val="000000"/>
          <w:sz w:val="32"/>
          <w:szCs w:val="32"/>
        </w:rPr>
        <w:t>年度农特产品帮销活动，</w:t>
      </w:r>
      <w:r>
        <w:rPr>
          <w:rFonts w:ascii="仿宋" w:eastAsia="仿宋" w:hAnsi="仿宋" w:hint="eastAsia"/>
          <w:color w:val="000000"/>
          <w:sz w:val="32"/>
          <w:szCs w:val="32"/>
        </w:rPr>
        <w:t>总计帮扶</w:t>
      </w:r>
      <w:r>
        <w:rPr>
          <w:rFonts w:ascii="仿宋" w:eastAsia="仿宋" w:hAnsi="仿宋" w:hint="eastAsia"/>
          <w:color w:val="000000"/>
          <w:sz w:val="32"/>
          <w:szCs w:val="32"/>
        </w:rPr>
        <w:t>1362</w:t>
      </w:r>
      <w:r>
        <w:rPr>
          <w:rFonts w:ascii="仿宋" w:eastAsia="仿宋" w:hAnsi="仿宋" w:hint="eastAsia"/>
          <w:color w:val="000000"/>
          <w:sz w:val="32"/>
          <w:szCs w:val="32"/>
        </w:rPr>
        <w:t>份农特产品，合计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204300</w:t>
      </w:r>
      <w:r>
        <w:rPr>
          <w:rFonts w:ascii="仿宋" w:eastAsia="仿宋" w:hAnsi="仿宋" w:hint="eastAsia"/>
          <w:color w:val="000000"/>
          <w:sz w:val="32"/>
          <w:szCs w:val="32"/>
        </w:rPr>
        <w:t>元。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加强生态恢复治理。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践行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习近平总书记生态文明重要论述，牢固树立绿水青山就是金山银山理念，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遵循边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开采边治理原则，组织全员义务植树种草，对采场边坡、平台、道路进行覆土绿化，累计覆土面积</w:t>
      </w:r>
      <w:r>
        <w:rPr>
          <w:rFonts w:ascii="仿宋" w:eastAsia="仿宋" w:hAnsi="仿宋" w:hint="eastAsia"/>
          <w:color w:val="000000"/>
          <w:sz w:val="32"/>
          <w:szCs w:val="32"/>
        </w:rPr>
        <w:t>63.31</w:t>
      </w:r>
      <w:r>
        <w:rPr>
          <w:rFonts w:ascii="仿宋" w:eastAsia="仿宋" w:hAnsi="仿宋" w:hint="eastAsia"/>
          <w:color w:val="000000"/>
          <w:sz w:val="32"/>
          <w:szCs w:val="32"/>
        </w:rPr>
        <w:t>万㎡，播撒苜蓿面积</w:t>
      </w:r>
      <w:r>
        <w:rPr>
          <w:rFonts w:ascii="仿宋" w:eastAsia="仿宋" w:hAnsi="仿宋" w:hint="eastAsia"/>
          <w:color w:val="000000"/>
          <w:sz w:val="32"/>
          <w:szCs w:val="32"/>
        </w:rPr>
        <w:t>18.71</w:t>
      </w:r>
      <w:r>
        <w:rPr>
          <w:rFonts w:ascii="仿宋" w:eastAsia="仿宋" w:hAnsi="仿宋" w:hint="eastAsia"/>
          <w:color w:val="000000"/>
          <w:sz w:val="32"/>
          <w:szCs w:val="32"/>
        </w:rPr>
        <w:t>万㎡，栽种各类苗木</w:t>
      </w:r>
      <w:r>
        <w:rPr>
          <w:rFonts w:ascii="仿宋" w:eastAsia="仿宋" w:hAnsi="仿宋" w:hint="eastAsia"/>
          <w:color w:val="000000"/>
          <w:sz w:val="32"/>
          <w:szCs w:val="32"/>
        </w:rPr>
        <w:t>7110</w:t>
      </w:r>
      <w:r>
        <w:rPr>
          <w:rFonts w:ascii="仿宋" w:eastAsia="仿宋" w:hAnsi="仿宋" w:hint="eastAsia"/>
          <w:color w:val="000000"/>
          <w:sz w:val="32"/>
          <w:szCs w:val="32"/>
        </w:rPr>
        <w:t>棵。</w:t>
      </w:r>
    </w:p>
    <w:p w:rsidR="00E24EE4" w:rsidRDefault="00F47126">
      <w:pPr>
        <w:spacing w:beforeLines="50" w:before="156" w:afterLines="50" w:after="156"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加强资金扶持，对移民新村后期扶持资金</w:t>
      </w:r>
      <w:r>
        <w:rPr>
          <w:rFonts w:ascii="仿宋" w:eastAsia="仿宋" w:hAnsi="仿宋" w:hint="eastAsia"/>
          <w:color w:val="000000"/>
          <w:sz w:val="32"/>
          <w:szCs w:val="32"/>
        </w:rPr>
        <w:t>63</w:t>
      </w:r>
      <w:r>
        <w:rPr>
          <w:rFonts w:ascii="仿宋" w:eastAsia="仿宋" w:hAnsi="仿宋" w:hint="eastAsia"/>
          <w:color w:val="000000"/>
          <w:sz w:val="32"/>
          <w:szCs w:val="32"/>
        </w:rPr>
        <w:t>万元，对普明镇后期扶持资金</w:t>
      </w:r>
      <w:r>
        <w:rPr>
          <w:rFonts w:ascii="仿宋" w:eastAsia="仿宋" w:hAnsi="仿宋" w:hint="eastAsia"/>
          <w:color w:val="000000"/>
          <w:sz w:val="32"/>
          <w:szCs w:val="32"/>
        </w:rPr>
        <w:t>40</w:t>
      </w:r>
      <w:r>
        <w:rPr>
          <w:rFonts w:ascii="仿宋" w:eastAsia="仿宋" w:hAnsi="仿宋" w:hint="eastAsia"/>
          <w:color w:val="000000"/>
          <w:sz w:val="32"/>
          <w:szCs w:val="32"/>
        </w:rPr>
        <w:t>万元。</w:t>
      </w:r>
    </w:p>
    <w:p w:rsidR="00E24EE4" w:rsidRDefault="00F47126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4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其他依照法律</w:t>
      </w:r>
      <w:r>
        <w:rPr>
          <w:rFonts w:ascii="黑体" w:eastAsia="黑体" w:hAnsi="黑体" w:hint="eastAsia"/>
          <w:color w:val="000000"/>
          <w:sz w:val="32"/>
          <w:szCs w:val="32"/>
        </w:rPr>
        <w:t>法规应当公开的信息</w:t>
      </w:r>
    </w:p>
    <w:p w:rsidR="00E24EE4" w:rsidRDefault="00F47126" w:rsidP="003A5ADA">
      <w:pPr>
        <w:adjustRightInd w:val="0"/>
        <w:snapToGrid w:val="0"/>
        <w:spacing w:line="600" w:lineRule="exact"/>
        <w:ind w:left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Times New Roman" w:hint="eastAsia"/>
          <w:color w:val="000000"/>
          <w:sz w:val="32"/>
          <w:szCs w:val="32"/>
        </w:rPr>
        <w:t>无</w:t>
      </w:r>
    </w:p>
    <w:sectPr w:rsidR="00E24E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E2B59B"/>
    <w:multiLevelType w:val="singleLevel"/>
    <w:tmpl w:val="60E2B59B"/>
    <w:lvl w:ilvl="0">
      <w:start w:val="8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73F12"/>
    <w:rsid w:val="000633BE"/>
    <w:rsid w:val="000826F1"/>
    <w:rsid w:val="00103D05"/>
    <w:rsid w:val="00135B2B"/>
    <w:rsid w:val="00143C65"/>
    <w:rsid w:val="00153D08"/>
    <w:rsid w:val="00192BFF"/>
    <w:rsid w:val="00240D07"/>
    <w:rsid w:val="0028573F"/>
    <w:rsid w:val="0035653D"/>
    <w:rsid w:val="0037145B"/>
    <w:rsid w:val="00372ADA"/>
    <w:rsid w:val="00373F12"/>
    <w:rsid w:val="003A5ADA"/>
    <w:rsid w:val="00403AFD"/>
    <w:rsid w:val="004B0E13"/>
    <w:rsid w:val="004C2CDB"/>
    <w:rsid w:val="004E602F"/>
    <w:rsid w:val="005965BE"/>
    <w:rsid w:val="0065332A"/>
    <w:rsid w:val="00686777"/>
    <w:rsid w:val="006A4352"/>
    <w:rsid w:val="006D07E4"/>
    <w:rsid w:val="006E41E2"/>
    <w:rsid w:val="00713DCF"/>
    <w:rsid w:val="00746CB4"/>
    <w:rsid w:val="007509D0"/>
    <w:rsid w:val="007A1DFE"/>
    <w:rsid w:val="007C0868"/>
    <w:rsid w:val="00827E9C"/>
    <w:rsid w:val="00865971"/>
    <w:rsid w:val="0088228B"/>
    <w:rsid w:val="008B3E73"/>
    <w:rsid w:val="009857D8"/>
    <w:rsid w:val="009E2ECA"/>
    <w:rsid w:val="00A61C91"/>
    <w:rsid w:val="00A75773"/>
    <w:rsid w:val="00A91B50"/>
    <w:rsid w:val="00AB4EED"/>
    <w:rsid w:val="00B564A1"/>
    <w:rsid w:val="00BF4C9D"/>
    <w:rsid w:val="00C17CF0"/>
    <w:rsid w:val="00C60D33"/>
    <w:rsid w:val="00C629F9"/>
    <w:rsid w:val="00C82328"/>
    <w:rsid w:val="00C91EB5"/>
    <w:rsid w:val="00CE2378"/>
    <w:rsid w:val="00DC4AC7"/>
    <w:rsid w:val="00E03A9D"/>
    <w:rsid w:val="00E24EE4"/>
    <w:rsid w:val="00E44D05"/>
    <w:rsid w:val="00E743A1"/>
    <w:rsid w:val="00EC2AE9"/>
    <w:rsid w:val="00F13F00"/>
    <w:rsid w:val="00F36912"/>
    <w:rsid w:val="00F463A5"/>
    <w:rsid w:val="00F47126"/>
    <w:rsid w:val="00F47A75"/>
    <w:rsid w:val="00F54E46"/>
    <w:rsid w:val="00F6503B"/>
    <w:rsid w:val="00FB0F93"/>
    <w:rsid w:val="03BD1133"/>
    <w:rsid w:val="044F6975"/>
    <w:rsid w:val="0C811890"/>
    <w:rsid w:val="23046782"/>
    <w:rsid w:val="354B49C0"/>
    <w:rsid w:val="394F6992"/>
    <w:rsid w:val="4247794A"/>
    <w:rsid w:val="45E66B3C"/>
    <w:rsid w:val="47896DCB"/>
    <w:rsid w:val="485965C0"/>
    <w:rsid w:val="4E16382A"/>
    <w:rsid w:val="4EBF723F"/>
    <w:rsid w:val="54396FBB"/>
    <w:rsid w:val="5631292E"/>
    <w:rsid w:val="568702F5"/>
    <w:rsid w:val="59103CAB"/>
    <w:rsid w:val="5AAD49D1"/>
    <w:rsid w:val="60EA7D0F"/>
    <w:rsid w:val="6CDC3EA7"/>
    <w:rsid w:val="6E6A45B3"/>
    <w:rsid w:val="724F0A16"/>
    <w:rsid w:val="78B77B43"/>
    <w:rsid w:val="79042718"/>
    <w:rsid w:val="7F4A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312021E9"/>
  <w15:docId w15:val="{344D1027-103E-4827-B2DF-CA378EE25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lock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eading11">
    <w:name w:val="Heading 11"/>
    <w:basedOn w:val="a"/>
    <w:next w:val="a"/>
    <w:link w:val="Heading1Char"/>
    <w:uiPriority w:val="99"/>
    <w:pPr>
      <w:keepNext/>
      <w:keepLines/>
      <w:widowControl/>
      <w:spacing w:before="480" w:after="200" w:line="276" w:lineRule="auto"/>
      <w:jc w:val="left"/>
      <w:outlineLvl w:val="0"/>
    </w:pPr>
    <w:rPr>
      <w:rFonts w:ascii="Cambria" w:hAnsi="Cambria" w:cs="Cambria"/>
      <w:b/>
      <w:bCs/>
      <w:color w:val="365F90"/>
      <w:kern w:val="0"/>
      <w:sz w:val="28"/>
      <w:szCs w:val="28"/>
      <w:lang w:eastAsia="en-US"/>
    </w:rPr>
  </w:style>
  <w:style w:type="paragraph" w:customStyle="1" w:styleId="Heading21">
    <w:name w:val="Heading 21"/>
    <w:basedOn w:val="a"/>
    <w:next w:val="a"/>
    <w:link w:val="Heading2Char"/>
    <w:uiPriority w:val="99"/>
    <w:pPr>
      <w:keepNext/>
      <w:keepLines/>
      <w:widowControl/>
      <w:spacing w:before="200" w:after="200" w:line="276" w:lineRule="auto"/>
      <w:jc w:val="left"/>
      <w:outlineLvl w:val="1"/>
    </w:pPr>
    <w:rPr>
      <w:rFonts w:ascii="Cambria" w:hAnsi="Cambria" w:cs="Cambria"/>
      <w:b/>
      <w:bCs/>
      <w:color w:val="4F81BD"/>
      <w:kern w:val="0"/>
      <w:sz w:val="26"/>
      <w:szCs w:val="26"/>
      <w:lang w:eastAsia="en-US"/>
    </w:rPr>
  </w:style>
  <w:style w:type="paragraph" w:customStyle="1" w:styleId="Heading31">
    <w:name w:val="Heading 31"/>
    <w:basedOn w:val="a"/>
    <w:next w:val="a"/>
    <w:link w:val="Heading3Char"/>
    <w:uiPriority w:val="99"/>
    <w:pPr>
      <w:keepNext/>
      <w:keepLines/>
      <w:widowControl/>
      <w:spacing w:before="200" w:after="200" w:line="276" w:lineRule="auto"/>
      <w:jc w:val="left"/>
      <w:outlineLvl w:val="2"/>
    </w:pPr>
    <w:rPr>
      <w:rFonts w:ascii="Cambria" w:hAnsi="Cambria" w:cs="Cambria"/>
      <w:b/>
      <w:bCs/>
      <w:color w:val="4F81BD"/>
      <w:kern w:val="0"/>
      <w:sz w:val="22"/>
      <w:lang w:eastAsia="en-US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8">
    <w:name w:val="页眉 字符"/>
    <w:link w:val="a7"/>
    <w:uiPriority w:val="99"/>
    <w:semiHidden/>
    <w:locked/>
    <w:rPr>
      <w:rFonts w:cs="Times New Roman"/>
      <w:sz w:val="18"/>
      <w:szCs w:val="18"/>
    </w:rPr>
  </w:style>
  <w:style w:type="character" w:customStyle="1" w:styleId="Heading1Char">
    <w:name w:val="Heading 1 Char"/>
    <w:link w:val="Heading11"/>
    <w:uiPriority w:val="99"/>
    <w:locked/>
    <w:rPr>
      <w:rFonts w:ascii="Cambria" w:eastAsia="Times New Roman" w:hAnsi="Cambria" w:cs="Cambria"/>
      <w:b/>
      <w:bCs/>
      <w:color w:val="365F90"/>
      <w:kern w:val="0"/>
      <w:sz w:val="28"/>
      <w:szCs w:val="28"/>
      <w:lang w:eastAsia="en-US"/>
    </w:rPr>
  </w:style>
  <w:style w:type="character" w:customStyle="1" w:styleId="Heading2Char">
    <w:name w:val="Heading 2 Char"/>
    <w:link w:val="Heading21"/>
    <w:uiPriority w:val="99"/>
    <w:locked/>
    <w:rPr>
      <w:rFonts w:ascii="Cambria" w:eastAsia="Times New Roman" w:hAnsi="Cambria" w:cs="Cambria"/>
      <w:b/>
      <w:bCs/>
      <w:color w:val="4F81BD"/>
      <w:kern w:val="0"/>
      <w:sz w:val="26"/>
      <w:szCs w:val="26"/>
      <w:lang w:eastAsia="en-US"/>
    </w:rPr>
  </w:style>
  <w:style w:type="character" w:customStyle="1" w:styleId="Heading3Char">
    <w:name w:val="Heading 3 Char"/>
    <w:link w:val="Heading31"/>
    <w:uiPriority w:val="99"/>
    <w:locked/>
    <w:rPr>
      <w:rFonts w:ascii="Cambria" w:eastAsia="Times New Roman" w:hAnsi="Cambria" w:cs="Cambria"/>
      <w:b/>
      <w:bCs/>
      <w:color w:val="4F81BD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660</Words>
  <Characters>3764</Characters>
  <Application>Microsoft Office Word</Application>
  <DocSecurity>0</DocSecurity>
  <Lines>31</Lines>
  <Paragraphs>8</Paragraphs>
  <ScaleCrop>false</ScaleCrop>
  <Company>微软中国</Company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太钢集团岚县矿业有限公司公开信息</dc:title>
  <dc:creator>李林春</dc:creator>
  <cp:lastModifiedBy>武滨</cp:lastModifiedBy>
  <cp:revision>6</cp:revision>
  <cp:lastPrinted>2021-07-05T01:37:00Z</cp:lastPrinted>
  <dcterms:created xsi:type="dcterms:W3CDTF">2021-07-02T06:44:00Z</dcterms:created>
  <dcterms:modified xsi:type="dcterms:W3CDTF">2021-11-12T07:30:00Z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