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djustRightInd w:val="0"/>
        <w:snapToGrid w:val="0"/>
        <w:spacing w:line="500" w:lineRule="exact"/>
        <w:jc w:val="center"/>
        <w:rPr>
          <w:rFonts w:ascii="Times New Roman" w:hAnsi="Times New Roman" w:cs="Times New Roman"/>
          <w:b/>
          <w:kern w:val="0"/>
          <w:sz w:val="32"/>
          <w:szCs w:val="32"/>
        </w:rPr>
      </w:pPr>
      <w:r>
        <w:rPr>
          <w:rFonts w:ascii="Times New Roman" w:hAnsi="Times New Roman" w:cs="Times New Roman"/>
          <w:b/>
          <w:kern w:val="0"/>
          <w:sz w:val="32"/>
          <w:szCs w:val="32"/>
        </w:rPr>
        <w:t>山西太钢不锈钢股份有限公司</w:t>
      </w:r>
      <w:r>
        <w:rPr>
          <w:rFonts w:hint="eastAsia" w:ascii="Times New Roman" w:hAnsi="Times New Roman" w:cs="Times New Roman"/>
          <w:b/>
          <w:kern w:val="0"/>
          <w:sz w:val="32"/>
          <w:szCs w:val="32"/>
        </w:rPr>
        <w:t>煤气锅炉升级改造项目</w:t>
      </w:r>
    </w:p>
    <w:p>
      <w:pPr>
        <w:adjustRightInd w:val="0"/>
        <w:snapToGrid w:val="0"/>
        <w:spacing w:line="500" w:lineRule="exact"/>
        <w:jc w:val="center"/>
        <w:rPr>
          <w:rFonts w:ascii="Times New Roman" w:hAnsi="Times New Roman" w:cs="Times New Roman"/>
          <w:b/>
          <w:kern w:val="0"/>
          <w:sz w:val="32"/>
          <w:szCs w:val="32"/>
        </w:rPr>
      </w:pPr>
      <w:r>
        <w:rPr>
          <w:rFonts w:ascii="Times New Roman" w:hAnsi="Times New Roman" w:cs="Times New Roman"/>
          <w:b/>
          <w:kern w:val="0"/>
          <w:sz w:val="32"/>
          <w:szCs w:val="32"/>
        </w:rPr>
        <w:t>竣工环境保护验收意见</w:t>
      </w:r>
    </w:p>
    <w:p>
      <w:pPr>
        <w:widowControl/>
        <w:adjustRightInd w:val="0"/>
        <w:snapToGrid w:val="0"/>
        <w:spacing w:line="460" w:lineRule="exact"/>
        <w:ind w:firstLine="560" w:firstLineChars="200"/>
        <w:rPr>
          <w:rFonts w:hint="eastAsia" w:ascii="Times New Roman" w:hAnsi="Times New Roman" w:cs="Times New Roman"/>
          <w:kern w:val="0"/>
          <w:sz w:val="28"/>
          <w:szCs w:val="28"/>
        </w:rPr>
      </w:pPr>
    </w:p>
    <w:p>
      <w:pPr>
        <w:widowControl/>
        <w:adjustRightInd w:val="0"/>
        <w:snapToGrid w:val="0"/>
        <w:spacing w:line="460" w:lineRule="exact"/>
        <w:ind w:firstLine="560" w:firstLineChars="200"/>
        <w:rPr>
          <w:rFonts w:ascii="Times New Roman" w:hAnsi="Times New Roman" w:cs="Times New Roman"/>
          <w:kern w:val="0"/>
          <w:sz w:val="28"/>
          <w:szCs w:val="28"/>
        </w:rPr>
      </w:pPr>
      <w:r>
        <w:rPr>
          <w:rFonts w:ascii="Times New Roman" w:hAnsi="Times New Roman" w:cs="Times New Roman"/>
          <w:kern w:val="0"/>
          <w:sz w:val="28"/>
          <w:szCs w:val="28"/>
        </w:rPr>
        <w:t>202</w:t>
      </w:r>
      <w:r>
        <w:rPr>
          <w:rFonts w:hint="eastAsia" w:ascii="Times New Roman" w:hAnsi="Times New Roman" w:cs="Times New Roman"/>
          <w:kern w:val="0"/>
          <w:sz w:val="28"/>
          <w:szCs w:val="28"/>
        </w:rPr>
        <w:t>1</w:t>
      </w:r>
      <w:r>
        <w:rPr>
          <w:rFonts w:ascii="Times New Roman" w:hAnsi="Times New Roman" w:cs="Times New Roman"/>
          <w:kern w:val="0"/>
          <w:sz w:val="28"/>
          <w:szCs w:val="28"/>
        </w:rPr>
        <w:t>年</w:t>
      </w:r>
      <w:r>
        <w:rPr>
          <w:rFonts w:hint="eastAsia" w:ascii="Times New Roman" w:hAnsi="Times New Roman" w:cs="Times New Roman"/>
          <w:kern w:val="0"/>
          <w:sz w:val="28"/>
          <w:szCs w:val="28"/>
        </w:rPr>
        <w:t>9</w:t>
      </w:r>
      <w:r>
        <w:rPr>
          <w:rFonts w:ascii="Times New Roman" w:hAnsi="Times New Roman" w:cs="Times New Roman"/>
          <w:kern w:val="0"/>
          <w:sz w:val="28"/>
          <w:szCs w:val="28"/>
        </w:rPr>
        <w:t>月2</w:t>
      </w:r>
      <w:r>
        <w:rPr>
          <w:rFonts w:hint="eastAsia" w:ascii="Times New Roman" w:hAnsi="Times New Roman" w:cs="Times New Roman"/>
          <w:kern w:val="0"/>
          <w:sz w:val="28"/>
          <w:szCs w:val="28"/>
        </w:rPr>
        <w:t>9</w:t>
      </w:r>
      <w:r>
        <w:rPr>
          <w:rFonts w:ascii="Times New Roman" w:hAnsi="Times New Roman" w:cs="Times New Roman"/>
          <w:kern w:val="0"/>
          <w:sz w:val="28"/>
          <w:szCs w:val="28"/>
        </w:rPr>
        <w:t>日，山西太钢不锈钢股份有限公司根据《</w:t>
      </w:r>
      <w:bookmarkStart w:id="0" w:name="_Hlk5136271"/>
      <w:r>
        <w:rPr>
          <w:rFonts w:ascii="Times New Roman" w:hAnsi="Times New Roman" w:cs="Times New Roman"/>
          <w:kern w:val="0"/>
          <w:sz w:val="28"/>
          <w:szCs w:val="28"/>
        </w:rPr>
        <w:t>山西太钢不锈钢股份有限公司</w:t>
      </w:r>
      <w:bookmarkEnd w:id="0"/>
      <w:r>
        <w:rPr>
          <w:rFonts w:hint="eastAsia" w:ascii="Times New Roman" w:hAnsi="Times New Roman" w:cs="Times New Roman"/>
          <w:kern w:val="0"/>
          <w:sz w:val="28"/>
          <w:szCs w:val="28"/>
        </w:rPr>
        <w:t>煤气锅炉升级改造项目</w:t>
      </w:r>
      <w:r>
        <w:rPr>
          <w:rFonts w:ascii="Times New Roman" w:hAnsi="Times New Roman" w:cs="Times New Roman"/>
          <w:kern w:val="0"/>
          <w:sz w:val="28"/>
          <w:szCs w:val="28"/>
        </w:rPr>
        <w:t>竣工环境保护验收监测报告》并对照《建设项目竣工环境保护验收暂行办法》、《山西省环境保护厅关于做好建设项目环境保护管理相关工作的通知》，严格依照国家有关法律法规、建设项目竣工环境保护验收技术规范、本项目环境影响报告表和审批部门审批决定等要求对本项目进行验收。</w:t>
      </w:r>
    </w:p>
    <w:p>
      <w:pPr>
        <w:widowControl/>
        <w:adjustRightInd w:val="0"/>
        <w:snapToGrid w:val="0"/>
        <w:spacing w:line="460" w:lineRule="exact"/>
        <w:ind w:firstLine="560" w:firstLineChars="200"/>
        <w:rPr>
          <w:rFonts w:ascii="Times New Roman" w:hAnsi="Times New Roman" w:cs="Times New Roman"/>
          <w:kern w:val="0"/>
          <w:sz w:val="28"/>
          <w:szCs w:val="28"/>
        </w:rPr>
      </w:pPr>
      <w:r>
        <w:rPr>
          <w:rFonts w:ascii="Times New Roman" w:hAnsi="Times New Roman" w:cs="Times New Roman"/>
          <w:kern w:val="0"/>
          <w:sz w:val="28"/>
          <w:szCs w:val="28"/>
        </w:rPr>
        <w:t>根据原国家环境保护部和原山西省环境保护厅相关规定，本次验收全部为项目建设单位自主验收。</w:t>
      </w:r>
    </w:p>
    <w:p>
      <w:pPr>
        <w:widowControl/>
        <w:adjustRightInd w:val="0"/>
        <w:snapToGrid w:val="0"/>
        <w:spacing w:line="460" w:lineRule="exact"/>
        <w:ind w:firstLine="560" w:firstLineChars="200"/>
        <w:rPr>
          <w:rFonts w:ascii="Times New Roman" w:hAnsi="Times New Roman" w:cs="Times New Roman"/>
          <w:kern w:val="0"/>
          <w:sz w:val="28"/>
          <w:szCs w:val="28"/>
        </w:rPr>
      </w:pPr>
      <w:r>
        <w:rPr>
          <w:rFonts w:ascii="Times New Roman" w:hAnsi="Times New Roman" w:cs="Times New Roman"/>
          <w:kern w:val="0"/>
          <w:sz w:val="28"/>
          <w:szCs w:val="28"/>
        </w:rPr>
        <w:t>参加验收的有</w:t>
      </w:r>
      <w:r>
        <w:rPr>
          <w:rFonts w:hint="eastAsia" w:ascii="Times New Roman" w:hAnsi="Times New Roman" w:cs="Times New Roman"/>
          <w:kern w:val="0"/>
          <w:sz w:val="28"/>
          <w:szCs w:val="28"/>
        </w:rPr>
        <w:t>项目</w:t>
      </w:r>
      <w:r>
        <w:rPr>
          <w:rFonts w:hint="eastAsia" w:ascii="Times New Roman" w:hAnsi="Times New Roman" w:cs="Times New Roman"/>
          <w:sz w:val="28"/>
          <w:szCs w:val="28"/>
        </w:rPr>
        <w:t>设计和施工单位中国能源建设集团山西省电力勘测设计院有限公司，工程监理单位山西震益工程建设监理公司，项目环评单位中冶节能环保有限责任公司，</w:t>
      </w:r>
      <w:r>
        <w:rPr>
          <w:rFonts w:ascii="Times New Roman" w:hAnsi="Times New Roman" w:cs="Times New Roman"/>
          <w:sz w:val="28"/>
          <w:szCs w:val="28"/>
        </w:rPr>
        <w:t>验收报告编制单位山西太钢工程技术有限公司</w:t>
      </w:r>
      <w:r>
        <w:rPr>
          <w:rFonts w:hint="eastAsia" w:ascii="Times New Roman" w:hAnsi="Times New Roman" w:cs="Times New Roman"/>
          <w:sz w:val="28"/>
          <w:szCs w:val="28"/>
        </w:rPr>
        <w:t>，验收监测单位</w:t>
      </w:r>
      <w:r>
        <w:rPr>
          <w:rFonts w:ascii="Times New Roman" w:hAnsi="Times New Roman" w:cs="Times New Roman"/>
          <w:sz w:val="28"/>
          <w:szCs w:val="28"/>
        </w:rPr>
        <w:t>山西太钢环境监测有限公司的代表及应邀专家。与会代表检查了项目现场，听取了建设单位对工程建设和环保设施调试的情况介绍以及监测单位对项目竣工验收监测情况的介绍，验收组（名单附后）提出验收意见如下：</w:t>
      </w:r>
    </w:p>
    <w:p>
      <w:pPr>
        <w:pStyle w:val="59"/>
        <w:adjustRightInd w:val="0"/>
        <w:snapToGrid w:val="0"/>
        <w:spacing w:before="0" w:beforeAutospacing="0" w:after="0" w:afterAutospacing="0" w:line="46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一、工程建设基本情况</w:t>
      </w:r>
    </w:p>
    <w:p>
      <w:pPr>
        <w:pStyle w:val="59"/>
        <w:adjustRightInd w:val="0"/>
        <w:snapToGrid w:val="0"/>
        <w:spacing w:before="0" w:beforeAutospacing="0" w:after="0" w:afterAutospacing="0" w:line="460" w:lineRule="exact"/>
        <w:ind w:firstLine="560" w:firstLineChars="200"/>
        <w:jc w:val="both"/>
        <w:outlineLvl w:val="1"/>
        <w:rPr>
          <w:rFonts w:ascii="Times New Roman" w:hAnsi="Times New Roman" w:cs="Times New Roman"/>
          <w:kern w:val="2"/>
          <w:sz w:val="28"/>
          <w:szCs w:val="28"/>
        </w:rPr>
      </w:pPr>
      <w:r>
        <w:rPr>
          <w:rFonts w:ascii="Times New Roman" w:hAnsi="Times New Roman" w:cs="Times New Roman"/>
          <w:kern w:val="2"/>
          <w:sz w:val="28"/>
          <w:szCs w:val="28"/>
        </w:rPr>
        <w:t>（一）建设地点、规模、主要建设内容</w:t>
      </w:r>
    </w:p>
    <w:p>
      <w:pPr>
        <w:spacing w:line="460" w:lineRule="exact"/>
        <w:rPr>
          <w:rFonts w:ascii="Times New Roman" w:hAnsi="Times New Roman" w:cs="Times New Roman"/>
          <w:sz w:val="28"/>
          <w:szCs w:val="28"/>
        </w:rPr>
      </w:pPr>
      <w:r>
        <w:rPr>
          <w:rFonts w:hint="eastAsia" w:ascii="Times New Roman" w:hAnsi="Times New Roman" w:cs="Times New Roman"/>
          <w:sz w:val="28"/>
          <w:szCs w:val="28"/>
          <w:lang w:val="en-US" w:eastAsia="zh-CN"/>
        </w:rPr>
        <w:t xml:space="preserve">    </w:t>
      </w:r>
      <w:r>
        <w:rPr>
          <w:rFonts w:ascii="Times New Roman" w:hAnsi="Times New Roman" w:cs="Times New Roman"/>
          <w:sz w:val="28"/>
          <w:szCs w:val="28"/>
        </w:rPr>
        <w:t>建设地点：山西太钢不锈钢股份有限公司</w:t>
      </w:r>
      <w:r>
        <w:rPr>
          <w:rFonts w:hint="eastAsia" w:ascii="Times New Roman" w:hAnsi="Times New Roman" w:cs="Times New Roman"/>
          <w:sz w:val="28"/>
          <w:szCs w:val="28"/>
        </w:rPr>
        <w:t>能源动力总厂办公楼南侧，300</w:t>
      </w:r>
      <w:r>
        <w:rPr>
          <w:rFonts w:ascii="Times New Roman" w:hAnsi="Times New Roman" w:cs="Times New Roman"/>
          <w:sz w:val="28"/>
          <w:szCs w:val="28"/>
        </w:rPr>
        <w:t>MW</w:t>
      </w:r>
      <w:r>
        <w:rPr>
          <w:rFonts w:hint="eastAsia" w:ascii="Times New Roman" w:hAnsi="Times New Roman" w:cs="Times New Roman"/>
          <w:sz w:val="28"/>
          <w:szCs w:val="28"/>
        </w:rPr>
        <w:t>机组2#机以东</w:t>
      </w:r>
    </w:p>
    <w:p>
      <w:pPr>
        <w:shd w:val="clear" w:color="auto" w:fill="FFFFFF"/>
        <w:adjustRightInd w:val="0"/>
        <w:snapToGrid w:val="0"/>
        <w:spacing w:line="460" w:lineRule="exact"/>
        <w:ind w:firstLine="560" w:firstLineChars="200"/>
        <w:rPr>
          <w:rFonts w:ascii="Times New Roman" w:hAnsi="Times New Roman" w:cs="Times New Roman"/>
          <w:sz w:val="28"/>
          <w:szCs w:val="28"/>
        </w:rPr>
      </w:pPr>
      <w:r>
        <w:rPr>
          <w:rFonts w:ascii="Times New Roman" w:hAnsi="Times New Roman" w:cs="Times New Roman"/>
          <w:sz w:val="28"/>
          <w:szCs w:val="28"/>
        </w:rPr>
        <w:t>建设性质：技术改造</w:t>
      </w:r>
    </w:p>
    <w:p>
      <w:pPr>
        <w:shd w:val="clear" w:color="auto" w:fill="FFFFFF"/>
        <w:adjustRightInd w:val="0"/>
        <w:snapToGrid w:val="0"/>
        <w:spacing w:line="460" w:lineRule="exact"/>
        <w:ind w:firstLine="560" w:firstLineChars="200"/>
        <w:rPr>
          <w:rFonts w:ascii="Times New Roman" w:hAnsi="Times New Roman" w:cs="Times New Roman"/>
          <w:sz w:val="28"/>
          <w:szCs w:val="28"/>
        </w:rPr>
      </w:pPr>
      <w:r>
        <w:rPr>
          <w:rFonts w:ascii="Times New Roman" w:hAnsi="Times New Roman" w:cs="Times New Roman"/>
          <w:sz w:val="28"/>
          <w:szCs w:val="28"/>
        </w:rPr>
        <w:t>建设规模：</w:t>
      </w:r>
      <w:r>
        <w:rPr>
          <w:rFonts w:hint="eastAsia" w:ascii="Times New Roman" w:hAnsi="Times New Roman" w:cs="Times New Roman"/>
          <w:sz w:val="28"/>
          <w:szCs w:val="28"/>
        </w:rPr>
        <w:t>新建1×260t/h亚临界超高温煤气锅炉、1×80MW亚临界超高温直接空冷抽汽凝汽式汽轮发电机组，同步建设脱硫脱硝设施。</w:t>
      </w:r>
    </w:p>
    <w:p>
      <w:pPr>
        <w:pStyle w:val="64"/>
        <w:spacing w:line="460" w:lineRule="exact"/>
        <w:ind w:firstLine="560" w:firstLineChars="200"/>
      </w:pPr>
      <w:r>
        <w:t>工程组成与建设内容：项目包括主体工程、辅助工程、公用工程、</w:t>
      </w:r>
      <w:r>
        <w:rPr>
          <w:rFonts w:hint="eastAsia"/>
        </w:rPr>
        <w:t>依托工程、</w:t>
      </w:r>
      <w:r>
        <w:t>环保工程</w:t>
      </w:r>
      <w:r>
        <w:rPr>
          <w:rFonts w:hint="eastAsia"/>
        </w:rPr>
        <w:t>、淘汰工程</w:t>
      </w:r>
      <w:r>
        <w:t>等，主要建设内容：</w:t>
      </w:r>
      <w:r>
        <w:rPr>
          <w:rFonts w:hint="eastAsia"/>
        </w:rPr>
        <w:t>本项目利用太钢公司的富余高炉煤气，新建1×260t/h亚临界超高温煤气锅炉和1×80MW亚临界超高温直接空冷抽汽凝汽式汽轮发电机组，配套设施包括热力系统、燃烧系统、控制系统、电气系统、脱硫系统、脱硝系统等。本项目建成后，现有2台130t/h的中温中压煤气锅炉（9#、10#锅炉）停炉作为应急备用。</w:t>
      </w:r>
      <w:r>
        <w:t>工程组成与建设内容见表1</w:t>
      </w:r>
      <w:r>
        <w:rPr>
          <w:rFonts w:hint="eastAsia"/>
        </w:rPr>
        <w:t>。</w:t>
      </w:r>
    </w:p>
    <w:p>
      <w:pPr>
        <w:adjustRightInd w:val="0"/>
        <w:snapToGrid w:val="0"/>
        <w:spacing w:line="500" w:lineRule="exact"/>
        <w:jc w:val="center"/>
        <w:rPr>
          <w:rFonts w:ascii="Times New Roman" w:hAnsi="Times New Roman" w:cs="Times New Roman"/>
          <w:b/>
          <w:color w:val="000000"/>
          <w:sz w:val="24"/>
        </w:rPr>
        <w:sectPr>
          <w:footerReference r:id="rId4" w:type="default"/>
          <w:pgSz w:w="11906" w:h="16838"/>
          <w:pgMar w:top="1417" w:right="1587" w:bottom="1417" w:left="1701" w:header="851" w:footer="992" w:gutter="0"/>
          <w:cols w:space="720" w:num="1"/>
          <w:docGrid w:type="lines" w:linePitch="312" w:charSpace="0"/>
        </w:sectPr>
      </w:pPr>
    </w:p>
    <w:p>
      <w:pPr>
        <w:adjustRightInd w:val="0"/>
        <w:snapToGrid w:val="0"/>
        <w:spacing w:line="500" w:lineRule="exact"/>
        <w:jc w:val="center"/>
        <w:rPr>
          <w:rFonts w:ascii="Times New Roman" w:hAnsi="Times New Roman" w:cs="Times New Roman"/>
          <w:b/>
          <w:color w:val="000000"/>
          <w:sz w:val="24"/>
        </w:rPr>
      </w:pPr>
      <w:r>
        <w:rPr>
          <w:rFonts w:ascii="Times New Roman" w:hAnsi="Times New Roman" w:cs="Times New Roman"/>
          <w:b/>
          <w:color w:val="000000"/>
          <w:sz w:val="24"/>
        </w:rPr>
        <w:t>表1  项目组成及建设内容表</w:t>
      </w:r>
    </w:p>
    <w:tbl>
      <w:tblPr>
        <w:tblStyle w:val="20"/>
        <w:tblW w:w="142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8"/>
        <w:gridCol w:w="449"/>
        <w:gridCol w:w="1300"/>
        <w:gridCol w:w="3324"/>
        <w:gridCol w:w="3469"/>
        <w:gridCol w:w="3324"/>
        <w:gridCol w:w="1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307" w:type="dxa"/>
            <w:gridSpan w:val="3"/>
            <w:vAlign w:val="center"/>
          </w:tcPr>
          <w:p>
            <w:pPr>
              <w:pStyle w:val="65"/>
              <w:spacing w:line="320" w:lineRule="exact"/>
              <w:rPr>
                <w:b/>
                <w:bCs/>
                <w:szCs w:val="21"/>
              </w:rPr>
            </w:pPr>
            <w:r>
              <w:rPr>
                <w:b/>
                <w:bCs/>
                <w:szCs w:val="21"/>
              </w:rPr>
              <w:t>工程名称</w:t>
            </w:r>
          </w:p>
        </w:tc>
        <w:tc>
          <w:tcPr>
            <w:tcW w:w="3324" w:type="dxa"/>
            <w:vAlign w:val="center"/>
          </w:tcPr>
          <w:p>
            <w:pPr>
              <w:pStyle w:val="65"/>
              <w:spacing w:line="320" w:lineRule="exact"/>
              <w:rPr>
                <w:b/>
                <w:bCs/>
                <w:szCs w:val="21"/>
              </w:rPr>
            </w:pPr>
            <w:r>
              <w:rPr>
                <w:b/>
                <w:bCs/>
                <w:szCs w:val="21"/>
              </w:rPr>
              <w:t>变更前项目</w:t>
            </w:r>
            <w:r>
              <w:rPr>
                <w:rFonts w:hint="eastAsia"/>
                <w:b/>
                <w:bCs/>
                <w:szCs w:val="21"/>
              </w:rPr>
              <w:t>环评设计</w:t>
            </w:r>
            <w:r>
              <w:rPr>
                <w:b/>
                <w:bCs/>
                <w:szCs w:val="21"/>
              </w:rPr>
              <w:t>建设内容</w:t>
            </w:r>
          </w:p>
        </w:tc>
        <w:tc>
          <w:tcPr>
            <w:tcW w:w="3469" w:type="dxa"/>
            <w:vAlign w:val="center"/>
          </w:tcPr>
          <w:p>
            <w:pPr>
              <w:pStyle w:val="65"/>
              <w:spacing w:line="320" w:lineRule="exact"/>
              <w:rPr>
                <w:b/>
                <w:bCs/>
                <w:szCs w:val="21"/>
              </w:rPr>
            </w:pPr>
            <w:r>
              <w:rPr>
                <w:b/>
                <w:bCs/>
                <w:szCs w:val="21"/>
              </w:rPr>
              <w:t>变更后项目</w:t>
            </w:r>
            <w:r>
              <w:rPr>
                <w:rFonts w:hint="eastAsia"/>
                <w:b/>
                <w:bCs/>
                <w:szCs w:val="21"/>
              </w:rPr>
              <w:t>环评设计</w:t>
            </w:r>
            <w:r>
              <w:rPr>
                <w:b/>
                <w:bCs/>
                <w:szCs w:val="21"/>
              </w:rPr>
              <w:t>建设内容</w:t>
            </w:r>
          </w:p>
        </w:tc>
        <w:tc>
          <w:tcPr>
            <w:tcW w:w="3324" w:type="dxa"/>
            <w:vAlign w:val="center"/>
          </w:tcPr>
          <w:p>
            <w:pPr>
              <w:pStyle w:val="65"/>
              <w:spacing w:line="320" w:lineRule="exact"/>
              <w:rPr>
                <w:b/>
                <w:bCs/>
                <w:szCs w:val="21"/>
              </w:rPr>
            </w:pPr>
            <w:r>
              <w:rPr>
                <w:b/>
                <w:bCs/>
              </w:rPr>
              <w:t>实际建设内容</w:t>
            </w:r>
          </w:p>
        </w:tc>
        <w:tc>
          <w:tcPr>
            <w:tcW w:w="1794" w:type="dxa"/>
            <w:vAlign w:val="center"/>
          </w:tcPr>
          <w:p>
            <w:pPr>
              <w:pStyle w:val="65"/>
              <w:spacing w:line="320" w:lineRule="exact"/>
              <w:rPr>
                <w:b/>
                <w:bCs/>
              </w:rPr>
            </w:pPr>
            <w:r>
              <w:rPr>
                <w:b/>
                <w:bCs/>
              </w:rPr>
              <w:t>与</w:t>
            </w:r>
            <w:r>
              <w:rPr>
                <w:rFonts w:hint="eastAsia"/>
                <w:b/>
                <w:bCs/>
              </w:rPr>
              <w:t>变更后</w:t>
            </w:r>
            <w:r>
              <w:rPr>
                <w:b/>
                <w:bCs/>
              </w:rPr>
              <w:t>环评</w:t>
            </w:r>
          </w:p>
          <w:p>
            <w:pPr>
              <w:pStyle w:val="65"/>
              <w:spacing w:line="320" w:lineRule="exact"/>
              <w:rPr>
                <w:b/>
                <w:bCs/>
                <w:szCs w:val="21"/>
              </w:rPr>
            </w:pPr>
            <w:r>
              <w:rPr>
                <w:b/>
                <w:bCs/>
              </w:rPr>
              <w:t>一致性说明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restart"/>
            <w:vAlign w:val="center"/>
          </w:tcPr>
          <w:p>
            <w:pPr>
              <w:pStyle w:val="65"/>
              <w:spacing w:line="320" w:lineRule="exact"/>
              <w:rPr>
                <w:szCs w:val="21"/>
              </w:rPr>
            </w:pPr>
            <w:r>
              <w:rPr>
                <w:szCs w:val="21"/>
              </w:rPr>
              <w:t>主体工程</w:t>
            </w:r>
          </w:p>
        </w:tc>
        <w:tc>
          <w:tcPr>
            <w:tcW w:w="1749" w:type="dxa"/>
            <w:gridSpan w:val="2"/>
            <w:vAlign w:val="center"/>
          </w:tcPr>
          <w:p>
            <w:pPr>
              <w:pStyle w:val="65"/>
              <w:spacing w:line="320" w:lineRule="exact"/>
              <w:rPr>
                <w:szCs w:val="21"/>
              </w:rPr>
            </w:pPr>
            <w:r>
              <w:rPr>
                <w:szCs w:val="21"/>
              </w:rPr>
              <w:t>煤气锅炉</w:t>
            </w:r>
          </w:p>
        </w:tc>
        <w:tc>
          <w:tcPr>
            <w:tcW w:w="3324" w:type="dxa"/>
            <w:vAlign w:val="center"/>
          </w:tcPr>
          <w:p>
            <w:pPr>
              <w:pStyle w:val="65"/>
              <w:spacing w:line="320" w:lineRule="exact"/>
              <w:rPr>
                <w:szCs w:val="21"/>
              </w:rPr>
            </w:pPr>
            <w:r>
              <w:rPr>
                <w:szCs w:val="21"/>
              </w:rPr>
              <w:t>2台240t/h高温高压煤气锅炉</w:t>
            </w:r>
          </w:p>
        </w:tc>
        <w:tc>
          <w:tcPr>
            <w:tcW w:w="3469" w:type="dxa"/>
            <w:vAlign w:val="center"/>
          </w:tcPr>
          <w:p>
            <w:pPr>
              <w:pStyle w:val="65"/>
              <w:spacing w:line="320" w:lineRule="exact"/>
              <w:rPr>
                <w:szCs w:val="21"/>
              </w:rPr>
            </w:pPr>
            <w:r>
              <w:rPr>
                <w:szCs w:val="21"/>
              </w:rPr>
              <w:t>1×260t/h亚临界超高温煤气锅炉</w:t>
            </w:r>
          </w:p>
        </w:tc>
        <w:tc>
          <w:tcPr>
            <w:tcW w:w="3324" w:type="dxa"/>
            <w:vAlign w:val="center"/>
          </w:tcPr>
          <w:p>
            <w:pPr>
              <w:pStyle w:val="65"/>
              <w:spacing w:line="320" w:lineRule="exact"/>
              <w:rPr>
                <w:szCs w:val="21"/>
              </w:rPr>
            </w:pPr>
            <w:r>
              <w:rPr>
                <w:szCs w:val="21"/>
              </w:rPr>
              <w:t>1×260t/h亚临界超高温煤气锅炉</w:t>
            </w:r>
          </w:p>
        </w:tc>
        <w:tc>
          <w:tcPr>
            <w:tcW w:w="1794" w:type="dxa"/>
            <w:vAlign w:val="center"/>
          </w:tcPr>
          <w:p>
            <w:pPr>
              <w:pStyle w:val="65"/>
              <w:spacing w:line="320" w:lineRule="exact"/>
              <w:rPr>
                <w:szCs w:val="21"/>
              </w:rPr>
            </w:pPr>
            <w:r>
              <w:rPr>
                <w:rFonts w:hint="eastAsia"/>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65"/>
              <w:spacing w:line="320" w:lineRule="exact"/>
              <w:rPr>
                <w:szCs w:val="21"/>
              </w:rPr>
            </w:pPr>
          </w:p>
        </w:tc>
        <w:tc>
          <w:tcPr>
            <w:tcW w:w="1749" w:type="dxa"/>
            <w:gridSpan w:val="2"/>
            <w:vAlign w:val="center"/>
          </w:tcPr>
          <w:p>
            <w:pPr>
              <w:pStyle w:val="65"/>
              <w:spacing w:line="320" w:lineRule="exact"/>
              <w:rPr>
                <w:szCs w:val="21"/>
              </w:rPr>
            </w:pPr>
            <w:r>
              <w:rPr>
                <w:szCs w:val="21"/>
              </w:rPr>
              <w:t>汽轮发电机组</w:t>
            </w:r>
          </w:p>
        </w:tc>
        <w:tc>
          <w:tcPr>
            <w:tcW w:w="3324" w:type="dxa"/>
            <w:vAlign w:val="center"/>
          </w:tcPr>
          <w:p>
            <w:pPr>
              <w:pStyle w:val="65"/>
              <w:spacing w:line="320" w:lineRule="exact"/>
              <w:rPr>
                <w:szCs w:val="21"/>
              </w:rPr>
            </w:pPr>
            <w:r>
              <w:rPr>
                <w:szCs w:val="21"/>
              </w:rPr>
              <w:t>2台12MW背压发电机组</w:t>
            </w:r>
          </w:p>
        </w:tc>
        <w:tc>
          <w:tcPr>
            <w:tcW w:w="3469" w:type="dxa"/>
            <w:vAlign w:val="center"/>
          </w:tcPr>
          <w:p>
            <w:pPr>
              <w:pStyle w:val="65"/>
              <w:spacing w:line="320" w:lineRule="exact"/>
              <w:rPr>
                <w:szCs w:val="21"/>
              </w:rPr>
            </w:pPr>
            <w:r>
              <w:rPr>
                <w:szCs w:val="21"/>
              </w:rPr>
              <w:t>1×80MW亚临界超高温直接空冷抽汽凝汽式汽轮发电机组</w:t>
            </w:r>
          </w:p>
        </w:tc>
        <w:tc>
          <w:tcPr>
            <w:tcW w:w="3324" w:type="dxa"/>
            <w:vAlign w:val="center"/>
          </w:tcPr>
          <w:p>
            <w:pPr>
              <w:pStyle w:val="65"/>
              <w:spacing w:line="320" w:lineRule="exact"/>
              <w:rPr>
                <w:szCs w:val="21"/>
              </w:rPr>
            </w:pPr>
            <w:r>
              <w:rPr>
                <w:szCs w:val="21"/>
              </w:rPr>
              <w:t>1×80MW亚临界超高温直接空冷抽汽凝汽式汽轮发电机组</w:t>
            </w:r>
          </w:p>
        </w:tc>
        <w:tc>
          <w:tcPr>
            <w:tcW w:w="1794" w:type="dxa"/>
            <w:vAlign w:val="center"/>
          </w:tcPr>
          <w:p>
            <w:pPr>
              <w:pStyle w:val="65"/>
              <w:spacing w:line="320" w:lineRule="exact"/>
              <w:rPr>
                <w:szCs w:val="21"/>
              </w:rPr>
            </w:pPr>
            <w:r>
              <w:rPr>
                <w:rFonts w:hint="eastAsia"/>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65"/>
              <w:spacing w:line="320" w:lineRule="exact"/>
              <w:rPr>
                <w:szCs w:val="21"/>
              </w:rPr>
            </w:pPr>
          </w:p>
        </w:tc>
        <w:tc>
          <w:tcPr>
            <w:tcW w:w="1749" w:type="dxa"/>
            <w:gridSpan w:val="2"/>
            <w:vAlign w:val="center"/>
          </w:tcPr>
          <w:p>
            <w:pPr>
              <w:pStyle w:val="65"/>
              <w:spacing w:line="320" w:lineRule="exact"/>
              <w:rPr>
                <w:szCs w:val="21"/>
              </w:rPr>
            </w:pPr>
            <w:r>
              <w:rPr>
                <w:szCs w:val="21"/>
              </w:rPr>
              <w:t>除盐水站</w:t>
            </w:r>
          </w:p>
        </w:tc>
        <w:tc>
          <w:tcPr>
            <w:tcW w:w="3324" w:type="dxa"/>
            <w:vAlign w:val="center"/>
          </w:tcPr>
          <w:p>
            <w:pPr>
              <w:pStyle w:val="65"/>
              <w:spacing w:line="320" w:lineRule="exact"/>
              <w:rPr>
                <w:szCs w:val="21"/>
              </w:rPr>
            </w:pPr>
            <w:r>
              <w:rPr>
                <w:szCs w:val="21"/>
              </w:rPr>
              <w:t>1座400t/h除盐水站，34m×19m×16m，布置有除二氧化碳器、原水泵、反渗透装置等，用于提供煤气锅炉补给水</w:t>
            </w:r>
          </w:p>
        </w:tc>
        <w:tc>
          <w:tcPr>
            <w:tcW w:w="3469" w:type="dxa"/>
            <w:vAlign w:val="center"/>
          </w:tcPr>
          <w:p>
            <w:pPr>
              <w:pStyle w:val="65"/>
              <w:spacing w:line="320" w:lineRule="exact"/>
              <w:rPr>
                <w:szCs w:val="21"/>
              </w:rPr>
            </w:pPr>
            <w:r>
              <w:rPr>
                <w:szCs w:val="21"/>
              </w:rPr>
              <w:t>锅炉除盐水就近从太钢除盐水管网引接</w:t>
            </w:r>
          </w:p>
        </w:tc>
        <w:tc>
          <w:tcPr>
            <w:tcW w:w="3324" w:type="dxa"/>
            <w:vAlign w:val="center"/>
          </w:tcPr>
          <w:p>
            <w:pPr>
              <w:pStyle w:val="65"/>
              <w:spacing w:line="320" w:lineRule="exact"/>
              <w:rPr>
                <w:szCs w:val="21"/>
                <w:highlight w:val="yellow"/>
              </w:rPr>
            </w:pPr>
            <w:r>
              <w:rPr>
                <w:szCs w:val="21"/>
              </w:rPr>
              <w:t>锅炉除盐水就近从太钢除盐水管网引接</w:t>
            </w:r>
          </w:p>
        </w:tc>
        <w:tc>
          <w:tcPr>
            <w:tcW w:w="1794" w:type="dxa"/>
            <w:vAlign w:val="center"/>
          </w:tcPr>
          <w:p>
            <w:pPr>
              <w:pStyle w:val="65"/>
              <w:spacing w:line="320" w:lineRule="exact"/>
              <w:rPr>
                <w:szCs w:val="21"/>
                <w:highlight w:val="yellow"/>
              </w:rPr>
            </w:pPr>
            <w:r>
              <w:rPr>
                <w:rFonts w:hint="eastAsia"/>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restart"/>
            <w:vAlign w:val="center"/>
          </w:tcPr>
          <w:p>
            <w:pPr>
              <w:pStyle w:val="65"/>
              <w:spacing w:line="320" w:lineRule="exact"/>
              <w:rPr>
                <w:szCs w:val="21"/>
              </w:rPr>
            </w:pPr>
            <w:r>
              <w:rPr>
                <w:szCs w:val="21"/>
              </w:rPr>
              <w:t>辅助工程</w:t>
            </w:r>
          </w:p>
        </w:tc>
        <w:tc>
          <w:tcPr>
            <w:tcW w:w="1749" w:type="dxa"/>
            <w:gridSpan w:val="2"/>
            <w:vAlign w:val="center"/>
          </w:tcPr>
          <w:p>
            <w:pPr>
              <w:pStyle w:val="65"/>
              <w:spacing w:line="320" w:lineRule="exact"/>
              <w:rPr>
                <w:szCs w:val="21"/>
              </w:rPr>
            </w:pPr>
            <w:r>
              <w:rPr>
                <w:szCs w:val="21"/>
              </w:rPr>
              <w:t>主厂房</w:t>
            </w:r>
          </w:p>
        </w:tc>
        <w:tc>
          <w:tcPr>
            <w:tcW w:w="3324" w:type="dxa"/>
            <w:vAlign w:val="center"/>
          </w:tcPr>
          <w:p>
            <w:pPr>
              <w:pStyle w:val="65"/>
              <w:spacing w:line="320" w:lineRule="exact"/>
              <w:rPr>
                <w:szCs w:val="21"/>
              </w:rPr>
            </w:pPr>
            <w:r>
              <w:rPr>
                <w:szCs w:val="21"/>
              </w:rPr>
              <w:t>布置引风机室、水平烟道、除氧间等</w:t>
            </w:r>
          </w:p>
        </w:tc>
        <w:tc>
          <w:tcPr>
            <w:tcW w:w="3469" w:type="dxa"/>
            <w:vAlign w:val="center"/>
          </w:tcPr>
          <w:p>
            <w:pPr>
              <w:pStyle w:val="65"/>
              <w:spacing w:line="320" w:lineRule="exact"/>
              <w:rPr>
                <w:szCs w:val="21"/>
              </w:rPr>
            </w:pPr>
            <w:r>
              <w:rPr>
                <w:szCs w:val="21"/>
              </w:rPr>
              <w:t>布置汽机房、除氧间、锅炉房等</w:t>
            </w:r>
          </w:p>
        </w:tc>
        <w:tc>
          <w:tcPr>
            <w:tcW w:w="3324" w:type="dxa"/>
            <w:vAlign w:val="center"/>
          </w:tcPr>
          <w:p>
            <w:pPr>
              <w:pStyle w:val="65"/>
              <w:spacing w:line="320" w:lineRule="exact"/>
              <w:rPr>
                <w:szCs w:val="21"/>
              </w:rPr>
            </w:pPr>
            <w:r>
              <w:rPr>
                <w:szCs w:val="21"/>
              </w:rPr>
              <w:t>布置汽机房、除氧间、锅炉房等</w:t>
            </w:r>
          </w:p>
        </w:tc>
        <w:tc>
          <w:tcPr>
            <w:tcW w:w="1794" w:type="dxa"/>
            <w:vAlign w:val="center"/>
          </w:tcPr>
          <w:p>
            <w:pPr>
              <w:pStyle w:val="65"/>
              <w:spacing w:line="320" w:lineRule="exact"/>
              <w:rPr>
                <w:szCs w:val="21"/>
              </w:rPr>
            </w:pPr>
            <w:r>
              <w:rPr>
                <w:rFonts w:hint="eastAsia"/>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65"/>
              <w:spacing w:line="320" w:lineRule="exact"/>
              <w:rPr>
                <w:szCs w:val="21"/>
              </w:rPr>
            </w:pPr>
          </w:p>
        </w:tc>
        <w:tc>
          <w:tcPr>
            <w:tcW w:w="1749" w:type="dxa"/>
            <w:gridSpan w:val="2"/>
            <w:vAlign w:val="center"/>
          </w:tcPr>
          <w:p>
            <w:pPr>
              <w:pStyle w:val="65"/>
              <w:spacing w:line="320" w:lineRule="exact"/>
              <w:rPr>
                <w:szCs w:val="21"/>
              </w:rPr>
            </w:pPr>
            <w:r>
              <w:rPr>
                <w:szCs w:val="21"/>
              </w:rPr>
              <w:t>空冷平台</w:t>
            </w:r>
          </w:p>
        </w:tc>
        <w:tc>
          <w:tcPr>
            <w:tcW w:w="3324" w:type="dxa"/>
            <w:vAlign w:val="center"/>
          </w:tcPr>
          <w:p>
            <w:pPr>
              <w:pStyle w:val="65"/>
              <w:spacing w:line="320" w:lineRule="exact"/>
              <w:rPr>
                <w:szCs w:val="21"/>
              </w:rPr>
            </w:pPr>
            <w:r>
              <w:rPr>
                <w:szCs w:val="21"/>
              </w:rPr>
              <w:t>无</w:t>
            </w:r>
          </w:p>
        </w:tc>
        <w:tc>
          <w:tcPr>
            <w:tcW w:w="3469" w:type="dxa"/>
            <w:vAlign w:val="center"/>
          </w:tcPr>
          <w:p>
            <w:pPr>
              <w:pStyle w:val="65"/>
              <w:spacing w:line="320" w:lineRule="exact"/>
              <w:rPr>
                <w:szCs w:val="21"/>
              </w:rPr>
            </w:pPr>
            <w:r>
              <w:rPr>
                <w:szCs w:val="21"/>
              </w:rPr>
              <w:t>布置循环水泵房、蒸发冷却器、主变压器和空冷配电间等。汽轮机凝汽系统采用直接空冷，辅助设备采用闭式循环系统带蒸发冷却器的二次循环冷却方案</w:t>
            </w:r>
          </w:p>
        </w:tc>
        <w:tc>
          <w:tcPr>
            <w:tcW w:w="3324" w:type="dxa"/>
            <w:vAlign w:val="center"/>
          </w:tcPr>
          <w:p>
            <w:pPr>
              <w:pStyle w:val="65"/>
              <w:spacing w:line="320" w:lineRule="exact"/>
              <w:rPr>
                <w:szCs w:val="21"/>
              </w:rPr>
            </w:pPr>
            <w:r>
              <w:rPr>
                <w:szCs w:val="21"/>
              </w:rPr>
              <w:t>布置循环水泵房、蒸发冷却器、主变压器和空冷配电间等。汽轮机凝汽系统采用直接空冷，辅助设备采用闭式循环系统带蒸发冷却器的二次循环冷却方案</w:t>
            </w:r>
          </w:p>
        </w:tc>
        <w:tc>
          <w:tcPr>
            <w:tcW w:w="1794" w:type="dxa"/>
            <w:vAlign w:val="center"/>
          </w:tcPr>
          <w:p>
            <w:pPr>
              <w:pStyle w:val="65"/>
              <w:spacing w:line="320" w:lineRule="exact"/>
              <w:rPr>
                <w:szCs w:val="21"/>
              </w:rPr>
            </w:pPr>
            <w:r>
              <w:rPr>
                <w:rFonts w:hint="eastAsia"/>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restart"/>
            <w:vAlign w:val="center"/>
          </w:tcPr>
          <w:p>
            <w:pPr>
              <w:pStyle w:val="65"/>
              <w:spacing w:line="320" w:lineRule="exact"/>
              <w:rPr>
                <w:szCs w:val="21"/>
              </w:rPr>
            </w:pPr>
            <w:r>
              <w:rPr>
                <w:szCs w:val="21"/>
              </w:rPr>
              <w:t>公用工程</w:t>
            </w:r>
          </w:p>
        </w:tc>
        <w:tc>
          <w:tcPr>
            <w:tcW w:w="1749" w:type="dxa"/>
            <w:gridSpan w:val="2"/>
            <w:vAlign w:val="center"/>
          </w:tcPr>
          <w:p>
            <w:pPr>
              <w:pStyle w:val="65"/>
              <w:spacing w:line="320" w:lineRule="exact"/>
              <w:rPr>
                <w:szCs w:val="21"/>
              </w:rPr>
            </w:pPr>
            <w:r>
              <w:rPr>
                <w:szCs w:val="21"/>
              </w:rPr>
              <w:t>供电</w:t>
            </w:r>
          </w:p>
        </w:tc>
        <w:tc>
          <w:tcPr>
            <w:tcW w:w="3324" w:type="dxa"/>
            <w:vAlign w:val="center"/>
          </w:tcPr>
          <w:p>
            <w:pPr>
              <w:pStyle w:val="65"/>
              <w:spacing w:line="320" w:lineRule="exact"/>
              <w:rPr>
                <w:szCs w:val="21"/>
              </w:rPr>
            </w:pPr>
            <w:r>
              <w:rPr>
                <w:szCs w:val="21"/>
              </w:rPr>
              <w:t>项目自身提供，新建10kV配电室</w:t>
            </w:r>
          </w:p>
        </w:tc>
        <w:tc>
          <w:tcPr>
            <w:tcW w:w="3469" w:type="dxa"/>
            <w:vAlign w:val="center"/>
          </w:tcPr>
          <w:p>
            <w:pPr>
              <w:pStyle w:val="65"/>
              <w:spacing w:line="320" w:lineRule="exact"/>
              <w:rPr>
                <w:szCs w:val="21"/>
              </w:rPr>
            </w:pPr>
            <w:r>
              <w:rPr>
                <w:szCs w:val="21"/>
              </w:rPr>
              <w:t>项目自身提供，新建1座110kV升压站，以1回110kV电缆出线接入太钢110kV变电站</w:t>
            </w:r>
          </w:p>
        </w:tc>
        <w:tc>
          <w:tcPr>
            <w:tcW w:w="3324" w:type="dxa"/>
            <w:vAlign w:val="center"/>
          </w:tcPr>
          <w:p>
            <w:pPr>
              <w:pStyle w:val="65"/>
              <w:spacing w:line="320" w:lineRule="exact"/>
              <w:rPr>
                <w:szCs w:val="21"/>
              </w:rPr>
            </w:pPr>
            <w:r>
              <w:rPr>
                <w:szCs w:val="21"/>
              </w:rPr>
              <w:t>项目自身提供，新建1座110kV升压站，以1回110kV电缆出线接入太钢110kV变电站</w:t>
            </w:r>
          </w:p>
        </w:tc>
        <w:tc>
          <w:tcPr>
            <w:tcW w:w="1794" w:type="dxa"/>
            <w:vAlign w:val="center"/>
          </w:tcPr>
          <w:p>
            <w:pPr>
              <w:pStyle w:val="65"/>
              <w:spacing w:line="320" w:lineRule="exact"/>
              <w:rPr>
                <w:szCs w:val="21"/>
              </w:rPr>
            </w:pPr>
            <w:r>
              <w:rPr>
                <w:rFonts w:hint="eastAsia"/>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65"/>
              <w:spacing w:line="320" w:lineRule="exact"/>
              <w:rPr>
                <w:szCs w:val="21"/>
              </w:rPr>
            </w:pPr>
          </w:p>
        </w:tc>
        <w:tc>
          <w:tcPr>
            <w:tcW w:w="1749" w:type="dxa"/>
            <w:gridSpan w:val="2"/>
            <w:vAlign w:val="center"/>
          </w:tcPr>
          <w:p>
            <w:pPr>
              <w:pStyle w:val="65"/>
              <w:spacing w:line="320" w:lineRule="exact"/>
              <w:rPr>
                <w:szCs w:val="21"/>
              </w:rPr>
            </w:pPr>
            <w:r>
              <w:rPr>
                <w:szCs w:val="21"/>
              </w:rPr>
              <w:t>供水</w:t>
            </w:r>
          </w:p>
        </w:tc>
        <w:tc>
          <w:tcPr>
            <w:tcW w:w="3324" w:type="dxa"/>
            <w:vAlign w:val="center"/>
          </w:tcPr>
          <w:p>
            <w:pPr>
              <w:pStyle w:val="65"/>
              <w:spacing w:line="320" w:lineRule="exact"/>
              <w:rPr>
                <w:szCs w:val="21"/>
              </w:rPr>
            </w:pPr>
            <w:r>
              <w:rPr>
                <w:szCs w:val="21"/>
              </w:rPr>
              <w:t>太钢管网统一供给</w:t>
            </w:r>
          </w:p>
        </w:tc>
        <w:tc>
          <w:tcPr>
            <w:tcW w:w="3469" w:type="dxa"/>
            <w:vAlign w:val="center"/>
          </w:tcPr>
          <w:p>
            <w:pPr>
              <w:pStyle w:val="65"/>
              <w:spacing w:line="320" w:lineRule="exact"/>
              <w:rPr>
                <w:szCs w:val="21"/>
              </w:rPr>
            </w:pPr>
            <w:r>
              <w:rPr>
                <w:szCs w:val="21"/>
              </w:rPr>
              <w:t>不变</w:t>
            </w:r>
          </w:p>
        </w:tc>
        <w:tc>
          <w:tcPr>
            <w:tcW w:w="3324" w:type="dxa"/>
            <w:vAlign w:val="center"/>
          </w:tcPr>
          <w:p>
            <w:pPr>
              <w:pStyle w:val="65"/>
              <w:spacing w:line="320" w:lineRule="exact"/>
              <w:rPr>
                <w:szCs w:val="21"/>
              </w:rPr>
            </w:pPr>
            <w:r>
              <w:rPr>
                <w:szCs w:val="21"/>
              </w:rPr>
              <w:t>不变</w:t>
            </w:r>
          </w:p>
        </w:tc>
        <w:tc>
          <w:tcPr>
            <w:tcW w:w="1794" w:type="dxa"/>
            <w:vAlign w:val="center"/>
          </w:tcPr>
          <w:p>
            <w:pPr>
              <w:pStyle w:val="65"/>
              <w:spacing w:line="320" w:lineRule="exact"/>
              <w:rPr>
                <w:szCs w:val="21"/>
              </w:rPr>
            </w:pPr>
            <w:r>
              <w:rPr>
                <w:rFonts w:hint="eastAsia"/>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65"/>
              <w:spacing w:line="320" w:lineRule="exact"/>
              <w:rPr>
                <w:szCs w:val="21"/>
              </w:rPr>
            </w:pPr>
          </w:p>
        </w:tc>
        <w:tc>
          <w:tcPr>
            <w:tcW w:w="1749" w:type="dxa"/>
            <w:gridSpan w:val="2"/>
            <w:vAlign w:val="center"/>
          </w:tcPr>
          <w:p>
            <w:pPr>
              <w:pStyle w:val="65"/>
              <w:spacing w:line="320" w:lineRule="exact"/>
              <w:rPr>
                <w:szCs w:val="21"/>
              </w:rPr>
            </w:pPr>
            <w:r>
              <w:rPr>
                <w:szCs w:val="21"/>
              </w:rPr>
              <w:t>煤气</w:t>
            </w:r>
          </w:p>
        </w:tc>
        <w:tc>
          <w:tcPr>
            <w:tcW w:w="3324" w:type="dxa"/>
            <w:vAlign w:val="center"/>
          </w:tcPr>
          <w:p>
            <w:pPr>
              <w:pStyle w:val="65"/>
              <w:spacing w:line="320" w:lineRule="exact"/>
              <w:rPr>
                <w:szCs w:val="21"/>
              </w:rPr>
            </w:pPr>
            <w:r>
              <w:rPr>
                <w:szCs w:val="21"/>
              </w:rPr>
              <w:t>太钢煤气管网供应</w:t>
            </w:r>
          </w:p>
        </w:tc>
        <w:tc>
          <w:tcPr>
            <w:tcW w:w="3469" w:type="dxa"/>
            <w:vAlign w:val="center"/>
          </w:tcPr>
          <w:p>
            <w:pPr>
              <w:pStyle w:val="65"/>
              <w:spacing w:line="320" w:lineRule="exact"/>
              <w:rPr>
                <w:szCs w:val="21"/>
              </w:rPr>
            </w:pPr>
            <w:r>
              <w:rPr>
                <w:szCs w:val="21"/>
              </w:rPr>
              <w:t>不变</w:t>
            </w:r>
          </w:p>
        </w:tc>
        <w:tc>
          <w:tcPr>
            <w:tcW w:w="3324" w:type="dxa"/>
            <w:vAlign w:val="center"/>
          </w:tcPr>
          <w:p>
            <w:pPr>
              <w:pStyle w:val="65"/>
              <w:spacing w:line="320" w:lineRule="exact"/>
              <w:rPr>
                <w:szCs w:val="21"/>
              </w:rPr>
            </w:pPr>
            <w:r>
              <w:rPr>
                <w:szCs w:val="21"/>
              </w:rPr>
              <w:t>不变</w:t>
            </w:r>
          </w:p>
        </w:tc>
        <w:tc>
          <w:tcPr>
            <w:tcW w:w="1794" w:type="dxa"/>
            <w:vAlign w:val="center"/>
          </w:tcPr>
          <w:p>
            <w:pPr>
              <w:pStyle w:val="65"/>
              <w:spacing w:line="320" w:lineRule="exact"/>
              <w:rPr>
                <w:szCs w:val="21"/>
              </w:rPr>
            </w:pPr>
            <w:r>
              <w:rPr>
                <w:rFonts w:hint="eastAsia"/>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65"/>
              <w:spacing w:line="320" w:lineRule="exact"/>
              <w:rPr>
                <w:szCs w:val="21"/>
              </w:rPr>
            </w:pPr>
          </w:p>
        </w:tc>
        <w:tc>
          <w:tcPr>
            <w:tcW w:w="1749" w:type="dxa"/>
            <w:gridSpan w:val="2"/>
            <w:vAlign w:val="center"/>
          </w:tcPr>
          <w:p>
            <w:pPr>
              <w:pStyle w:val="65"/>
              <w:spacing w:line="320" w:lineRule="exact"/>
              <w:rPr>
                <w:szCs w:val="21"/>
              </w:rPr>
            </w:pPr>
            <w:r>
              <w:rPr>
                <w:szCs w:val="21"/>
              </w:rPr>
              <w:t>压缩空气</w:t>
            </w:r>
          </w:p>
        </w:tc>
        <w:tc>
          <w:tcPr>
            <w:tcW w:w="3324" w:type="dxa"/>
            <w:vAlign w:val="center"/>
          </w:tcPr>
          <w:p>
            <w:pPr>
              <w:pStyle w:val="65"/>
              <w:spacing w:line="320" w:lineRule="exact"/>
              <w:rPr>
                <w:szCs w:val="21"/>
              </w:rPr>
            </w:pPr>
            <w:r>
              <w:rPr>
                <w:szCs w:val="21"/>
              </w:rPr>
              <w:t>太钢厂区压缩空气管网供应</w:t>
            </w:r>
          </w:p>
        </w:tc>
        <w:tc>
          <w:tcPr>
            <w:tcW w:w="3469" w:type="dxa"/>
            <w:vAlign w:val="center"/>
          </w:tcPr>
          <w:p>
            <w:pPr>
              <w:pStyle w:val="65"/>
              <w:spacing w:line="320" w:lineRule="exact"/>
              <w:rPr>
                <w:szCs w:val="21"/>
              </w:rPr>
            </w:pPr>
            <w:r>
              <w:rPr>
                <w:szCs w:val="21"/>
              </w:rPr>
              <w:t>不变</w:t>
            </w:r>
          </w:p>
        </w:tc>
        <w:tc>
          <w:tcPr>
            <w:tcW w:w="3324" w:type="dxa"/>
            <w:vAlign w:val="center"/>
          </w:tcPr>
          <w:p>
            <w:pPr>
              <w:pStyle w:val="65"/>
              <w:spacing w:line="320" w:lineRule="exact"/>
              <w:rPr>
                <w:szCs w:val="21"/>
              </w:rPr>
            </w:pPr>
            <w:r>
              <w:rPr>
                <w:szCs w:val="21"/>
              </w:rPr>
              <w:t>不变</w:t>
            </w:r>
          </w:p>
        </w:tc>
        <w:tc>
          <w:tcPr>
            <w:tcW w:w="1794" w:type="dxa"/>
            <w:vAlign w:val="center"/>
          </w:tcPr>
          <w:p>
            <w:pPr>
              <w:pStyle w:val="65"/>
              <w:spacing w:line="320" w:lineRule="exact"/>
              <w:rPr>
                <w:szCs w:val="21"/>
              </w:rPr>
            </w:pPr>
            <w:r>
              <w:rPr>
                <w:rFonts w:hint="eastAsia"/>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restart"/>
            <w:vAlign w:val="center"/>
          </w:tcPr>
          <w:p>
            <w:pPr>
              <w:pStyle w:val="65"/>
              <w:spacing w:line="320" w:lineRule="exact"/>
              <w:rPr>
                <w:szCs w:val="21"/>
              </w:rPr>
            </w:pPr>
            <w:r>
              <w:rPr>
                <w:szCs w:val="21"/>
              </w:rPr>
              <w:t>依托工程</w:t>
            </w:r>
          </w:p>
        </w:tc>
        <w:tc>
          <w:tcPr>
            <w:tcW w:w="1749" w:type="dxa"/>
            <w:gridSpan w:val="2"/>
            <w:vAlign w:val="center"/>
          </w:tcPr>
          <w:p>
            <w:pPr>
              <w:pStyle w:val="65"/>
              <w:spacing w:line="320" w:lineRule="exact"/>
              <w:rPr>
                <w:szCs w:val="21"/>
              </w:rPr>
            </w:pPr>
            <w:r>
              <w:rPr>
                <w:szCs w:val="21"/>
              </w:rPr>
              <w:t>排水</w:t>
            </w:r>
          </w:p>
        </w:tc>
        <w:tc>
          <w:tcPr>
            <w:tcW w:w="3324" w:type="dxa"/>
            <w:vAlign w:val="center"/>
          </w:tcPr>
          <w:p>
            <w:pPr>
              <w:pStyle w:val="65"/>
              <w:spacing w:line="320" w:lineRule="exact"/>
              <w:rPr>
                <w:szCs w:val="21"/>
              </w:rPr>
            </w:pPr>
            <w:r>
              <w:rPr>
                <w:szCs w:val="21"/>
              </w:rPr>
              <w:t>依托太钢厂区现有生活污水和生产废水排水管网，送太钢赵庄污水处理场处理后回用，不外排</w:t>
            </w:r>
          </w:p>
        </w:tc>
        <w:tc>
          <w:tcPr>
            <w:tcW w:w="3469" w:type="dxa"/>
            <w:vAlign w:val="center"/>
          </w:tcPr>
          <w:p>
            <w:pPr>
              <w:pStyle w:val="65"/>
              <w:spacing w:line="320" w:lineRule="exact"/>
              <w:rPr>
                <w:szCs w:val="21"/>
              </w:rPr>
            </w:pPr>
            <w:r>
              <w:rPr>
                <w:szCs w:val="21"/>
              </w:rPr>
              <w:t>依托太钢厂区现有生活污水和生产废水排水管网，送太钢污水处理厂处理。</w:t>
            </w:r>
          </w:p>
        </w:tc>
        <w:tc>
          <w:tcPr>
            <w:tcW w:w="3324" w:type="dxa"/>
            <w:vAlign w:val="center"/>
          </w:tcPr>
          <w:p>
            <w:pPr>
              <w:pStyle w:val="65"/>
              <w:spacing w:line="320" w:lineRule="exact"/>
              <w:rPr>
                <w:szCs w:val="21"/>
              </w:rPr>
            </w:pPr>
            <w:r>
              <w:rPr>
                <w:szCs w:val="21"/>
              </w:rPr>
              <w:t>依托太钢厂区现有生活污水和生产废水排水管网，送太钢污水处理厂处理。</w:t>
            </w:r>
          </w:p>
        </w:tc>
        <w:tc>
          <w:tcPr>
            <w:tcW w:w="1794" w:type="dxa"/>
            <w:vAlign w:val="center"/>
          </w:tcPr>
          <w:p>
            <w:pPr>
              <w:pStyle w:val="65"/>
              <w:spacing w:line="320" w:lineRule="exact"/>
              <w:rPr>
                <w:szCs w:val="21"/>
              </w:rPr>
            </w:pPr>
            <w:r>
              <w:rPr>
                <w:rFonts w:hint="eastAsia"/>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65"/>
              <w:spacing w:line="320" w:lineRule="exact"/>
              <w:rPr>
                <w:szCs w:val="21"/>
              </w:rPr>
            </w:pPr>
          </w:p>
        </w:tc>
        <w:tc>
          <w:tcPr>
            <w:tcW w:w="1749" w:type="dxa"/>
            <w:gridSpan w:val="2"/>
            <w:vAlign w:val="center"/>
          </w:tcPr>
          <w:p>
            <w:pPr>
              <w:pStyle w:val="65"/>
              <w:spacing w:line="320" w:lineRule="exact"/>
              <w:rPr>
                <w:szCs w:val="21"/>
              </w:rPr>
            </w:pPr>
            <w:r>
              <w:rPr>
                <w:szCs w:val="21"/>
              </w:rPr>
              <w:t>办公区</w:t>
            </w:r>
          </w:p>
        </w:tc>
        <w:tc>
          <w:tcPr>
            <w:tcW w:w="3324" w:type="dxa"/>
            <w:vAlign w:val="center"/>
          </w:tcPr>
          <w:p>
            <w:pPr>
              <w:pStyle w:val="65"/>
              <w:spacing w:line="320" w:lineRule="exact"/>
              <w:rPr>
                <w:szCs w:val="21"/>
              </w:rPr>
            </w:pPr>
            <w:r>
              <w:rPr>
                <w:szCs w:val="21"/>
              </w:rPr>
              <w:t>办公场所依托太钢能源动力厂办公楼</w:t>
            </w:r>
          </w:p>
        </w:tc>
        <w:tc>
          <w:tcPr>
            <w:tcW w:w="3469" w:type="dxa"/>
            <w:vAlign w:val="center"/>
          </w:tcPr>
          <w:p>
            <w:pPr>
              <w:pStyle w:val="65"/>
              <w:spacing w:line="320" w:lineRule="exact"/>
              <w:rPr>
                <w:szCs w:val="21"/>
              </w:rPr>
            </w:pPr>
            <w:r>
              <w:rPr>
                <w:szCs w:val="21"/>
              </w:rPr>
              <w:t>不变</w:t>
            </w:r>
          </w:p>
        </w:tc>
        <w:tc>
          <w:tcPr>
            <w:tcW w:w="3324" w:type="dxa"/>
            <w:vAlign w:val="center"/>
          </w:tcPr>
          <w:p>
            <w:pPr>
              <w:pStyle w:val="65"/>
              <w:spacing w:line="320" w:lineRule="exact"/>
              <w:rPr>
                <w:szCs w:val="21"/>
              </w:rPr>
            </w:pPr>
            <w:r>
              <w:rPr>
                <w:szCs w:val="21"/>
              </w:rPr>
              <w:t>不变</w:t>
            </w:r>
          </w:p>
        </w:tc>
        <w:tc>
          <w:tcPr>
            <w:tcW w:w="1794" w:type="dxa"/>
            <w:vAlign w:val="center"/>
          </w:tcPr>
          <w:p>
            <w:pPr>
              <w:pStyle w:val="65"/>
              <w:spacing w:line="320" w:lineRule="exact"/>
              <w:rPr>
                <w:szCs w:val="21"/>
              </w:rPr>
            </w:pPr>
            <w:r>
              <w:rPr>
                <w:rFonts w:hint="eastAsia"/>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restart"/>
            <w:vAlign w:val="center"/>
          </w:tcPr>
          <w:p>
            <w:pPr>
              <w:pStyle w:val="65"/>
              <w:spacing w:line="320" w:lineRule="exact"/>
              <w:rPr>
                <w:szCs w:val="21"/>
              </w:rPr>
            </w:pPr>
            <w:r>
              <w:rPr>
                <w:szCs w:val="21"/>
              </w:rPr>
              <w:t>环保工程</w:t>
            </w:r>
          </w:p>
        </w:tc>
        <w:tc>
          <w:tcPr>
            <w:tcW w:w="449" w:type="dxa"/>
            <w:vAlign w:val="center"/>
          </w:tcPr>
          <w:p>
            <w:pPr>
              <w:pStyle w:val="65"/>
              <w:spacing w:line="320" w:lineRule="exact"/>
              <w:rPr>
                <w:szCs w:val="21"/>
              </w:rPr>
            </w:pPr>
            <w:r>
              <w:rPr>
                <w:szCs w:val="21"/>
              </w:rPr>
              <w:t>废气</w:t>
            </w:r>
          </w:p>
        </w:tc>
        <w:tc>
          <w:tcPr>
            <w:tcW w:w="1300" w:type="dxa"/>
            <w:vAlign w:val="center"/>
          </w:tcPr>
          <w:p>
            <w:pPr>
              <w:pStyle w:val="65"/>
              <w:spacing w:line="320" w:lineRule="exact"/>
              <w:rPr>
                <w:szCs w:val="21"/>
              </w:rPr>
            </w:pPr>
            <w:r>
              <w:rPr>
                <w:szCs w:val="21"/>
              </w:rPr>
              <w:t>锅炉烟气</w:t>
            </w:r>
          </w:p>
        </w:tc>
        <w:tc>
          <w:tcPr>
            <w:tcW w:w="3324" w:type="dxa"/>
            <w:vAlign w:val="center"/>
          </w:tcPr>
          <w:p>
            <w:pPr>
              <w:pStyle w:val="65"/>
              <w:spacing w:line="320" w:lineRule="exact"/>
              <w:rPr>
                <w:szCs w:val="21"/>
              </w:rPr>
            </w:pPr>
            <w:r>
              <w:rPr>
                <w:szCs w:val="21"/>
              </w:rPr>
              <w:t>2台燃气锅炉各安装一套低氮燃烧器，并预留脱硝位置</w:t>
            </w:r>
          </w:p>
        </w:tc>
        <w:tc>
          <w:tcPr>
            <w:tcW w:w="3469" w:type="dxa"/>
            <w:vAlign w:val="center"/>
          </w:tcPr>
          <w:p>
            <w:pPr>
              <w:pStyle w:val="65"/>
              <w:spacing w:line="320" w:lineRule="exact"/>
              <w:rPr>
                <w:szCs w:val="21"/>
              </w:rPr>
            </w:pPr>
            <w:r>
              <w:rPr>
                <w:szCs w:val="21"/>
              </w:rPr>
              <w:t>石灰石－石膏湿法脱硫，脱硫浆液利用现有2×300MW的脱硫制浆液系统；低氮燃烧器+烟气再循环+SCR脱硝，尿素系统利用现有2×300MW的制备系统。</w:t>
            </w:r>
          </w:p>
        </w:tc>
        <w:tc>
          <w:tcPr>
            <w:tcW w:w="3324" w:type="dxa"/>
            <w:vAlign w:val="center"/>
          </w:tcPr>
          <w:p>
            <w:pPr>
              <w:pStyle w:val="65"/>
              <w:spacing w:line="320" w:lineRule="exact"/>
              <w:rPr>
                <w:szCs w:val="21"/>
              </w:rPr>
            </w:pPr>
            <w:r>
              <w:rPr>
                <w:rFonts w:hint="eastAsia"/>
                <w:szCs w:val="21"/>
              </w:rPr>
              <w:t>一致</w:t>
            </w:r>
          </w:p>
        </w:tc>
        <w:tc>
          <w:tcPr>
            <w:tcW w:w="1794" w:type="dxa"/>
            <w:vAlign w:val="center"/>
          </w:tcPr>
          <w:p>
            <w:pPr>
              <w:pStyle w:val="65"/>
              <w:spacing w:line="320" w:lineRule="exact"/>
              <w:rPr>
                <w:szCs w:val="21"/>
              </w:rPr>
            </w:pPr>
            <w:r>
              <w:rPr>
                <w:rFonts w:hint="eastAsia"/>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65"/>
              <w:spacing w:line="320" w:lineRule="exact"/>
              <w:rPr>
                <w:szCs w:val="21"/>
              </w:rPr>
            </w:pPr>
          </w:p>
        </w:tc>
        <w:tc>
          <w:tcPr>
            <w:tcW w:w="449" w:type="dxa"/>
            <w:vAlign w:val="center"/>
          </w:tcPr>
          <w:p>
            <w:pPr>
              <w:pStyle w:val="65"/>
              <w:spacing w:line="320" w:lineRule="exact"/>
              <w:rPr>
                <w:szCs w:val="21"/>
              </w:rPr>
            </w:pPr>
            <w:r>
              <w:rPr>
                <w:szCs w:val="21"/>
              </w:rPr>
              <w:t>废水</w:t>
            </w:r>
          </w:p>
        </w:tc>
        <w:tc>
          <w:tcPr>
            <w:tcW w:w="1300" w:type="dxa"/>
            <w:vAlign w:val="center"/>
          </w:tcPr>
          <w:p>
            <w:pPr>
              <w:pStyle w:val="65"/>
              <w:spacing w:line="320" w:lineRule="exact"/>
              <w:rPr>
                <w:szCs w:val="21"/>
              </w:rPr>
            </w:pPr>
            <w:r>
              <w:rPr>
                <w:szCs w:val="21"/>
              </w:rPr>
              <w:t>生产废水、生活污水</w:t>
            </w:r>
          </w:p>
        </w:tc>
        <w:tc>
          <w:tcPr>
            <w:tcW w:w="3324" w:type="dxa"/>
            <w:vAlign w:val="center"/>
          </w:tcPr>
          <w:p>
            <w:pPr>
              <w:pStyle w:val="65"/>
              <w:spacing w:line="320" w:lineRule="exact"/>
              <w:rPr>
                <w:szCs w:val="21"/>
              </w:rPr>
            </w:pPr>
            <w:r>
              <w:rPr>
                <w:szCs w:val="21"/>
              </w:rPr>
              <w:t>送太钢赵庄污水处理厂处理</w:t>
            </w:r>
          </w:p>
        </w:tc>
        <w:tc>
          <w:tcPr>
            <w:tcW w:w="3469" w:type="dxa"/>
            <w:vAlign w:val="center"/>
          </w:tcPr>
          <w:p>
            <w:pPr>
              <w:pStyle w:val="65"/>
              <w:spacing w:line="320" w:lineRule="exact"/>
              <w:rPr>
                <w:szCs w:val="21"/>
              </w:rPr>
            </w:pPr>
            <w:r>
              <w:rPr>
                <w:szCs w:val="21"/>
              </w:rPr>
              <w:t>送太钢污水处理厂处理。</w:t>
            </w:r>
          </w:p>
        </w:tc>
        <w:tc>
          <w:tcPr>
            <w:tcW w:w="3324" w:type="dxa"/>
            <w:vAlign w:val="center"/>
          </w:tcPr>
          <w:p>
            <w:pPr>
              <w:pStyle w:val="65"/>
              <w:spacing w:line="320" w:lineRule="exact"/>
              <w:rPr>
                <w:szCs w:val="21"/>
              </w:rPr>
            </w:pPr>
            <w:r>
              <w:rPr>
                <w:szCs w:val="21"/>
              </w:rPr>
              <w:t>送太钢污水处理厂处理。</w:t>
            </w:r>
          </w:p>
        </w:tc>
        <w:tc>
          <w:tcPr>
            <w:tcW w:w="1794" w:type="dxa"/>
            <w:vAlign w:val="center"/>
          </w:tcPr>
          <w:p>
            <w:pPr>
              <w:pStyle w:val="65"/>
              <w:spacing w:line="320" w:lineRule="exact"/>
              <w:rPr>
                <w:szCs w:val="21"/>
              </w:rPr>
            </w:pPr>
            <w:r>
              <w:rPr>
                <w:rFonts w:hint="eastAsia"/>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65"/>
              <w:spacing w:line="320" w:lineRule="exact"/>
              <w:rPr>
                <w:szCs w:val="21"/>
              </w:rPr>
            </w:pPr>
          </w:p>
        </w:tc>
        <w:tc>
          <w:tcPr>
            <w:tcW w:w="449" w:type="dxa"/>
            <w:vMerge w:val="restart"/>
            <w:vAlign w:val="center"/>
          </w:tcPr>
          <w:p>
            <w:pPr>
              <w:pStyle w:val="65"/>
              <w:spacing w:line="320" w:lineRule="exact"/>
              <w:rPr>
                <w:szCs w:val="21"/>
              </w:rPr>
            </w:pPr>
            <w:r>
              <w:rPr>
                <w:szCs w:val="21"/>
              </w:rPr>
              <w:t>固废</w:t>
            </w:r>
          </w:p>
        </w:tc>
        <w:tc>
          <w:tcPr>
            <w:tcW w:w="1300" w:type="dxa"/>
            <w:vAlign w:val="center"/>
          </w:tcPr>
          <w:p>
            <w:pPr>
              <w:pStyle w:val="65"/>
              <w:spacing w:line="320" w:lineRule="exact"/>
              <w:rPr>
                <w:szCs w:val="21"/>
              </w:rPr>
            </w:pPr>
            <w:r>
              <w:rPr>
                <w:szCs w:val="21"/>
              </w:rPr>
              <w:t>脱硫石膏</w:t>
            </w:r>
          </w:p>
        </w:tc>
        <w:tc>
          <w:tcPr>
            <w:tcW w:w="3324" w:type="dxa"/>
            <w:vAlign w:val="center"/>
          </w:tcPr>
          <w:p>
            <w:pPr>
              <w:pStyle w:val="65"/>
              <w:spacing w:line="320" w:lineRule="exact"/>
              <w:rPr>
                <w:szCs w:val="21"/>
              </w:rPr>
            </w:pPr>
            <w:r>
              <w:rPr>
                <w:szCs w:val="21"/>
              </w:rPr>
              <w:t>无</w:t>
            </w:r>
          </w:p>
        </w:tc>
        <w:tc>
          <w:tcPr>
            <w:tcW w:w="3469" w:type="dxa"/>
            <w:vAlign w:val="center"/>
          </w:tcPr>
          <w:p>
            <w:pPr>
              <w:pStyle w:val="65"/>
              <w:spacing w:line="320" w:lineRule="exact"/>
              <w:rPr>
                <w:szCs w:val="21"/>
              </w:rPr>
            </w:pPr>
            <w:r>
              <w:rPr>
                <w:szCs w:val="21"/>
              </w:rPr>
              <w:t>太钢能源动力总厂石膏生产线生产为石膏粉后统一外售，全部综合利用</w:t>
            </w:r>
          </w:p>
        </w:tc>
        <w:tc>
          <w:tcPr>
            <w:tcW w:w="3324" w:type="dxa"/>
            <w:vAlign w:val="center"/>
          </w:tcPr>
          <w:p>
            <w:pPr>
              <w:pStyle w:val="65"/>
              <w:spacing w:line="320" w:lineRule="exact"/>
              <w:rPr>
                <w:szCs w:val="21"/>
              </w:rPr>
            </w:pPr>
            <w:r>
              <w:rPr>
                <w:szCs w:val="21"/>
              </w:rPr>
              <w:t>太钢能源动力总厂石膏生产线生产为石膏粉后统一外售，全部综合利用</w:t>
            </w:r>
          </w:p>
        </w:tc>
        <w:tc>
          <w:tcPr>
            <w:tcW w:w="1794" w:type="dxa"/>
            <w:vAlign w:val="center"/>
          </w:tcPr>
          <w:p>
            <w:pPr>
              <w:pStyle w:val="65"/>
              <w:spacing w:line="320" w:lineRule="exact"/>
              <w:rPr>
                <w:szCs w:val="21"/>
              </w:rPr>
            </w:pPr>
            <w:r>
              <w:rPr>
                <w:rFonts w:hint="eastAsia"/>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65"/>
              <w:spacing w:line="320" w:lineRule="exact"/>
              <w:rPr>
                <w:szCs w:val="21"/>
              </w:rPr>
            </w:pPr>
          </w:p>
        </w:tc>
        <w:tc>
          <w:tcPr>
            <w:tcW w:w="449" w:type="dxa"/>
            <w:vMerge w:val="continue"/>
            <w:vAlign w:val="center"/>
          </w:tcPr>
          <w:p>
            <w:pPr>
              <w:pStyle w:val="65"/>
              <w:spacing w:line="320" w:lineRule="exact"/>
              <w:rPr>
                <w:szCs w:val="21"/>
              </w:rPr>
            </w:pPr>
          </w:p>
        </w:tc>
        <w:tc>
          <w:tcPr>
            <w:tcW w:w="1300" w:type="dxa"/>
            <w:vAlign w:val="center"/>
          </w:tcPr>
          <w:p>
            <w:pPr>
              <w:pStyle w:val="65"/>
              <w:spacing w:line="320" w:lineRule="exact"/>
              <w:rPr>
                <w:szCs w:val="21"/>
              </w:rPr>
            </w:pPr>
            <w:r>
              <w:rPr>
                <w:szCs w:val="21"/>
              </w:rPr>
              <w:t>废催化剂</w:t>
            </w:r>
          </w:p>
        </w:tc>
        <w:tc>
          <w:tcPr>
            <w:tcW w:w="3324" w:type="dxa"/>
            <w:vAlign w:val="center"/>
          </w:tcPr>
          <w:p>
            <w:pPr>
              <w:pStyle w:val="65"/>
              <w:spacing w:line="320" w:lineRule="exact"/>
              <w:rPr>
                <w:szCs w:val="21"/>
              </w:rPr>
            </w:pPr>
            <w:r>
              <w:rPr>
                <w:szCs w:val="21"/>
              </w:rPr>
              <w:t>无</w:t>
            </w:r>
          </w:p>
        </w:tc>
        <w:tc>
          <w:tcPr>
            <w:tcW w:w="3469" w:type="dxa"/>
            <w:vAlign w:val="center"/>
          </w:tcPr>
          <w:p>
            <w:pPr>
              <w:pStyle w:val="65"/>
              <w:spacing w:line="320" w:lineRule="exact"/>
              <w:rPr>
                <w:szCs w:val="21"/>
              </w:rPr>
            </w:pPr>
            <w:r>
              <w:rPr>
                <w:szCs w:val="21"/>
              </w:rPr>
              <w:t>更换的废催化剂由生产厂家统一回收</w:t>
            </w:r>
          </w:p>
        </w:tc>
        <w:tc>
          <w:tcPr>
            <w:tcW w:w="3324" w:type="dxa"/>
            <w:vAlign w:val="center"/>
          </w:tcPr>
          <w:p>
            <w:pPr>
              <w:pStyle w:val="65"/>
              <w:spacing w:line="320" w:lineRule="exact"/>
              <w:rPr>
                <w:szCs w:val="21"/>
              </w:rPr>
            </w:pPr>
            <w:r>
              <w:rPr>
                <w:szCs w:val="21"/>
              </w:rPr>
              <w:t>更换的废催化剂由生产厂家统一回收</w:t>
            </w:r>
          </w:p>
        </w:tc>
        <w:tc>
          <w:tcPr>
            <w:tcW w:w="1794" w:type="dxa"/>
            <w:vAlign w:val="center"/>
          </w:tcPr>
          <w:p>
            <w:pPr>
              <w:pStyle w:val="65"/>
              <w:spacing w:line="320" w:lineRule="exact"/>
              <w:rPr>
                <w:szCs w:val="21"/>
              </w:rPr>
            </w:pPr>
            <w:r>
              <w:rPr>
                <w:rFonts w:hint="eastAsia"/>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65"/>
              <w:spacing w:line="320" w:lineRule="exact"/>
              <w:rPr>
                <w:szCs w:val="21"/>
              </w:rPr>
            </w:pPr>
          </w:p>
        </w:tc>
        <w:tc>
          <w:tcPr>
            <w:tcW w:w="449" w:type="dxa"/>
            <w:vMerge w:val="continue"/>
            <w:vAlign w:val="center"/>
          </w:tcPr>
          <w:p>
            <w:pPr>
              <w:pStyle w:val="65"/>
              <w:spacing w:line="320" w:lineRule="exact"/>
              <w:rPr>
                <w:szCs w:val="21"/>
              </w:rPr>
            </w:pPr>
          </w:p>
        </w:tc>
        <w:tc>
          <w:tcPr>
            <w:tcW w:w="1300" w:type="dxa"/>
            <w:vAlign w:val="center"/>
          </w:tcPr>
          <w:p>
            <w:pPr>
              <w:pStyle w:val="65"/>
              <w:spacing w:line="320" w:lineRule="exact"/>
              <w:rPr>
                <w:szCs w:val="21"/>
              </w:rPr>
            </w:pPr>
            <w:r>
              <w:rPr>
                <w:szCs w:val="21"/>
              </w:rPr>
              <w:t>废机油</w:t>
            </w:r>
          </w:p>
        </w:tc>
        <w:tc>
          <w:tcPr>
            <w:tcW w:w="3324" w:type="dxa"/>
            <w:vAlign w:val="center"/>
          </w:tcPr>
          <w:p>
            <w:pPr>
              <w:pStyle w:val="65"/>
              <w:spacing w:line="320" w:lineRule="exact"/>
              <w:rPr>
                <w:szCs w:val="21"/>
              </w:rPr>
            </w:pPr>
            <w:r>
              <w:rPr>
                <w:szCs w:val="21"/>
              </w:rPr>
              <w:t>太原钢铁（集团）公司福利总厂进行集中处置</w:t>
            </w:r>
          </w:p>
        </w:tc>
        <w:tc>
          <w:tcPr>
            <w:tcW w:w="3469" w:type="dxa"/>
            <w:vAlign w:val="center"/>
          </w:tcPr>
          <w:p>
            <w:pPr>
              <w:pStyle w:val="65"/>
              <w:spacing w:line="320" w:lineRule="exact"/>
              <w:rPr>
                <w:szCs w:val="21"/>
              </w:rPr>
            </w:pPr>
            <w:r>
              <w:rPr>
                <w:szCs w:val="21"/>
              </w:rPr>
              <w:t>太钢加工厂统一收集后交有资质单位处理</w:t>
            </w:r>
          </w:p>
        </w:tc>
        <w:tc>
          <w:tcPr>
            <w:tcW w:w="3324" w:type="dxa"/>
            <w:vAlign w:val="center"/>
          </w:tcPr>
          <w:p>
            <w:pPr>
              <w:pStyle w:val="65"/>
              <w:spacing w:line="320" w:lineRule="exact"/>
              <w:rPr>
                <w:szCs w:val="21"/>
              </w:rPr>
            </w:pPr>
            <w:r>
              <w:rPr>
                <w:szCs w:val="21"/>
              </w:rPr>
              <w:t>太钢加工厂统一收集后交有资质单位处理</w:t>
            </w:r>
          </w:p>
        </w:tc>
        <w:tc>
          <w:tcPr>
            <w:tcW w:w="1794" w:type="dxa"/>
            <w:vAlign w:val="center"/>
          </w:tcPr>
          <w:p>
            <w:pPr>
              <w:pStyle w:val="65"/>
              <w:spacing w:line="320" w:lineRule="exact"/>
              <w:rPr>
                <w:szCs w:val="21"/>
              </w:rPr>
            </w:pPr>
            <w:r>
              <w:rPr>
                <w:rFonts w:hint="eastAsia"/>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65"/>
              <w:spacing w:line="320" w:lineRule="exact"/>
              <w:rPr>
                <w:szCs w:val="21"/>
              </w:rPr>
            </w:pPr>
          </w:p>
        </w:tc>
        <w:tc>
          <w:tcPr>
            <w:tcW w:w="449" w:type="dxa"/>
            <w:vMerge w:val="continue"/>
            <w:vAlign w:val="center"/>
          </w:tcPr>
          <w:p>
            <w:pPr>
              <w:pStyle w:val="65"/>
              <w:spacing w:line="320" w:lineRule="exact"/>
              <w:rPr>
                <w:szCs w:val="21"/>
              </w:rPr>
            </w:pPr>
          </w:p>
        </w:tc>
        <w:tc>
          <w:tcPr>
            <w:tcW w:w="1300" w:type="dxa"/>
            <w:vAlign w:val="center"/>
          </w:tcPr>
          <w:p>
            <w:pPr>
              <w:pStyle w:val="65"/>
              <w:spacing w:line="320" w:lineRule="exact"/>
              <w:rPr>
                <w:szCs w:val="21"/>
              </w:rPr>
            </w:pPr>
            <w:r>
              <w:rPr>
                <w:szCs w:val="21"/>
              </w:rPr>
              <w:t>生活垃圾</w:t>
            </w:r>
          </w:p>
        </w:tc>
        <w:tc>
          <w:tcPr>
            <w:tcW w:w="3324" w:type="dxa"/>
            <w:vAlign w:val="center"/>
          </w:tcPr>
          <w:p>
            <w:pPr>
              <w:pStyle w:val="65"/>
              <w:spacing w:line="320" w:lineRule="exact"/>
              <w:rPr>
                <w:szCs w:val="21"/>
              </w:rPr>
            </w:pPr>
            <w:r>
              <w:rPr>
                <w:spacing w:val="6"/>
                <w:szCs w:val="21"/>
              </w:rPr>
              <w:t>环卫部门统一处理.</w:t>
            </w:r>
          </w:p>
        </w:tc>
        <w:tc>
          <w:tcPr>
            <w:tcW w:w="3469" w:type="dxa"/>
            <w:vAlign w:val="center"/>
          </w:tcPr>
          <w:p>
            <w:pPr>
              <w:pStyle w:val="65"/>
              <w:spacing w:line="320" w:lineRule="exact"/>
              <w:rPr>
                <w:szCs w:val="21"/>
              </w:rPr>
            </w:pPr>
            <w:r>
              <w:rPr>
                <w:szCs w:val="21"/>
              </w:rPr>
              <w:t>不变</w:t>
            </w:r>
          </w:p>
        </w:tc>
        <w:tc>
          <w:tcPr>
            <w:tcW w:w="3324" w:type="dxa"/>
            <w:vAlign w:val="center"/>
          </w:tcPr>
          <w:p>
            <w:pPr>
              <w:pStyle w:val="65"/>
              <w:spacing w:line="320" w:lineRule="exact"/>
              <w:rPr>
                <w:szCs w:val="21"/>
              </w:rPr>
            </w:pPr>
            <w:r>
              <w:rPr>
                <w:szCs w:val="21"/>
              </w:rPr>
              <w:t>不变</w:t>
            </w:r>
          </w:p>
        </w:tc>
        <w:tc>
          <w:tcPr>
            <w:tcW w:w="1794" w:type="dxa"/>
            <w:vAlign w:val="center"/>
          </w:tcPr>
          <w:p>
            <w:pPr>
              <w:pStyle w:val="65"/>
              <w:spacing w:line="320" w:lineRule="exact"/>
              <w:rPr>
                <w:szCs w:val="21"/>
              </w:rPr>
            </w:pPr>
            <w:r>
              <w:rPr>
                <w:rFonts w:hint="eastAsia"/>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65"/>
              <w:spacing w:line="320" w:lineRule="exact"/>
              <w:rPr>
                <w:szCs w:val="21"/>
              </w:rPr>
            </w:pPr>
          </w:p>
        </w:tc>
        <w:tc>
          <w:tcPr>
            <w:tcW w:w="449" w:type="dxa"/>
            <w:vAlign w:val="center"/>
          </w:tcPr>
          <w:p>
            <w:pPr>
              <w:pStyle w:val="65"/>
              <w:spacing w:line="320" w:lineRule="exact"/>
              <w:rPr>
                <w:szCs w:val="21"/>
              </w:rPr>
            </w:pPr>
            <w:r>
              <w:rPr>
                <w:szCs w:val="21"/>
              </w:rPr>
              <w:t>噪声</w:t>
            </w:r>
          </w:p>
        </w:tc>
        <w:tc>
          <w:tcPr>
            <w:tcW w:w="1300" w:type="dxa"/>
            <w:vAlign w:val="center"/>
          </w:tcPr>
          <w:p>
            <w:pPr>
              <w:pStyle w:val="65"/>
              <w:spacing w:line="320" w:lineRule="exact"/>
              <w:rPr>
                <w:szCs w:val="21"/>
              </w:rPr>
            </w:pPr>
            <w:r>
              <w:rPr>
                <w:szCs w:val="21"/>
              </w:rPr>
              <w:t>生产设备</w:t>
            </w:r>
          </w:p>
        </w:tc>
        <w:tc>
          <w:tcPr>
            <w:tcW w:w="3324" w:type="dxa"/>
            <w:vAlign w:val="center"/>
          </w:tcPr>
          <w:p>
            <w:pPr>
              <w:pStyle w:val="65"/>
              <w:spacing w:line="320" w:lineRule="exact"/>
              <w:rPr>
                <w:spacing w:val="6"/>
                <w:szCs w:val="21"/>
              </w:rPr>
            </w:pPr>
            <w:r>
              <w:rPr>
                <w:szCs w:val="21"/>
              </w:rPr>
              <w:t>选用低噪设备、并室内安装；送风机入口、锅炉排汽及安全阀排汽处安装消声器；汽轮发电机组设置基础减振，并采取隔声措施；水泵采取隔声措施等</w:t>
            </w:r>
          </w:p>
        </w:tc>
        <w:tc>
          <w:tcPr>
            <w:tcW w:w="3469" w:type="dxa"/>
            <w:vAlign w:val="center"/>
          </w:tcPr>
          <w:p>
            <w:pPr>
              <w:pStyle w:val="65"/>
              <w:spacing w:line="320" w:lineRule="exact"/>
              <w:rPr>
                <w:szCs w:val="21"/>
              </w:rPr>
            </w:pPr>
            <w:r>
              <w:rPr>
                <w:szCs w:val="21"/>
              </w:rPr>
              <w:t>不变</w:t>
            </w:r>
          </w:p>
        </w:tc>
        <w:tc>
          <w:tcPr>
            <w:tcW w:w="3324" w:type="dxa"/>
            <w:vAlign w:val="center"/>
          </w:tcPr>
          <w:p>
            <w:pPr>
              <w:pStyle w:val="65"/>
              <w:spacing w:line="320" w:lineRule="exact"/>
              <w:rPr>
                <w:szCs w:val="21"/>
              </w:rPr>
            </w:pPr>
            <w:r>
              <w:rPr>
                <w:szCs w:val="21"/>
              </w:rPr>
              <w:t>不变</w:t>
            </w:r>
          </w:p>
        </w:tc>
        <w:tc>
          <w:tcPr>
            <w:tcW w:w="1794" w:type="dxa"/>
            <w:vAlign w:val="center"/>
          </w:tcPr>
          <w:p>
            <w:pPr>
              <w:pStyle w:val="65"/>
              <w:spacing w:line="320" w:lineRule="exact"/>
              <w:rPr>
                <w:szCs w:val="21"/>
              </w:rPr>
            </w:pPr>
            <w:r>
              <w:rPr>
                <w:rFonts w:hint="eastAsia"/>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65"/>
              <w:spacing w:line="320" w:lineRule="exact"/>
              <w:rPr>
                <w:szCs w:val="21"/>
              </w:rPr>
            </w:pPr>
          </w:p>
        </w:tc>
        <w:tc>
          <w:tcPr>
            <w:tcW w:w="1749" w:type="dxa"/>
            <w:gridSpan w:val="2"/>
            <w:vAlign w:val="center"/>
          </w:tcPr>
          <w:p>
            <w:pPr>
              <w:pStyle w:val="65"/>
              <w:spacing w:line="320" w:lineRule="exact"/>
              <w:rPr>
                <w:szCs w:val="21"/>
              </w:rPr>
            </w:pPr>
            <w:r>
              <w:rPr>
                <w:szCs w:val="21"/>
              </w:rPr>
              <w:t>绿化</w:t>
            </w:r>
          </w:p>
        </w:tc>
        <w:tc>
          <w:tcPr>
            <w:tcW w:w="3324" w:type="dxa"/>
            <w:vAlign w:val="center"/>
          </w:tcPr>
          <w:p>
            <w:pPr>
              <w:pStyle w:val="65"/>
              <w:spacing w:line="320" w:lineRule="exact"/>
              <w:rPr>
                <w:spacing w:val="6"/>
                <w:szCs w:val="21"/>
              </w:rPr>
            </w:pPr>
            <w:r>
              <w:rPr>
                <w:szCs w:val="21"/>
              </w:rPr>
              <w:t>绿化面积为300m</w:t>
            </w:r>
            <w:r>
              <w:rPr>
                <w:szCs w:val="21"/>
                <w:vertAlign w:val="superscript"/>
              </w:rPr>
              <w:t>2</w:t>
            </w:r>
          </w:p>
        </w:tc>
        <w:tc>
          <w:tcPr>
            <w:tcW w:w="3469" w:type="dxa"/>
            <w:vAlign w:val="center"/>
          </w:tcPr>
          <w:p>
            <w:pPr>
              <w:pStyle w:val="65"/>
              <w:spacing w:line="320" w:lineRule="exact"/>
              <w:rPr>
                <w:szCs w:val="21"/>
              </w:rPr>
            </w:pPr>
            <w:r>
              <w:rPr>
                <w:szCs w:val="21"/>
              </w:rPr>
              <w:t>绿化面积为264m</w:t>
            </w:r>
            <w:r>
              <w:rPr>
                <w:szCs w:val="21"/>
                <w:vertAlign w:val="superscript"/>
              </w:rPr>
              <w:t>2</w:t>
            </w:r>
          </w:p>
        </w:tc>
        <w:tc>
          <w:tcPr>
            <w:tcW w:w="3324" w:type="dxa"/>
            <w:vAlign w:val="center"/>
          </w:tcPr>
          <w:p>
            <w:pPr>
              <w:pStyle w:val="65"/>
              <w:spacing w:line="320" w:lineRule="exact"/>
              <w:rPr>
                <w:szCs w:val="21"/>
              </w:rPr>
            </w:pPr>
            <w:r>
              <w:rPr>
                <w:szCs w:val="21"/>
              </w:rPr>
              <w:t>绿化面积为264m</w:t>
            </w:r>
            <w:r>
              <w:rPr>
                <w:szCs w:val="21"/>
                <w:vertAlign w:val="superscript"/>
              </w:rPr>
              <w:t>2</w:t>
            </w:r>
          </w:p>
        </w:tc>
        <w:tc>
          <w:tcPr>
            <w:tcW w:w="1794" w:type="dxa"/>
            <w:vAlign w:val="center"/>
          </w:tcPr>
          <w:p>
            <w:pPr>
              <w:pStyle w:val="65"/>
              <w:spacing w:line="320" w:lineRule="exact"/>
              <w:rPr>
                <w:szCs w:val="21"/>
              </w:rPr>
            </w:pPr>
            <w:r>
              <w:rPr>
                <w:rFonts w:hint="eastAsia"/>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307" w:type="dxa"/>
            <w:gridSpan w:val="3"/>
            <w:vAlign w:val="center"/>
          </w:tcPr>
          <w:p>
            <w:pPr>
              <w:pStyle w:val="65"/>
              <w:spacing w:line="320" w:lineRule="exact"/>
              <w:rPr>
                <w:szCs w:val="21"/>
              </w:rPr>
            </w:pPr>
            <w:r>
              <w:rPr>
                <w:szCs w:val="21"/>
              </w:rPr>
              <w:t>淘汰工程</w:t>
            </w:r>
          </w:p>
        </w:tc>
        <w:tc>
          <w:tcPr>
            <w:tcW w:w="3324" w:type="dxa"/>
            <w:vAlign w:val="center"/>
          </w:tcPr>
          <w:p>
            <w:pPr>
              <w:pStyle w:val="65"/>
              <w:spacing w:line="320" w:lineRule="exact"/>
              <w:rPr>
                <w:szCs w:val="21"/>
              </w:rPr>
            </w:pPr>
            <w:r>
              <w:rPr>
                <w:szCs w:val="21"/>
              </w:rPr>
              <w:t>对原1台75t/h（4#）、2台130t/h（9#、10#）、1台120t/h（5#）煤气锅炉进行整合，拆除原4#、5#锅炉和除尘器，9#、10#锅炉作为应急备用。</w:t>
            </w:r>
          </w:p>
        </w:tc>
        <w:tc>
          <w:tcPr>
            <w:tcW w:w="3469" w:type="dxa"/>
            <w:vAlign w:val="center"/>
          </w:tcPr>
          <w:p>
            <w:pPr>
              <w:pStyle w:val="65"/>
              <w:spacing w:line="320" w:lineRule="exact"/>
              <w:rPr>
                <w:szCs w:val="21"/>
              </w:rPr>
            </w:pPr>
            <w:r>
              <w:rPr>
                <w:szCs w:val="21"/>
              </w:rPr>
              <w:t>原4#、5#锅炉已停炉，本项目建成后9#、10#锅炉停炉作为应急备用。淘汰部分基本不变。</w:t>
            </w:r>
          </w:p>
        </w:tc>
        <w:tc>
          <w:tcPr>
            <w:tcW w:w="3324" w:type="dxa"/>
            <w:vAlign w:val="center"/>
          </w:tcPr>
          <w:p>
            <w:pPr>
              <w:pStyle w:val="65"/>
              <w:spacing w:line="320" w:lineRule="exact"/>
              <w:rPr>
                <w:szCs w:val="21"/>
              </w:rPr>
            </w:pPr>
            <w:r>
              <w:rPr>
                <w:szCs w:val="21"/>
              </w:rPr>
              <w:t>原4#、5#锅炉已停炉，本项目建成后9#、10#锅炉停炉作为应急备用。淘汰部分基本不变。</w:t>
            </w:r>
          </w:p>
        </w:tc>
        <w:tc>
          <w:tcPr>
            <w:tcW w:w="1794" w:type="dxa"/>
            <w:vAlign w:val="center"/>
          </w:tcPr>
          <w:p>
            <w:pPr>
              <w:pStyle w:val="65"/>
              <w:spacing w:line="320" w:lineRule="exact"/>
              <w:rPr>
                <w:szCs w:val="21"/>
              </w:rPr>
            </w:pPr>
            <w:r>
              <w:rPr>
                <w:rFonts w:hint="eastAsia"/>
                <w:szCs w:val="21"/>
              </w:rPr>
              <w:t>一致</w:t>
            </w:r>
          </w:p>
        </w:tc>
      </w:tr>
    </w:tbl>
    <w:p>
      <w:pPr>
        <w:pStyle w:val="59"/>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sectPr>
          <w:pgSz w:w="16838" w:h="11906" w:orient="landscape"/>
          <w:pgMar w:top="1304" w:right="1418" w:bottom="1304" w:left="1418" w:header="851" w:footer="992" w:gutter="0"/>
          <w:cols w:space="720" w:num="1"/>
          <w:docGrid w:type="linesAndChars" w:linePitch="312" w:charSpace="0"/>
        </w:sectPr>
      </w:pPr>
    </w:p>
    <w:p>
      <w:pPr>
        <w:pStyle w:val="59"/>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（二）建设过程及环保审批情况</w:t>
      </w:r>
    </w:p>
    <w:p>
      <w:pPr>
        <w:shd w:val="clear" w:color="auto" w:fill="FFFFFF"/>
        <w:snapToGrid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1、项目环境影响报告表编制与审批情况</w:t>
      </w:r>
    </w:p>
    <w:p>
      <w:pPr>
        <w:autoSpaceDE w:val="0"/>
        <w:autoSpaceDN w:val="0"/>
        <w:snapToGrid w:val="0"/>
        <w:spacing w:line="500" w:lineRule="exact"/>
        <w:ind w:firstLine="560" w:firstLineChars="200"/>
        <w:rPr>
          <w:rFonts w:ascii="Times New Roman" w:hAnsi="Times New Roman" w:cs="Times New Roman"/>
          <w:sz w:val="28"/>
          <w:szCs w:val="28"/>
        </w:rPr>
      </w:pPr>
      <w:bookmarkStart w:id="1" w:name="_Hlk73374033"/>
      <w:r>
        <w:rPr>
          <w:rFonts w:ascii="Times New Roman" w:hAnsi="Times New Roman" w:cs="Times New Roman"/>
          <w:sz w:val="28"/>
          <w:szCs w:val="28"/>
        </w:rPr>
        <w:t>山西</w:t>
      </w:r>
      <w:r>
        <w:rPr>
          <w:rFonts w:hint="eastAsia" w:ascii="Times New Roman" w:hAnsi="Times New Roman" w:cs="Times New Roman"/>
          <w:sz w:val="28"/>
          <w:szCs w:val="28"/>
        </w:rPr>
        <w:t>清泽阳光环保科技</w:t>
      </w:r>
      <w:r>
        <w:rPr>
          <w:rFonts w:ascii="Times New Roman" w:hAnsi="Times New Roman" w:cs="Times New Roman"/>
          <w:sz w:val="28"/>
          <w:szCs w:val="28"/>
        </w:rPr>
        <w:t>有限公司</w:t>
      </w:r>
      <w:bookmarkEnd w:id="1"/>
      <w:r>
        <w:rPr>
          <w:rFonts w:hint="eastAsia" w:ascii="Times New Roman" w:hAnsi="Times New Roman" w:cs="Times New Roman"/>
          <w:sz w:val="28"/>
          <w:szCs w:val="28"/>
        </w:rPr>
        <w:t>于</w:t>
      </w:r>
      <w:r>
        <w:rPr>
          <w:rFonts w:ascii="Times New Roman" w:hAnsi="Times New Roman" w:cs="Times New Roman"/>
          <w:sz w:val="28"/>
          <w:szCs w:val="28"/>
        </w:rPr>
        <w:t>201</w:t>
      </w:r>
      <w:r>
        <w:rPr>
          <w:rFonts w:hint="eastAsia" w:ascii="Times New Roman" w:hAnsi="Times New Roman" w:cs="Times New Roman"/>
          <w:sz w:val="28"/>
          <w:szCs w:val="28"/>
        </w:rPr>
        <w:t>5</w:t>
      </w:r>
      <w:r>
        <w:rPr>
          <w:rFonts w:ascii="Times New Roman" w:hAnsi="Times New Roman" w:cs="Times New Roman"/>
          <w:sz w:val="28"/>
          <w:szCs w:val="28"/>
        </w:rPr>
        <w:t>年</w:t>
      </w:r>
      <w:r>
        <w:rPr>
          <w:rFonts w:hint="eastAsia" w:ascii="Times New Roman" w:hAnsi="Times New Roman" w:cs="Times New Roman"/>
          <w:sz w:val="28"/>
          <w:szCs w:val="28"/>
        </w:rPr>
        <w:t>8</w:t>
      </w:r>
      <w:r>
        <w:rPr>
          <w:rFonts w:ascii="Times New Roman" w:hAnsi="Times New Roman" w:cs="Times New Roman"/>
          <w:sz w:val="28"/>
          <w:szCs w:val="28"/>
        </w:rPr>
        <w:t>月编制完成了</w:t>
      </w:r>
      <w:bookmarkStart w:id="2" w:name="_Hlk73374047"/>
      <w:r>
        <w:rPr>
          <w:rFonts w:ascii="Times New Roman" w:hAnsi="Times New Roman" w:cs="Times New Roman"/>
          <w:sz w:val="28"/>
          <w:szCs w:val="28"/>
        </w:rPr>
        <w:t>《山西太钢不锈钢股份有限公司</w:t>
      </w:r>
      <w:r>
        <w:rPr>
          <w:rFonts w:hint="eastAsia" w:ascii="Times New Roman" w:hAnsi="Times New Roman" w:cs="Times New Roman"/>
          <w:sz w:val="28"/>
          <w:szCs w:val="28"/>
        </w:rPr>
        <w:t>燃气锅炉高效改造项目</w:t>
      </w:r>
      <w:r>
        <w:rPr>
          <w:rFonts w:ascii="Times New Roman" w:hAnsi="Times New Roman" w:cs="Times New Roman"/>
          <w:sz w:val="28"/>
          <w:szCs w:val="28"/>
        </w:rPr>
        <w:t>环境影响报告表</w:t>
      </w:r>
      <w:r>
        <w:rPr>
          <w:rFonts w:hint="eastAsia" w:ascii="Times New Roman" w:hAnsi="Times New Roman" w:cs="Times New Roman"/>
          <w:sz w:val="28"/>
          <w:szCs w:val="28"/>
        </w:rPr>
        <w:t>》</w:t>
      </w:r>
      <w:bookmarkEnd w:id="2"/>
      <w:r>
        <w:rPr>
          <w:rFonts w:ascii="Times New Roman" w:hAnsi="Times New Roman" w:cs="Times New Roman"/>
          <w:sz w:val="28"/>
          <w:szCs w:val="28"/>
        </w:rPr>
        <w:t>。太原市环境保护局尖草坪分局于</w:t>
      </w:r>
      <w:r>
        <w:rPr>
          <w:rFonts w:hint="eastAsia" w:ascii="Times New Roman" w:hAnsi="Times New Roman" w:cs="Times New Roman"/>
          <w:sz w:val="28"/>
          <w:szCs w:val="28"/>
        </w:rPr>
        <w:t>2015</w:t>
      </w:r>
      <w:r>
        <w:rPr>
          <w:rFonts w:ascii="Times New Roman" w:hAnsi="Times New Roman" w:cs="Times New Roman"/>
          <w:sz w:val="28"/>
          <w:szCs w:val="28"/>
        </w:rPr>
        <w:t>年</w:t>
      </w:r>
      <w:r>
        <w:rPr>
          <w:rFonts w:hint="eastAsia" w:ascii="Times New Roman" w:hAnsi="Times New Roman" w:cs="Times New Roman"/>
          <w:sz w:val="28"/>
          <w:szCs w:val="28"/>
          <w:lang w:val="en-US" w:eastAsia="zh-CN"/>
        </w:rPr>
        <w:t>8</w:t>
      </w:r>
      <w:r>
        <w:rPr>
          <w:rFonts w:ascii="Times New Roman" w:hAnsi="Times New Roman" w:cs="Times New Roman"/>
          <w:sz w:val="28"/>
          <w:szCs w:val="28"/>
        </w:rPr>
        <w:t>月</w:t>
      </w:r>
      <w:r>
        <w:rPr>
          <w:rFonts w:hint="eastAsia" w:ascii="Times New Roman" w:hAnsi="Times New Roman" w:cs="Times New Roman"/>
          <w:sz w:val="28"/>
          <w:szCs w:val="28"/>
          <w:lang w:val="en-US" w:eastAsia="zh-CN"/>
        </w:rPr>
        <w:t>18</w:t>
      </w:r>
      <w:r>
        <w:rPr>
          <w:rFonts w:ascii="Times New Roman" w:hAnsi="Times New Roman" w:cs="Times New Roman"/>
          <w:sz w:val="28"/>
          <w:szCs w:val="28"/>
        </w:rPr>
        <w:t>日以并环尖审批〔201</w:t>
      </w:r>
      <w:r>
        <w:rPr>
          <w:rFonts w:hint="eastAsia" w:ascii="Times New Roman" w:hAnsi="Times New Roman" w:cs="Times New Roman"/>
          <w:sz w:val="28"/>
          <w:szCs w:val="28"/>
        </w:rPr>
        <w:t>5</w:t>
      </w:r>
      <w:r>
        <w:rPr>
          <w:rFonts w:ascii="Times New Roman" w:hAnsi="Times New Roman" w:cs="Times New Roman"/>
          <w:sz w:val="28"/>
          <w:szCs w:val="28"/>
        </w:rPr>
        <w:t>〕第</w:t>
      </w:r>
      <w:r>
        <w:rPr>
          <w:rFonts w:hint="eastAsia" w:ascii="Times New Roman" w:hAnsi="Times New Roman" w:cs="Times New Roman"/>
          <w:sz w:val="28"/>
          <w:szCs w:val="28"/>
        </w:rPr>
        <w:t>38</w:t>
      </w:r>
      <w:r>
        <w:rPr>
          <w:rFonts w:ascii="Times New Roman" w:hAnsi="Times New Roman" w:cs="Times New Roman"/>
          <w:sz w:val="28"/>
          <w:szCs w:val="28"/>
        </w:rPr>
        <w:t>号文对该项目环境影响报告表进行了批复。</w:t>
      </w:r>
      <w:r>
        <w:rPr>
          <w:rFonts w:hint="eastAsia" w:ascii="Times New Roman" w:hAnsi="Times New Roman" w:cs="Times New Roman"/>
          <w:sz w:val="28"/>
          <w:szCs w:val="28"/>
          <w:lang w:val="en-US" w:eastAsia="zh-CN"/>
        </w:rPr>
        <w:t>2019年8月，尖草坪区环保分局对项目变更进行了审批。</w:t>
      </w:r>
    </w:p>
    <w:p>
      <w:pPr>
        <w:shd w:val="clear" w:color="auto" w:fill="FFFFFF"/>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2、开工与竣工时间、调试运行时间</w:t>
      </w:r>
    </w:p>
    <w:p>
      <w:pPr>
        <w:shd w:val="clear" w:color="auto" w:fill="FFFFFF"/>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项目于20</w:t>
      </w:r>
      <w:r>
        <w:rPr>
          <w:rFonts w:hint="eastAsia" w:ascii="Times New Roman" w:hAnsi="Times New Roman" w:cs="Times New Roman"/>
          <w:sz w:val="28"/>
          <w:szCs w:val="28"/>
        </w:rPr>
        <w:t>20</w:t>
      </w:r>
      <w:r>
        <w:rPr>
          <w:rFonts w:ascii="Times New Roman" w:hAnsi="Times New Roman" w:cs="Times New Roman"/>
          <w:sz w:val="28"/>
          <w:szCs w:val="28"/>
        </w:rPr>
        <w:t>年</w:t>
      </w:r>
      <w:r>
        <w:rPr>
          <w:rFonts w:hint="eastAsia" w:ascii="Times New Roman" w:hAnsi="Times New Roman" w:cs="Times New Roman"/>
          <w:sz w:val="28"/>
          <w:szCs w:val="28"/>
        </w:rPr>
        <w:t>3</w:t>
      </w:r>
      <w:r>
        <w:rPr>
          <w:rFonts w:ascii="Times New Roman" w:hAnsi="Times New Roman" w:cs="Times New Roman"/>
          <w:sz w:val="28"/>
          <w:szCs w:val="28"/>
        </w:rPr>
        <w:t>月开工建设，于</w:t>
      </w:r>
      <w:r>
        <w:rPr>
          <w:rFonts w:hint="eastAsia" w:ascii="Times New Roman" w:hAnsi="Times New Roman" w:cs="Times New Roman"/>
          <w:sz w:val="28"/>
          <w:szCs w:val="28"/>
        </w:rPr>
        <w:t>2021</w:t>
      </w:r>
      <w:r>
        <w:rPr>
          <w:rFonts w:ascii="Times New Roman" w:hAnsi="Times New Roman" w:cs="Times New Roman"/>
          <w:sz w:val="28"/>
          <w:szCs w:val="28"/>
        </w:rPr>
        <w:t>年</w:t>
      </w:r>
      <w:r>
        <w:rPr>
          <w:rFonts w:hint="eastAsia" w:ascii="Times New Roman" w:hAnsi="Times New Roman" w:cs="Times New Roman"/>
          <w:sz w:val="28"/>
          <w:szCs w:val="28"/>
          <w:lang w:val="en-US" w:eastAsia="zh-CN"/>
        </w:rPr>
        <w:t>7</w:t>
      </w:r>
      <w:r>
        <w:rPr>
          <w:rFonts w:ascii="Times New Roman" w:hAnsi="Times New Roman" w:cs="Times New Roman"/>
          <w:sz w:val="28"/>
          <w:szCs w:val="28"/>
        </w:rPr>
        <w:t>月竣工，于20</w:t>
      </w:r>
      <w:r>
        <w:rPr>
          <w:rFonts w:hint="eastAsia" w:ascii="Times New Roman" w:hAnsi="Times New Roman" w:cs="Times New Roman"/>
          <w:sz w:val="28"/>
          <w:szCs w:val="28"/>
        </w:rPr>
        <w:t>21</w:t>
      </w:r>
      <w:r>
        <w:rPr>
          <w:rFonts w:ascii="Times New Roman" w:hAnsi="Times New Roman" w:cs="Times New Roman"/>
          <w:sz w:val="28"/>
          <w:szCs w:val="28"/>
        </w:rPr>
        <w:t>年</w:t>
      </w:r>
      <w:r>
        <w:rPr>
          <w:rFonts w:hint="eastAsia" w:ascii="Times New Roman" w:hAnsi="Times New Roman" w:cs="Times New Roman"/>
          <w:sz w:val="28"/>
          <w:szCs w:val="28"/>
          <w:lang w:val="en-US" w:eastAsia="zh-CN"/>
        </w:rPr>
        <w:t>7</w:t>
      </w:r>
      <w:r>
        <w:rPr>
          <w:rFonts w:ascii="Times New Roman" w:hAnsi="Times New Roman" w:cs="Times New Roman"/>
          <w:sz w:val="28"/>
          <w:szCs w:val="28"/>
        </w:rPr>
        <w:t>月</w:t>
      </w:r>
      <w:r>
        <w:rPr>
          <w:rFonts w:hint="eastAsia" w:ascii="Times New Roman" w:hAnsi="Times New Roman" w:cs="Times New Roman"/>
          <w:sz w:val="28"/>
          <w:szCs w:val="28"/>
          <w:lang w:eastAsia="zh-CN"/>
        </w:rPr>
        <w:t>开始</w:t>
      </w:r>
      <w:r>
        <w:rPr>
          <w:rFonts w:ascii="Times New Roman" w:hAnsi="Times New Roman" w:cs="Times New Roman"/>
          <w:sz w:val="28"/>
          <w:szCs w:val="28"/>
        </w:rPr>
        <w:t>进行试生产并进行环保设施调试。调试期间，委托</w:t>
      </w:r>
      <w:r>
        <w:rPr>
          <w:rFonts w:hint="eastAsia" w:ascii="Times New Roman" w:hAnsi="Times New Roman" w:cs="Times New Roman"/>
          <w:sz w:val="28"/>
          <w:szCs w:val="28"/>
          <w:lang w:eastAsia="zh-CN"/>
        </w:rPr>
        <w:t>山西太钢环境监测</w:t>
      </w:r>
      <w:r>
        <w:rPr>
          <w:rFonts w:ascii="Times New Roman" w:hAnsi="Times New Roman" w:cs="Times New Roman"/>
          <w:sz w:val="28"/>
          <w:szCs w:val="28"/>
        </w:rPr>
        <w:t>有限公司环境监测站于20</w:t>
      </w:r>
      <w:r>
        <w:rPr>
          <w:rFonts w:hint="eastAsia" w:ascii="Times New Roman" w:hAnsi="Times New Roman" w:cs="Times New Roman"/>
          <w:sz w:val="28"/>
          <w:szCs w:val="28"/>
          <w:lang w:val="en-US" w:eastAsia="zh-CN"/>
        </w:rPr>
        <w:t>21</w:t>
      </w:r>
      <w:r>
        <w:rPr>
          <w:rFonts w:ascii="Times New Roman" w:hAnsi="Times New Roman" w:cs="Times New Roman"/>
          <w:sz w:val="28"/>
          <w:szCs w:val="28"/>
        </w:rPr>
        <w:t>年</w:t>
      </w:r>
      <w:r>
        <w:rPr>
          <w:rFonts w:hint="eastAsia" w:ascii="Times New Roman" w:hAnsi="Times New Roman" w:cs="Times New Roman"/>
          <w:sz w:val="28"/>
          <w:szCs w:val="28"/>
          <w:lang w:val="en-US" w:eastAsia="zh-CN"/>
        </w:rPr>
        <w:t>8</w:t>
      </w:r>
      <w:r>
        <w:rPr>
          <w:rFonts w:ascii="Times New Roman" w:hAnsi="Times New Roman" w:cs="Times New Roman"/>
          <w:sz w:val="28"/>
          <w:szCs w:val="28"/>
        </w:rPr>
        <w:t>月</w:t>
      </w:r>
      <w:r>
        <w:rPr>
          <w:rFonts w:hint="eastAsia" w:ascii="Times New Roman" w:hAnsi="Times New Roman" w:cs="Times New Roman"/>
          <w:sz w:val="28"/>
          <w:szCs w:val="28"/>
          <w:lang w:val="en-US" w:eastAsia="zh-CN"/>
        </w:rPr>
        <w:t>3</w:t>
      </w:r>
      <w:r>
        <w:rPr>
          <w:rFonts w:ascii="Times New Roman" w:hAnsi="Times New Roman" w:cs="Times New Roman"/>
          <w:sz w:val="28"/>
          <w:szCs w:val="28"/>
        </w:rPr>
        <w:t>日至</w:t>
      </w:r>
      <w:r>
        <w:rPr>
          <w:rFonts w:hint="eastAsia" w:ascii="Times New Roman" w:hAnsi="Times New Roman" w:cs="Times New Roman"/>
          <w:sz w:val="28"/>
          <w:szCs w:val="28"/>
          <w:lang w:val="en-US" w:eastAsia="zh-CN"/>
        </w:rPr>
        <w:t>8</w:t>
      </w:r>
      <w:r>
        <w:rPr>
          <w:rFonts w:ascii="Times New Roman" w:hAnsi="Times New Roman" w:cs="Times New Roman"/>
          <w:sz w:val="28"/>
          <w:szCs w:val="28"/>
        </w:rPr>
        <w:t>月</w:t>
      </w:r>
      <w:r>
        <w:rPr>
          <w:rFonts w:hint="eastAsia" w:ascii="Times New Roman" w:hAnsi="Times New Roman" w:cs="Times New Roman"/>
          <w:sz w:val="28"/>
          <w:szCs w:val="28"/>
          <w:lang w:val="en-US" w:eastAsia="zh-CN"/>
        </w:rPr>
        <w:t>4</w:t>
      </w:r>
      <w:r>
        <w:rPr>
          <w:rFonts w:ascii="Times New Roman" w:hAnsi="Times New Roman" w:cs="Times New Roman"/>
          <w:sz w:val="28"/>
          <w:szCs w:val="28"/>
        </w:rPr>
        <w:t>日按照验收监测方案开展了验收监测和环境管理检查。</w:t>
      </w:r>
    </w:p>
    <w:p>
      <w:pPr>
        <w:shd w:val="clear" w:color="auto" w:fill="FFFFFF"/>
        <w:snapToGrid w:val="0"/>
        <w:spacing w:line="500" w:lineRule="exact"/>
        <w:ind w:firstLine="560" w:firstLineChars="200"/>
        <w:rPr>
          <w:rFonts w:ascii="Times New Roman" w:hAnsi="Times New Roman" w:cs="Times New Roman"/>
          <w:color w:val="000000"/>
          <w:sz w:val="28"/>
          <w:szCs w:val="28"/>
        </w:rPr>
      </w:pPr>
      <w:r>
        <w:rPr>
          <w:rFonts w:hint="eastAsia" w:ascii="Times New Roman" w:hAnsi="Times New Roman" w:cs="Times New Roman"/>
          <w:color w:val="000000"/>
          <w:sz w:val="28"/>
          <w:szCs w:val="28"/>
        </w:rPr>
        <w:t>3</w:t>
      </w:r>
      <w:r>
        <w:rPr>
          <w:rFonts w:ascii="Times New Roman" w:hAnsi="Times New Roman" w:cs="Times New Roman"/>
          <w:color w:val="000000"/>
          <w:sz w:val="28"/>
          <w:szCs w:val="28"/>
        </w:rPr>
        <w:t>、项目从立项至调试过程中无环境投诉、违法或处罚记录等。</w:t>
      </w:r>
    </w:p>
    <w:p>
      <w:pPr>
        <w:pStyle w:val="59"/>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（三）投资情况</w:t>
      </w:r>
    </w:p>
    <w:p>
      <w:pPr>
        <w:tabs>
          <w:tab w:val="left" w:pos="4305"/>
        </w:tabs>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项目实际</w:t>
      </w:r>
      <w:r>
        <w:rPr>
          <w:rFonts w:ascii="Times New Roman" w:hAnsi="Times New Roman" w:cs="Times New Roman"/>
          <w:color w:val="000000"/>
          <w:sz w:val="28"/>
          <w:szCs w:val="28"/>
        </w:rPr>
        <w:t>总投资</w:t>
      </w:r>
      <w:r>
        <w:rPr>
          <w:rFonts w:hint="eastAsia" w:ascii="Times New Roman" w:hAnsi="Times New Roman" w:cs="Times New Roman"/>
          <w:sz w:val="28"/>
          <w:szCs w:val="28"/>
        </w:rPr>
        <w:t>30958</w:t>
      </w:r>
      <w:r>
        <w:rPr>
          <w:rFonts w:ascii="Times New Roman" w:hAnsi="Times New Roman" w:cs="Times New Roman"/>
          <w:sz w:val="28"/>
          <w:szCs w:val="28"/>
        </w:rPr>
        <w:t>万元，其中环保投资</w:t>
      </w:r>
      <w:r>
        <w:rPr>
          <w:rFonts w:hint="eastAsia" w:ascii="Times New Roman" w:hAnsi="Times New Roman" w:cs="Times New Roman"/>
          <w:sz w:val="28"/>
          <w:szCs w:val="28"/>
        </w:rPr>
        <w:t>342</w:t>
      </w:r>
      <w:r>
        <w:rPr>
          <w:rFonts w:ascii="Times New Roman" w:hAnsi="Times New Roman" w:cs="Times New Roman"/>
          <w:sz w:val="28"/>
          <w:szCs w:val="28"/>
        </w:rPr>
        <w:t>万元，占总投资的</w:t>
      </w:r>
      <w:r>
        <w:rPr>
          <w:rFonts w:hint="eastAsia" w:ascii="Times New Roman" w:hAnsi="Times New Roman" w:cs="Times New Roman"/>
          <w:sz w:val="28"/>
          <w:szCs w:val="28"/>
        </w:rPr>
        <w:t>1.1%</w:t>
      </w:r>
      <w:r>
        <w:rPr>
          <w:rFonts w:ascii="Times New Roman" w:hAnsi="Times New Roman" w:cs="Times New Roman"/>
          <w:sz w:val="28"/>
          <w:szCs w:val="28"/>
        </w:rPr>
        <w:t>。</w:t>
      </w:r>
    </w:p>
    <w:p>
      <w:pPr>
        <w:pStyle w:val="59"/>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（四）验收范围</w:t>
      </w:r>
    </w:p>
    <w:p>
      <w:pPr>
        <w:overflowPunct w:val="0"/>
        <w:snapToGrid w:val="0"/>
        <w:spacing w:line="500" w:lineRule="exact"/>
        <w:ind w:firstLine="560" w:firstLineChars="200"/>
        <w:rPr>
          <w:rFonts w:ascii="Times New Roman" w:hAnsi="Times New Roman" w:cs="Times New Roman"/>
          <w:sz w:val="28"/>
          <w:szCs w:val="28"/>
        </w:rPr>
      </w:pPr>
      <w:r>
        <w:rPr>
          <w:rFonts w:ascii="Times New Roman" w:hAnsi="Times New Roman" w:cs="Times New Roman"/>
          <w:color w:val="000000"/>
          <w:sz w:val="28"/>
          <w:szCs w:val="28"/>
        </w:rPr>
        <w:t>本次竣工环</w:t>
      </w:r>
      <w:r>
        <w:rPr>
          <w:rFonts w:ascii="Times New Roman" w:hAnsi="Times New Roman" w:cs="Times New Roman"/>
          <w:sz w:val="28"/>
          <w:szCs w:val="28"/>
        </w:rPr>
        <w:t>境保护验收包括太钢不锈钢股份有限公司</w:t>
      </w:r>
      <w:r>
        <w:rPr>
          <w:rFonts w:hint="eastAsia" w:ascii="Times New Roman" w:hAnsi="Times New Roman" w:cs="Times New Roman"/>
          <w:sz w:val="28"/>
          <w:szCs w:val="28"/>
        </w:rPr>
        <w:t>燃气锅炉高效改造项目</w:t>
      </w:r>
      <w:r>
        <w:rPr>
          <w:rFonts w:ascii="Times New Roman" w:hAnsi="Times New Roman" w:cs="Times New Roman"/>
          <w:sz w:val="28"/>
          <w:szCs w:val="28"/>
        </w:rPr>
        <w:t>的主体工程、辅助工程、环保工程及公辅设施等。</w:t>
      </w:r>
    </w:p>
    <w:p>
      <w:pPr>
        <w:pStyle w:val="59"/>
        <w:snapToGrid w:val="0"/>
        <w:spacing w:before="0" w:beforeAutospacing="0" w:after="0" w:afterAutospacing="0" w:line="500" w:lineRule="exact"/>
        <w:ind w:firstLine="562" w:firstLineChars="200"/>
        <w:jc w:val="both"/>
        <w:outlineLvl w:val="0"/>
        <w:rPr>
          <w:rFonts w:ascii="Times New Roman" w:hAnsi="Times New Roman" w:cs="Times New Roman"/>
          <w:b/>
          <w:bCs/>
          <w:kern w:val="2"/>
          <w:sz w:val="28"/>
          <w:szCs w:val="28"/>
        </w:rPr>
      </w:pPr>
      <w:r>
        <w:rPr>
          <w:rFonts w:ascii="Times New Roman" w:hAnsi="Times New Roman" w:cs="Times New Roman"/>
          <w:b/>
          <w:bCs/>
          <w:kern w:val="2"/>
          <w:sz w:val="28"/>
          <w:szCs w:val="28"/>
        </w:rPr>
        <w:t>二、工程变动情况</w:t>
      </w:r>
    </w:p>
    <w:p>
      <w:pPr>
        <w:pStyle w:val="64"/>
        <w:ind w:firstLine="560" w:firstLineChars="200"/>
        <w:rPr>
          <w:color w:val="000000"/>
        </w:rPr>
      </w:pPr>
      <w:r>
        <w:rPr>
          <w:color w:val="000000"/>
        </w:rPr>
        <w:t>经核实，</w:t>
      </w:r>
      <w:r>
        <w:rPr>
          <w:rFonts w:hint="eastAsia"/>
          <w:color w:val="000000"/>
        </w:rPr>
        <w:t>本项目变更内容为由</w:t>
      </w:r>
      <w:r>
        <w:rPr>
          <w:color w:val="000000"/>
        </w:rPr>
        <w:t>2台240 t/h高温高压煤气锅炉+2台12MW背压机组，变更为1×260t/h亚临界超高温煤气锅炉+1×80MW亚临界超高温直接空冷抽汽凝汽式汽轮发电机组</w:t>
      </w:r>
      <w:r>
        <w:rPr>
          <w:rFonts w:hint="eastAsia"/>
          <w:color w:val="000000"/>
        </w:rPr>
        <w:t>，并同步建设锅炉烟气脱硫脱硝设施。</w:t>
      </w:r>
    </w:p>
    <w:p>
      <w:pPr>
        <w:pStyle w:val="64"/>
        <w:ind w:firstLine="560" w:firstLineChars="200"/>
        <w:rPr>
          <w:color w:val="000000"/>
        </w:rPr>
      </w:pPr>
      <w:r>
        <w:rPr>
          <w:rFonts w:hint="eastAsia"/>
          <w:color w:val="000000"/>
        </w:rPr>
        <w:t>本项目变更后于2019年7月12日取得了太原市工业和信息化局关于</w:t>
      </w:r>
      <w:r>
        <w:rPr>
          <w:color w:val="000000"/>
        </w:rPr>
        <w:t>《</w:t>
      </w:r>
      <w:r>
        <w:rPr>
          <w:rFonts w:hint="eastAsia"/>
          <w:color w:val="000000"/>
        </w:rPr>
        <w:t>山西太钢</w:t>
      </w:r>
      <w:r>
        <w:rPr>
          <w:color w:val="000000"/>
        </w:rPr>
        <w:t>不锈钢股份有限公司</w:t>
      </w:r>
      <w:r>
        <w:rPr>
          <w:rFonts w:hint="eastAsia"/>
          <w:color w:val="000000"/>
        </w:rPr>
        <w:t>煤气锅炉升级改造项目核准证》，并于2019年8月19日收到</w:t>
      </w:r>
      <w:r>
        <w:rPr>
          <w:color w:val="000000"/>
        </w:rPr>
        <w:t>太原市环境保护局尖草坪分局</w:t>
      </w:r>
      <w:r>
        <w:rPr>
          <w:rFonts w:hint="eastAsia"/>
          <w:color w:val="000000"/>
        </w:rPr>
        <w:t>《关于对山西太钢</w:t>
      </w:r>
      <w:r>
        <w:rPr>
          <w:color w:val="000000"/>
        </w:rPr>
        <w:t>不锈钢股份有限公司</w:t>
      </w:r>
      <w:r>
        <w:rPr>
          <w:rFonts w:hint="eastAsia"/>
          <w:color w:val="000000"/>
        </w:rPr>
        <w:t>煤气锅炉升级改造项目变更环评报告申请的复函》。</w:t>
      </w:r>
    </w:p>
    <w:p>
      <w:pPr>
        <w:autoSpaceDE w:val="0"/>
        <w:autoSpaceDN w:val="0"/>
        <w:snapToGrid w:val="0"/>
        <w:spacing w:line="500" w:lineRule="exact"/>
        <w:ind w:firstLine="560" w:firstLineChars="200"/>
        <w:rPr>
          <w:rFonts w:ascii="Times New Roman" w:hAnsi="Times New Roman" w:cs="Times New Roman"/>
          <w:color w:val="000000"/>
          <w:sz w:val="28"/>
          <w:szCs w:val="28"/>
        </w:rPr>
      </w:pPr>
      <w:r>
        <w:rPr>
          <w:rFonts w:hint="eastAsia" w:ascii="Times New Roman" w:hAnsi="Times New Roman" w:cs="Times New Roman"/>
          <w:color w:val="000000"/>
          <w:sz w:val="28"/>
          <w:szCs w:val="28"/>
        </w:rPr>
        <w:t>本项目变更的主要目的是适应太钢厂区富余煤气量变化情况、最新的环保政策及超低排放标准要求。本项目变更后能削减污染物排放总量，对区域环境的影响有一定的改善作用。根据《关于印发环评管理中部分行业建设项目重大变动清单的通知》（环办〔2015〕52号）中附件《火电建设项目重大变动清单（试行）》对比结果，本项目变更内容不属于重大变更。</w:t>
      </w:r>
    </w:p>
    <w:p>
      <w:pPr>
        <w:pStyle w:val="59"/>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三、环境保护设施建设情况</w:t>
      </w:r>
    </w:p>
    <w:p>
      <w:pPr>
        <w:pStyle w:val="59"/>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（一）废气产生及治理设施</w:t>
      </w:r>
    </w:p>
    <w:p>
      <w:pPr>
        <w:pStyle w:val="64"/>
        <w:ind w:firstLine="560" w:firstLineChars="200"/>
        <w:rPr>
          <w:rFonts w:hint="eastAsia"/>
          <w:color w:val="000000"/>
        </w:rPr>
      </w:pPr>
      <w:r>
        <w:rPr>
          <w:rFonts w:hint="eastAsia"/>
          <w:color w:val="000000"/>
        </w:rPr>
        <w:t>本项目废气主要为燃气锅炉燃烧煤气排放的烟气，经过脱硝（低氮燃烧器+烟气再循环+SCR脱硝）和脱硫（石灰石－石膏湿法脱硫）处理后，经60m高烟囱排放。</w:t>
      </w:r>
    </w:p>
    <w:p>
      <w:pPr>
        <w:pStyle w:val="8"/>
        <w:snapToGrid w:val="0"/>
        <w:spacing w:line="500" w:lineRule="exact"/>
        <w:ind w:firstLine="560" w:firstLineChars="200"/>
        <w:rPr>
          <w:bCs/>
          <w:color w:val="000000"/>
          <w:sz w:val="28"/>
          <w:szCs w:val="28"/>
        </w:rPr>
      </w:pPr>
      <w:r>
        <w:rPr>
          <w:bCs/>
          <w:color w:val="000000"/>
          <w:sz w:val="28"/>
          <w:szCs w:val="28"/>
        </w:rPr>
        <w:t>（二）废水产生及治理设施</w:t>
      </w:r>
    </w:p>
    <w:p>
      <w:pPr>
        <w:pStyle w:val="64"/>
        <w:ind w:firstLine="560" w:firstLineChars="200"/>
        <w:rPr>
          <w:color w:val="000000"/>
        </w:rPr>
      </w:pPr>
      <w:bookmarkStart w:id="3" w:name="_Toc5029893"/>
      <w:r>
        <w:rPr>
          <w:rFonts w:hint="eastAsia"/>
          <w:color w:val="000000"/>
        </w:rPr>
        <w:t>1、锅炉排水、主厂房辅助工艺排水，</w:t>
      </w:r>
      <w:r>
        <w:rPr>
          <w:color w:val="000000"/>
        </w:rPr>
        <w:t>经收集后</w:t>
      </w:r>
      <w:r>
        <w:rPr>
          <w:rFonts w:hint="eastAsia"/>
          <w:color w:val="000000"/>
        </w:rPr>
        <w:t>送太钢</w:t>
      </w:r>
      <w:r>
        <w:rPr>
          <w:color w:val="000000"/>
        </w:rPr>
        <w:t>污水处理</w:t>
      </w:r>
      <w:r>
        <w:rPr>
          <w:rFonts w:hint="eastAsia"/>
          <w:color w:val="000000"/>
        </w:rPr>
        <w:t>厂</w:t>
      </w:r>
      <w:r>
        <w:rPr>
          <w:color w:val="000000"/>
        </w:rPr>
        <w:t>统一处理。</w:t>
      </w:r>
    </w:p>
    <w:p>
      <w:pPr>
        <w:pStyle w:val="64"/>
        <w:ind w:firstLine="560" w:firstLineChars="200"/>
        <w:rPr>
          <w:color w:val="000000"/>
        </w:rPr>
      </w:pPr>
      <w:r>
        <w:rPr>
          <w:rFonts w:hint="eastAsia"/>
          <w:color w:val="000000"/>
        </w:rPr>
        <w:t>2、锅炉烟气采用</w:t>
      </w:r>
      <w:r>
        <w:rPr>
          <w:color w:val="000000"/>
        </w:rPr>
        <w:t>石灰石-石膏湿法烟气脱硫系统，在石灰石制浆过程及石膏脱水等过程中，产生少量的脱硫废水，</w:t>
      </w:r>
      <w:r>
        <w:rPr>
          <w:rFonts w:hint="eastAsia"/>
          <w:color w:val="000000"/>
        </w:rPr>
        <w:t>经处理后回用，不外排。</w:t>
      </w:r>
    </w:p>
    <w:p>
      <w:pPr>
        <w:pStyle w:val="64"/>
        <w:ind w:firstLine="560" w:firstLineChars="200"/>
        <w:rPr>
          <w:color w:val="000000"/>
        </w:rPr>
      </w:pPr>
      <w:r>
        <w:rPr>
          <w:rFonts w:hint="eastAsia"/>
          <w:color w:val="000000"/>
        </w:rPr>
        <w:t>3、汽轮机凝结水，全部收集于下部凝结水箱经凝结泵送入现有凝结水处理装置处理后全部作为除盐水回用，不外排。</w:t>
      </w:r>
    </w:p>
    <w:p>
      <w:pPr>
        <w:pStyle w:val="64"/>
        <w:ind w:firstLine="560" w:firstLineChars="200"/>
        <w:rPr>
          <w:color w:val="000000"/>
        </w:rPr>
      </w:pPr>
      <w:r>
        <w:rPr>
          <w:rFonts w:hint="eastAsia"/>
          <w:color w:val="000000"/>
        </w:rPr>
        <w:t>4、生活污水经厂区生活污水管网送太钢污水厂统一处理。本项目无新增人员，不新增生活污水。</w:t>
      </w:r>
    </w:p>
    <w:p>
      <w:pPr>
        <w:pStyle w:val="59"/>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（三）固体废物</w:t>
      </w:r>
      <w:bookmarkEnd w:id="3"/>
    </w:p>
    <w:p>
      <w:pPr>
        <w:pStyle w:val="8"/>
        <w:snapToGrid w:val="0"/>
        <w:spacing w:line="500" w:lineRule="exact"/>
        <w:ind w:firstLine="560" w:firstLineChars="200"/>
        <w:rPr>
          <w:bCs/>
          <w:color w:val="000000"/>
          <w:sz w:val="28"/>
          <w:szCs w:val="28"/>
        </w:rPr>
      </w:pPr>
      <w:bookmarkStart w:id="4" w:name="_Hlk38827306"/>
      <w:r>
        <w:rPr>
          <w:rFonts w:hint="eastAsia"/>
          <w:bCs/>
          <w:color w:val="000000"/>
          <w:sz w:val="28"/>
          <w:szCs w:val="28"/>
        </w:rPr>
        <w:t>（</w:t>
      </w:r>
      <w:r>
        <w:rPr>
          <w:bCs/>
          <w:color w:val="000000"/>
          <w:sz w:val="28"/>
          <w:szCs w:val="28"/>
        </w:rPr>
        <w:t>1</w:t>
      </w:r>
      <w:r>
        <w:rPr>
          <w:rFonts w:hint="eastAsia"/>
          <w:bCs/>
          <w:color w:val="000000"/>
          <w:sz w:val="28"/>
          <w:szCs w:val="28"/>
        </w:rPr>
        <w:t>）</w:t>
      </w:r>
      <w:r>
        <w:rPr>
          <w:bCs/>
          <w:color w:val="000000"/>
          <w:sz w:val="28"/>
          <w:szCs w:val="28"/>
        </w:rPr>
        <w:t>一般固体废弃物：</w:t>
      </w:r>
    </w:p>
    <w:p>
      <w:pPr>
        <w:pStyle w:val="64"/>
        <w:ind w:firstLine="560" w:firstLineChars="200"/>
        <w:rPr>
          <w:color w:val="000000"/>
        </w:rPr>
      </w:pPr>
      <w:r>
        <w:rPr>
          <w:rFonts w:hint="eastAsia"/>
          <w:color w:val="000000"/>
        </w:rPr>
        <w:t>脱硫石膏：锅炉烟气脱硫系统采用石灰石－石膏湿法脱硫，全部由太钢能源动力总厂石膏生产线生产为石膏粉后统一外售，全部综合利用。</w:t>
      </w:r>
    </w:p>
    <w:p>
      <w:pPr>
        <w:pStyle w:val="64"/>
        <w:ind w:firstLine="560" w:firstLineChars="200"/>
        <w:rPr>
          <w:color w:val="000000"/>
        </w:rPr>
      </w:pPr>
      <w:r>
        <w:rPr>
          <w:rFonts w:hint="eastAsia"/>
          <w:color w:val="000000"/>
        </w:rPr>
        <w:t>废催化剂：锅炉烟气脱硝SCR系统2年更换一次催化剂，更换的废催化剂全部由催化剂生产厂家回收利用。</w:t>
      </w:r>
    </w:p>
    <w:p>
      <w:pPr>
        <w:pStyle w:val="64"/>
        <w:ind w:firstLine="560" w:firstLineChars="200"/>
        <w:rPr>
          <w:color w:val="000000"/>
        </w:rPr>
      </w:pPr>
      <w:r>
        <w:rPr>
          <w:rFonts w:hint="eastAsia"/>
          <w:color w:val="000000"/>
        </w:rPr>
        <w:t>生活垃圾：本项目产生的生活垃圾主要为职工日常生活中抛弃的各类废弃物，如废纸、废塑料等。生活垃圾统一收集后由当地环卫部门统一处理。</w:t>
      </w:r>
    </w:p>
    <w:p>
      <w:pPr>
        <w:pStyle w:val="8"/>
        <w:snapToGrid w:val="0"/>
        <w:spacing w:line="500" w:lineRule="exact"/>
        <w:ind w:firstLine="560" w:firstLineChars="200"/>
        <w:rPr>
          <w:color w:val="000000"/>
          <w:sz w:val="28"/>
          <w:szCs w:val="28"/>
        </w:rPr>
      </w:pPr>
      <w:r>
        <w:rPr>
          <w:rFonts w:hint="eastAsia"/>
          <w:color w:val="000000"/>
          <w:sz w:val="28"/>
          <w:szCs w:val="28"/>
        </w:rPr>
        <w:t>（2）</w:t>
      </w:r>
      <w:r>
        <w:rPr>
          <w:color w:val="000000"/>
          <w:sz w:val="28"/>
          <w:szCs w:val="28"/>
        </w:rPr>
        <w:t>危险固体废弃物：</w:t>
      </w:r>
    </w:p>
    <w:bookmarkEnd w:id="4"/>
    <w:p>
      <w:pPr>
        <w:pStyle w:val="64"/>
        <w:ind w:firstLine="560" w:firstLineChars="200"/>
        <w:rPr>
          <w:color w:val="000000"/>
        </w:rPr>
      </w:pPr>
      <w:bookmarkStart w:id="5" w:name="_Toc5029894"/>
      <w:r>
        <w:rPr>
          <w:rFonts w:hint="eastAsia"/>
          <w:color w:val="000000"/>
        </w:rPr>
        <w:t>废机油：由太钢加工厂统一收集后送有资质单位处理。</w:t>
      </w:r>
    </w:p>
    <w:p>
      <w:pPr>
        <w:pStyle w:val="59"/>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（四）噪声</w:t>
      </w:r>
      <w:bookmarkEnd w:id="5"/>
    </w:p>
    <w:p>
      <w:pPr>
        <w:pStyle w:val="64"/>
        <w:ind w:firstLine="560" w:firstLineChars="200"/>
        <w:rPr>
          <w:color w:val="000000"/>
        </w:rPr>
      </w:pPr>
      <w:bookmarkStart w:id="6" w:name="_Hlk62821965"/>
      <w:r>
        <w:rPr>
          <w:color w:val="000000"/>
        </w:rPr>
        <w:t>本项目噪声主要为</w:t>
      </w:r>
      <w:r>
        <w:rPr>
          <w:rFonts w:hint="eastAsia"/>
          <w:color w:val="000000"/>
        </w:rPr>
        <w:t>锅炉</w:t>
      </w:r>
      <w:r>
        <w:rPr>
          <w:color w:val="000000"/>
        </w:rPr>
        <w:t>发电系统的</w:t>
      </w:r>
      <w:r>
        <w:rPr>
          <w:rFonts w:hint="eastAsia"/>
          <w:color w:val="000000"/>
        </w:rPr>
        <w:t>汽轮</w:t>
      </w:r>
      <w:r>
        <w:rPr>
          <w:color w:val="000000"/>
        </w:rPr>
        <w:t>发电机组</w:t>
      </w:r>
      <w:r>
        <w:rPr>
          <w:rFonts w:hint="eastAsia"/>
          <w:color w:val="000000"/>
        </w:rPr>
        <w:t>、</w:t>
      </w:r>
      <w:r>
        <w:rPr>
          <w:color w:val="000000"/>
        </w:rPr>
        <w:t>水泵</w:t>
      </w:r>
      <w:r>
        <w:rPr>
          <w:rFonts w:hint="eastAsia"/>
          <w:color w:val="000000"/>
        </w:rPr>
        <w:t>、风机</w:t>
      </w:r>
      <w:r>
        <w:rPr>
          <w:color w:val="000000"/>
        </w:rPr>
        <w:t>等产噪设备</w:t>
      </w:r>
      <w:r>
        <w:rPr>
          <w:rFonts w:hint="eastAsia"/>
          <w:color w:val="000000"/>
        </w:rPr>
        <w:t>，通过</w:t>
      </w:r>
      <w:r>
        <w:rPr>
          <w:color w:val="000000"/>
        </w:rPr>
        <w:t>采取</w:t>
      </w:r>
      <w:r>
        <w:rPr>
          <w:rFonts w:hint="eastAsia"/>
          <w:color w:val="000000"/>
        </w:rPr>
        <w:t>室内</w:t>
      </w:r>
      <w:r>
        <w:rPr>
          <w:color w:val="000000"/>
        </w:rPr>
        <w:t>安装、基础减振等措施后</w:t>
      </w:r>
      <w:r>
        <w:rPr>
          <w:rFonts w:hint="eastAsia"/>
          <w:color w:val="000000"/>
        </w:rPr>
        <w:t>，</w:t>
      </w:r>
      <w:r>
        <w:rPr>
          <w:color w:val="000000"/>
        </w:rPr>
        <w:t>对周围声环境影响</w:t>
      </w:r>
      <w:r>
        <w:rPr>
          <w:rFonts w:hint="eastAsia"/>
          <w:color w:val="000000"/>
        </w:rPr>
        <w:t>不大</w:t>
      </w:r>
      <w:r>
        <w:rPr>
          <w:color w:val="000000"/>
        </w:rPr>
        <w:t>。</w:t>
      </w:r>
      <w:bookmarkEnd w:id="6"/>
    </w:p>
    <w:p>
      <w:pPr>
        <w:pStyle w:val="59"/>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r>
        <w:rPr>
          <w:rFonts w:ascii="Times New Roman" w:hAnsi="Times New Roman" w:cs="Times New Roman"/>
          <w:color w:val="000000"/>
          <w:sz w:val="28"/>
          <w:szCs w:val="28"/>
        </w:rPr>
        <w:t>（</w:t>
      </w:r>
      <w:r>
        <w:rPr>
          <w:rFonts w:hint="eastAsia" w:ascii="Times New Roman" w:hAnsi="Times New Roman" w:cs="Times New Roman"/>
          <w:color w:val="000000"/>
          <w:sz w:val="28"/>
          <w:szCs w:val="28"/>
        </w:rPr>
        <w:t>五</w:t>
      </w:r>
      <w:r>
        <w:rPr>
          <w:rFonts w:ascii="Times New Roman" w:hAnsi="Times New Roman" w:cs="Times New Roman"/>
          <w:color w:val="000000"/>
          <w:sz w:val="28"/>
          <w:szCs w:val="28"/>
        </w:rPr>
        <w:t>）环保设施建设情况与环评报告及批复对照</w:t>
      </w:r>
    </w:p>
    <w:p>
      <w:pPr>
        <w:pStyle w:val="59"/>
        <w:snapToGrid w:val="0"/>
        <w:spacing w:before="0" w:beforeAutospacing="0" w:after="0" w:afterAutospacing="0" w:line="500" w:lineRule="exact"/>
        <w:ind w:firstLine="560" w:firstLineChars="200"/>
        <w:jc w:val="both"/>
        <w:rPr>
          <w:rFonts w:ascii="Times New Roman" w:hAnsi="Times New Roman" w:cs="Times New Roman"/>
          <w:color w:val="000000"/>
          <w:sz w:val="28"/>
          <w:szCs w:val="28"/>
        </w:rPr>
      </w:pPr>
      <w:r>
        <w:rPr>
          <w:rFonts w:ascii="Times New Roman" w:hAnsi="Times New Roman" w:cs="Times New Roman"/>
          <w:color w:val="000000"/>
          <w:sz w:val="28"/>
          <w:szCs w:val="28"/>
        </w:rPr>
        <w:t>环保设施建设情况与环评报告要求对照见表2。</w:t>
      </w:r>
    </w:p>
    <w:p>
      <w:pPr>
        <w:adjustRightInd w:val="0"/>
        <w:snapToGrid w:val="0"/>
        <w:spacing w:line="500" w:lineRule="exact"/>
        <w:jc w:val="center"/>
        <w:rPr>
          <w:rFonts w:ascii="Times New Roman" w:hAnsi="Times New Roman" w:cs="Times New Roman"/>
          <w:b/>
          <w:color w:val="000000"/>
          <w:sz w:val="24"/>
        </w:rPr>
      </w:pPr>
      <w:r>
        <w:rPr>
          <w:rFonts w:ascii="Times New Roman" w:hAnsi="Times New Roman" w:cs="Times New Roman"/>
          <w:b/>
          <w:color w:val="000000"/>
          <w:sz w:val="24"/>
        </w:rPr>
        <w:t>表2环保设施建设情况与环评报告对照表</w:t>
      </w:r>
    </w:p>
    <w:tbl>
      <w:tblPr>
        <w:tblStyle w:val="20"/>
        <w:tblW w:w="88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
        <w:gridCol w:w="878"/>
        <w:gridCol w:w="1293"/>
        <w:gridCol w:w="2834"/>
        <w:gridCol w:w="3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7" w:hRule="atLeast"/>
          <w:tblHeader/>
        </w:trPr>
        <w:tc>
          <w:tcPr>
            <w:tcW w:w="489"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类别</w:t>
            </w:r>
          </w:p>
        </w:tc>
        <w:tc>
          <w:tcPr>
            <w:tcW w:w="878"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污染源</w:t>
            </w:r>
          </w:p>
        </w:tc>
        <w:tc>
          <w:tcPr>
            <w:tcW w:w="1293"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污染物</w:t>
            </w:r>
          </w:p>
        </w:tc>
        <w:tc>
          <w:tcPr>
            <w:tcW w:w="2834"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环评要求</w:t>
            </w:r>
          </w:p>
        </w:tc>
        <w:tc>
          <w:tcPr>
            <w:tcW w:w="3339"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65" w:hRule="atLeast"/>
        </w:trPr>
        <w:tc>
          <w:tcPr>
            <w:tcW w:w="489" w:type="dxa"/>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废气</w:t>
            </w:r>
          </w:p>
        </w:tc>
        <w:tc>
          <w:tcPr>
            <w:tcW w:w="878" w:type="dxa"/>
            <w:vAlign w:val="center"/>
          </w:tcPr>
          <w:p>
            <w:pPr>
              <w:jc w:val="center"/>
              <w:rPr>
                <w:rFonts w:ascii="Times New Roman" w:hAnsi="Times New Roman" w:eastAsia="宋体" w:cs="Times New Roman"/>
                <w:color w:val="000000"/>
                <w:szCs w:val="21"/>
              </w:rPr>
            </w:pPr>
            <w:r>
              <w:rPr>
                <w:rFonts w:ascii="Times New Roman" w:hAnsi="Times New Roman" w:cs="Times New Roman"/>
                <w:szCs w:val="21"/>
              </w:rPr>
              <w:t>燃气锅炉</w:t>
            </w:r>
          </w:p>
        </w:tc>
        <w:tc>
          <w:tcPr>
            <w:tcW w:w="1293" w:type="dxa"/>
            <w:vAlign w:val="center"/>
          </w:tcPr>
          <w:p>
            <w:pPr>
              <w:jc w:val="center"/>
              <w:rPr>
                <w:rFonts w:ascii="Times New Roman" w:hAnsi="Times New Roman" w:eastAsia="宋体" w:cs="Times New Roman"/>
                <w:color w:val="000000"/>
                <w:szCs w:val="21"/>
              </w:rPr>
            </w:pPr>
            <w:r>
              <w:rPr>
                <w:rFonts w:ascii="Times New Roman" w:hAnsi="Times New Roman" w:eastAsia="宋体" w:cs="Times New Roman"/>
                <w:color w:val="000000"/>
                <w:szCs w:val="21"/>
              </w:rPr>
              <w:t>烟尘、SO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、NO</w:t>
            </w:r>
            <w:r>
              <w:rPr>
                <w:rFonts w:ascii="Times New Roman" w:hAnsi="Times New Roman" w:eastAsia="宋体" w:cs="Times New Roman"/>
                <w:color w:val="000000"/>
                <w:szCs w:val="21"/>
                <w:vertAlign w:val="subscript"/>
              </w:rPr>
              <w:t>X</w:t>
            </w:r>
          </w:p>
        </w:tc>
        <w:tc>
          <w:tcPr>
            <w:tcW w:w="2834" w:type="dxa"/>
            <w:vAlign w:val="center"/>
          </w:tcPr>
          <w:p>
            <w:pPr>
              <w:spacing w:before="120" w:line="276" w:lineRule="auto"/>
              <w:jc w:val="center"/>
              <w:rPr>
                <w:rFonts w:ascii="Times New Roman" w:hAnsi="Times New Roman" w:cs="Times New Roman"/>
                <w:spacing w:val="4"/>
              </w:rPr>
            </w:pPr>
            <w:r>
              <w:rPr>
                <w:rFonts w:ascii="Times New Roman" w:hAnsi="Times New Roman" w:cs="Times New Roman"/>
                <w:spacing w:val="4"/>
              </w:rPr>
              <w:t>对助燃空气进行过滤</w:t>
            </w:r>
          </w:p>
          <w:p>
            <w:pPr>
              <w:jc w:val="left"/>
              <w:rPr>
                <w:rFonts w:ascii="Times New Roman" w:hAnsi="Times New Roman" w:eastAsia="宋体" w:cs="Times New Roman"/>
                <w:color w:val="000000"/>
                <w:szCs w:val="21"/>
              </w:rPr>
            </w:pPr>
            <w:r>
              <w:rPr>
                <w:spacing w:val="4"/>
                <w:szCs w:val="21"/>
              </w:rPr>
              <w:t>调</w:t>
            </w:r>
            <w:r>
              <w:rPr>
                <w:szCs w:val="21"/>
              </w:rPr>
              <w:t>整锅炉工作参数，安装低氮燃烧器（预留脱硝位置）</w:t>
            </w:r>
          </w:p>
        </w:tc>
        <w:tc>
          <w:tcPr>
            <w:tcW w:w="3339" w:type="dxa"/>
            <w:vAlign w:val="center"/>
          </w:tcPr>
          <w:p>
            <w:pPr>
              <w:jc w:val="left"/>
              <w:rPr>
                <w:rFonts w:ascii="Times New Roman" w:hAnsi="Times New Roman" w:eastAsia="宋体" w:cs="Times New Roman"/>
                <w:color w:val="000000"/>
                <w:szCs w:val="21"/>
              </w:rPr>
            </w:pPr>
            <w:r>
              <w:rPr>
                <w:rFonts w:hint="eastAsia" w:ascii="Times New Roman" w:hAnsi="Times New Roman" w:cs="Times New Roman"/>
                <w:spacing w:val="4"/>
              </w:rPr>
              <w:t>废气经</w:t>
            </w:r>
            <w:r>
              <w:rPr>
                <w:rFonts w:ascii="Times New Roman" w:hAnsi="Times New Roman" w:cs="Times New Roman"/>
                <w:spacing w:val="4"/>
              </w:rPr>
              <w:t>低氮燃烧器+烟气再循环+SCR脱硝</w:t>
            </w:r>
            <w:r>
              <w:rPr>
                <w:rFonts w:hint="eastAsia" w:ascii="Times New Roman" w:hAnsi="Times New Roman" w:cs="Times New Roman"/>
                <w:spacing w:val="4"/>
              </w:rPr>
              <w:t>、</w:t>
            </w:r>
            <w:r>
              <w:rPr>
                <w:rFonts w:ascii="Times New Roman" w:hAnsi="Times New Roman" w:cs="Times New Roman"/>
                <w:spacing w:val="4"/>
              </w:rPr>
              <w:t>石灰石－石膏湿法脱硫</w:t>
            </w:r>
            <w:r>
              <w:rPr>
                <w:rFonts w:hint="eastAsia" w:ascii="Times New Roman" w:hAnsi="Times New Roman" w:cs="Times New Roman"/>
                <w:spacing w:val="4"/>
              </w:rPr>
              <w:t>后排放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6" w:hRule="atLeast"/>
        </w:trPr>
        <w:tc>
          <w:tcPr>
            <w:tcW w:w="489" w:type="dxa"/>
            <w:vMerge w:val="restar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废水</w:t>
            </w:r>
          </w:p>
        </w:tc>
        <w:tc>
          <w:tcPr>
            <w:tcW w:w="878" w:type="dxa"/>
            <w:vAlign w:val="center"/>
          </w:tcPr>
          <w:p>
            <w:pPr>
              <w:pStyle w:val="64"/>
              <w:spacing w:line="276" w:lineRule="auto"/>
              <w:jc w:val="center"/>
              <w:rPr>
                <w:sz w:val="21"/>
                <w:szCs w:val="21"/>
              </w:rPr>
            </w:pPr>
            <w:r>
              <w:rPr>
                <w:sz w:val="21"/>
                <w:szCs w:val="21"/>
              </w:rPr>
              <w:t>生活污水</w:t>
            </w:r>
          </w:p>
        </w:tc>
        <w:tc>
          <w:tcPr>
            <w:tcW w:w="1293" w:type="dxa"/>
            <w:vAlign w:val="center"/>
          </w:tcPr>
          <w:p>
            <w:pPr>
              <w:pStyle w:val="64"/>
              <w:spacing w:line="276" w:lineRule="auto"/>
              <w:jc w:val="center"/>
              <w:rPr>
                <w:sz w:val="21"/>
                <w:szCs w:val="21"/>
              </w:rPr>
            </w:pPr>
            <w:r>
              <w:rPr>
                <w:sz w:val="21"/>
                <w:szCs w:val="21"/>
              </w:rPr>
              <w:t>COD、BOD、NH</w:t>
            </w:r>
            <w:r>
              <w:rPr>
                <w:sz w:val="21"/>
                <w:szCs w:val="21"/>
                <w:vertAlign w:val="subscript"/>
              </w:rPr>
              <w:t>3</w:t>
            </w:r>
            <w:r>
              <w:rPr>
                <w:sz w:val="21"/>
                <w:szCs w:val="21"/>
              </w:rPr>
              <w:t>-N、SS</w:t>
            </w:r>
          </w:p>
        </w:tc>
        <w:tc>
          <w:tcPr>
            <w:tcW w:w="2834" w:type="dxa"/>
            <w:vMerge w:val="restart"/>
            <w:vAlign w:val="center"/>
          </w:tcPr>
          <w:p>
            <w:pPr>
              <w:spacing w:line="276" w:lineRule="auto"/>
              <w:jc w:val="center"/>
              <w:outlineLvl w:val="0"/>
              <w:rPr>
                <w:rFonts w:ascii="Times New Roman" w:hAnsi="Times New Roman" w:cs="Times New Roman"/>
              </w:rPr>
            </w:pPr>
            <w:r>
              <w:rPr>
                <w:rFonts w:ascii="Times New Roman" w:hAnsi="Times New Roman" w:cs="Times New Roman"/>
              </w:rPr>
              <w:t>排往太钢厂区污水管网，最后进入太钢赵庄污水处理厂处理后回用，不外排</w:t>
            </w:r>
          </w:p>
          <w:p>
            <w:pPr>
              <w:jc w:val="left"/>
              <w:rPr>
                <w:rFonts w:ascii="Times New Roman" w:hAnsi="Times New Roman" w:eastAsia="宋体" w:cs="Times New Roman"/>
                <w:szCs w:val="21"/>
              </w:rPr>
            </w:pPr>
            <w:r>
              <w:rPr>
                <w:szCs w:val="21"/>
              </w:rPr>
              <w:t>（处理规模为19万m</w:t>
            </w:r>
            <w:r>
              <w:rPr>
                <w:szCs w:val="21"/>
                <w:vertAlign w:val="superscript"/>
              </w:rPr>
              <w:t>3</w:t>
            </w:r>
            <w:r>
              <w:rPr>
                <w:szCs w:val="21"/>
              </w:rPr>
              <w:t>/d）</w:t>
            </w:r>
          </w:p>
        </w:tc>
        <w:tc>
          <w:tcPr>
            <w:tcW w:w="3339" w:type="dxa"/>
            <w:vMerge w:val="restart"/>
            <w:vAlign w:val="center"/>
          </w:tcPr>
          <w:p>
            <w:pPr>
              <w:spacing w:line="276" w:lineRule="auto"/>
              <w:jc w:val="center"/>
              <w:outlineLvl w:val="0"/>
              <w:rPr>
                <w:rFonts w:ascii="Times New Roman" w:hAnsi="Times New Roman" w:cs="Times New Roman"/>
              </w:rPr>
            </w:pPr>
            <w:r>
              <w:rPr>
                <w:rFonts w:ascii="Times New Roman" w:hAnsi="Times New Roman" w:cs="Times New Roman"/>
              </w:rPr>
              <w:t>排往太钢厂区污水管网，最后进入太钢赵庄污水处理厂处理后回用，不外排</w:t>
            </w:r>
          </w:p>
          <w:p>
            <w:pPr>
              <w:jc w:val="lef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5" w:hRule="atLeast"/>
        </w:trPr>
        <w:tc>
          <w:tcPr>
            <w:tcW w:w="489" w:type="dxa"/>
            <w:vMerge w:val="continue"/>
            <w:vAlign w:val="center"/>
          </w:tcPr>
          <w:p>
            <w:pPr>
              <w:contextualSpacing/>
              <w:jc w:val="center"/>
              <w:rPr>
                <w:rFonts w:ascii="Times New Roman" w:hAnsi="Times New Roman" w:eastAsia="宋体" w:cs="Times New Roman"/>
                <w:szCs w:val="21"/>
              </w:rPr>
            </w:pPr>
          </w:p>
        </w:tc>
        <w:tc>
          <w:tcPr>
            <w:tcW w:w="878" w:type="dxa"/>
            <w:vAlign w:val="center"/>
          </w:tcPr>
          <w:p>
            <w:pPr>
              <w:pStyle w:val="64"/>
              <w:spacing w:line="276" w:lineRule="auto"/>
              <w:jc w:val="center"/>
              <w:rPr>
                <w:sz w:val="21"/>
                <w:szCs w:val="21"/>
              </w:rPr>
            </w:pPr>
            <w:r>
              <w:rPr>
                <w:sz w:val="21"/>
                <w:szCs w:val="21"/>
              </w:rPr>
              <w:t>生产废水</w:t>
            </w:r>
          </w:p>
        </w:tc>
        <w:tc>
          <w:tcPr>
            <w:tcW w:w="1293" w:type="dxa"/>
            <w:vAlign w:val="center"/>
          </w:tcPr>
          <w:p>
            <w:pPr>
              <w:pStyle w:val="64"/>
              <w:spacing w:line="276" w:lineRule="auto"/>
              <w:jc w:val="center"/>
              <w:rPr>
                <w:sz w:val="21"/>
                <w:szCs w:val="21"/>
              </w:rPr>
            </w:pPr>
            <w:r>
              <w:rPr>
                <w:sz w:val="21"/>
                <w:szCs w:val="21"/>
              </w:rPr>
              <w:t>清洁排水</w:t>
            </w:r>
          </w:p>
        </w:tc>
        <w:tc>
          <w:tcPr>
            <w:tcW w:w="2834" w:type="dxa"/>
            <w:vMerge w:val="continue"/>
            <w:vAlign w:val="center"/>
          </w:tcPr>
          <w:p>
            <w:pPr>
              <w:jc w:val="left"/>
              <w:rPr>
                <w:rFonts w:ascii="Times New Roman" w:hAnsi="Times New Roman" w:eastAsia="宋体" w:cs="Times New Roman"/>
                <w:szCs w:val="21"/>
              </w:rPr>
            </w:pPr>
          </w:p>
        </w:tc>
        <w:tc>
          <w:tcPr>
            <w:tcW w:w="3339" w:type="dxa"/>
            <w:vMerge w:val="continue"/>
            <w:vAlign w:val="center"/>
          </w:tcPr>
          <w:p>
            <w:pPr>
              <w:jc w:val="lef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92" w:hRule="atLeast"/>
        </w:trPr>
        <w:tc>
          <w:tcPr>
            <w:tcW w:w="489" w:type="dxa"/>
            <w:vMerge w:val="restart"/>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固废</w:t>
            </w:r>
          </w:p>
        </w:tc>
        <w:tc>
          <w:tcPr>
            <w:tcW w:w="878" w:type="dxa"/>
            <w:vAlign w:val="center"/>
          </w:tcPr>
          <w:p>
            <w:pPr>
              <w:jc w:val="center"/>
              <w:rPr>
                <w:rFonts w:ascii="Times New Roman" w:hAnsi="Times New Roman" w:eastAsia="宋体" w:cs="Times New Roman"/>
                <w:color w:val="000000"/>
                <w:szCs w:val="21"/>
              </w:rPr>
            </w:pPr>
            <w:r>
              <w:rPr>
                <w:rFonts w:ascii="Times New Roman" w:hAnsi="Times New Roman" w:eastAsia="宋体" w:cs="Times New Roman"/>
                <w:color w:val="000000"/>
                <w:szCs w:val="21"/>
              </w:rPr>
              <w:t>一般固废</w:t>
            </w:r>
          </w:p>
        </w:tc>
        <w:tc>
          <w:tcPr>
            <w:tcW w:w="1293" w:type="dxa"/>
            <w:vAlign w:val="center"/>
          </w:tcPr>
          <w:p>
            <w:pPr>
              <w:jc w:val="center"/>
              <w:rPr>
                <w:rFonts w:ascii="Times New Roman" w:hAnsi="Times New Roman" w:eastAsia="宋体" w:cs="Times New Roman"/>
                <w:color w:val="000000"/>
                <w:szCs w:val="21"/>
              </w:rPr>
            </w:pPr>
            <w:r>
              <w:rPr>
                <w:szCs w:val="21"/>
              </w:rPr>
              <w:t>生活垃圾</w:t>
            </w:r>
          </w:p>
        </w:tc>
        <w:tc>
          <w:tcPr>
            <w:tcW w:w="2834" w:type="dxa"/>
            <w:vAlign w:val="center"/>
          </w:tcPr>
          <w:p>
            <w:pPr>
              <w:pStyle w:val="64"/>
              <w:spacing w:line="276" w:lineRule="auto"/>
              <w:jc w:val="center"/>
              <w:rPr>
                <w:sz w:val="21"/>
                <w:szCs w:val="21"/>
              </w:rPr>
            </w:pPr>
            <w:r>
              <w:rPr>
                <w:sz w:val="21"/>
                <w:szCs w:val="21"/>
              </w:rPr>
              <w:t>厂区设封闭垃圾箱，定期交环卫部门统一处理</w:t>
            </w:r>
          </w:p>
        </w:tc>
        <w:tc>
          <w:tcPr>
            <w:tcW w:w="3339" w:type="dxa"/>
            <w:vAlign w:val="center"/>
          </w:tcPr>
          <w:p>
            <w:pPr>
              <w:pStyle w:val="64"/>
              <w:spacing w:line="276" w:lineRule="auto"/>
              <w:jc w:val="center"/>
              <w:rPr>
                <w:sz w:val="21"/>
                <w:szCs w:val="21"/>
              </w:rPr>
            </w:pPr>
            <w:r>
              <w:rPr>
                <w:sz w:val="21"/>
                <w:szCs w:val="21"/>
              </w:rPr>
              <w:t>厂区设封闭垃圾箱，定期交环卫部门统一处理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45" w:hRule="atLeast"/>
        </w:trPr>
        <w:tc>
          <w:tcPr>
            <w:tcW w:w="489" w:type="dxa"/>
            <w:vMerge w:val="continue"/>
            <w:vAlign w:val="center"/>
          </w:tcPr>
          <w:p>
            <w:pPr>
              <w:contextualSpacing/>
              <w:jc w:val="center"/>
              <w:rPr>
                <w:rFonts w:ascii="Times New Roman" w:hAnsi="Times New Roman" w:eastAsia="宋体" w:cs="Times New Roman"/>
                <w:szCs w:val="21"/>
              </w:rPr>
            </w:pPr>
          </w:p>
        </w:tc>
        <w:tc>
          <w:tcPr>
            <w:tcW w:w="878" w:type="dxa"/>
            <w:vAlign w:val="center"/>
          </w:tcPr>
          <w:p>
            <w:pPr>
              <w:jc w:val="center"/>
              <w:rPr>
                <w:rFonts w:ascii="Times New Roman" w:hAnsi="Times New Roman" w:eastAsia="宋体" w:cs="Times New Roman"/>
                <w:color w:val="000000"/>
                <w:szCs w:val="21"/>
              </w:rPr>
            </w:pPr>
            <w:r>
              <w:rPr>
                <w:rFonts w:ascii="Times New Roman" w:hAnsi="Times New Roman" w:eastAsia="宋体" w:cs="Times New Roman"/>
                <w:color w:val="000000"/>
                <w:szCs w:val="21"/>
              </w:rPr>
              <w:t>危险废物</w:t>
            </w:r>
          </w:p>
        </w:tc>
        <w:tc>
          <w:tcPr>
            <w:tcW w:w="1293" w:type="dxa"/>
            <w:vAlign w:val="center"/>
          </w:tcPr>
          <w:p>
            <w:pPr>
              <w:jc w:val="center"/>
              <w:rPr>
                <w:rFonts w:ascii="Times New Roman" w:hAnsi="Times New Roman" w:eastAsia="宋体" w:cs="Times New Roman"/>
                <w:color w:val="000000"/>
                <w:szCs w:val="21"/>
              </w:rPr>
            </w:pPr>
            <w:r>
              <w:rPr>
                <w:szCs w:val="21"/>
              </w:rPr>
              <w:t>废机油</w:t>
            </w:r>
          </w:p>
        </w:tc>
        <w:tc>
          <w:tcPr>
            <w:tcW w:w="2834" w:type="dxa"/>
            <w:vAlign w:val="center"/>
          </w:tcPr>
          <w:p>
            <w:pPr>
              <w:autoSpaceDE w:val="0"/>
              <w:autoSpaceDN w:val="0"/>
              <w:spacing w:line="276" w:lineRule="auto"/>
              <w:jc w:val="center"/>
              <w:rPr>
                <w:rFonts w:ascii="Times New Roman" w:hAnsi="Times New Roman" w:cs="Times New Roman"/>
              </w:rPr>
            </w:pPr>
            <w:r>
              <w:rPr>
                <w:rFonts w:ascii="Times New Roman" w:hAnsi="Times New Roman" w:cs="Times New Roman"/>
              </w:rPr>
              <w:t>交由太原钢铁（集团）公司福利总厂进行集中处置</w:t>
            </w:r>
          </w:p>
        </w:tc>
        <w:tc>
          <w:tcPr>
            <w:tcW w:w="3339" w:type="dxa"/>
            <w:vAlign w:val="center"/>
          </w:tcPr>
          <w:p>
            <w:pPr>
              <w:autoSpaceDE w:val="0"/>
              <w:autoSpaceDN w:val="0"/>
              <w:spacing w:line="276" w:lineRule="auto"/>
              <w:jc w:val="center"/>
              <w:rPr>
                <w:rFonts w:ascii="Times New Roman" w:hAnsi="Times New Roman" w:cs="Times New Roman"/>
              </w:rPr>
            </w:pPr>
            <w:r>
              <w:rPr>
                <w:rFonts w:ascii="Times New Roman" w:hAnsi="Times New Roman" w:cs="Times New Roman"/>
              </w:rPr>
              <w:t>交由</w:t>
            </w:r>
            <w:r>
              <w:rPr>
                <w:rFonts w:hint="eastAsia" w:ascii="Times New Roman" w:hAnsi="Times New Roman" w:cs="Times New Roman"/>
                <w:lang w:eastAsia="zh-CN"/>
              </w:rPr>
              <w:t>加工厂交有资质单位处理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26" w:hRule="atLeast"/>
        </w:trPr>
        <w:tc>
          <w:tcPr>
            <w:tcW w:w="489" w:type="dxa"/>
            <w:vAlign w:val="center"/>
          </w:tcPr>
          <w:p>
            <w:pPr>
              <w:contextualSpacing/>
              <w:jc w:val="center"/>
              <w:rPr>
                <w:rFonts w:ascii="Times New Roman" w:hAnsi="Times New Roman" w:eastAsia="宋体" w:cs="Times New Roman"/>
                <w:szCs w:val="21"/>
              </w:rPr>
            </w:pPr>
            <w:r>
              <w:rPr>
                <w:rFonts w:ascii="Times New Roman" w:hAnsi="Times New Roman" w:eastAsia="宋体" w:cs="Times New Roman"/>
                <w:szCs w:val="21"/>
              </w:rPr>
              <w:t>噪声</w:t>
            </w:r>
          </w:p>
        </w:tc>
        <w:tc>
          <w:tcPr>
            <w:tcW w:w="878" w:type="dxa"/>
            <w:vAlign w:val="center"/>
          </w:tcPr>
          <w:p>
            <w:pPr>
              <w:jc w:val="center"/>
              <w:rPr>
                <w:rFonts w:ascii="Times New Roman" w:hAnsi="Times New Roman" w:eastAsia="宋体" w:cs="Times New Roman"/>
                <w:color w:val="000000"/>
                <w:szCs w:val="21"/>
              </w:rPr>
            </w:pPr>
            <w:r>
              <w:rPr>
                <w:szCs w:val="21"/>
              </w:rPr>
              <w:t>汽轮机组、泵类等设备</w:t>
            </w:r>
          </w:p>
        </w:tc>
        <w:tc>
          <w:tcPr>
            <w:tcW w:w="1293" w:type="dxa"/>
            <w:vAlign w:val="center"/>
          </w:tcPr>
          <w:p>
            <w:pPr>
              <w:jc w:val="center"/>
              <w:rPr>
                <w:rFonts w:ascii="Times New Roman" w:hAnsi="Times New Roman" w:eastAsia="宋体" w:cs="Times New Roman"/>
                <w:color w:val="000000"/>
                <w:szCs w:val="21"/>
              </w:rPr>
            </w:pPr>
            <w:r>
              <w:rPr>
                <w:rFonts w:ascii="Times New Roman" w:hAnsi="Times New Roman" w:eastAsia="宋体" w:cs="Times New Roman"/>
                <w:color w:val="000000"/>
                <w:szCs w:val="21"/>
              </w:rPr>
              <w:t>噪声</w:t>
            </w:r>
          </w:p>
        </w:tc>
        <w:tc>
          <w:tcPr>
            <w:tcW w:w="2834" w:type="dxa"/>
            <w:vAlign w:val="center"/>
          </w:tcPr>
          <w:p>
            <w:pPr>
              <w:contextualSpacing/>
              <w:jc w:val="left"/>
              <w:rPr>
                <w:rFonts w:ascii="Times New Roman" w:hAnsi="Times New Roman" w:eastAsia="宋体" w:cs="Times New Roman"/>
                <w:szCs w:val="21"/>
              </w:rPr>
            </w:pPr>
            <w:r>
              <w:rPr>
                <w:szCs w:val="21"/>
              </w:rPr>
              <w:t>基础减振、室内屏蔽、安装消声器以及吸声材料</w:t>
            </w:r>
          </w:p>
        </w:tc>
        <w:tc>
          <w:tcPr>
            <w:tcW w:w="3339" w:type="dxa"/>
            <w:vAlign w:val="center"/>
          </w:tcPr>
          <w:p>
            <w:pPr>
              <w:contextualSpacing/>
              <w:jc w:val="left"/>
              <w:rPr>
                <w:rFonts w:ascii="Times New Roman" w:hAnsi="Times New Roman" w:eastAsia="宋体" w:cs="Times New Roman"/>
                <w:szCs w:val="21"/>
              </w:rPr>
            </w:pPr>
            <w:r>
              <w:rPr>
                <w:rFonts w:ascii="Times New Roman" w:hAnsi="Times New Roman" w:eastAsia="宋体" w:cs="Times New Roman"/>
                <w:szCs w:val="21"/>
              </w:rPr>
              <w:t>本项目</w:t>
            </w:r>
            <w:r>
              <w:rPr>
                <w:rFonts w:hint="eastAsia" w:ascii="Times New Roman" w:hAnsi="Times New Roman" w:cs="Times New Roman"/>
                <w:bCs/>
              </w:rPr>
              <w:t>通过</w:t>
            </w:r>
            <w:r>
              <w:rPr>
                <w:rFonts w:ascii="Times New Roman" w:hAnsi="Times New Roman" w:cs="Times New Roman"/>
                <w:bCs/>
              </w:rPr>
              <w:t>设低噪声设备，基础减震，厂房隔声；各类水泵泵体基础设橡胶垫，管道间采取柔性连接方式；各风机出口安装消声器</w:t>
            </w:r>
            <w:r>
              <w:rPr>
                <w:rFonts w:hint="eastAsia" w:ascii="Times New Roman" w:hAnsi="Times New Roman" w:cs="Times New Roman"/>
                <w:bCs/>
              </w:rPr>
              <w:t>等措施，</w:t>
            </w:r>
            <w:r>
              <w:rPr>
                <w:rFonts w:ascii="Times New Roman" w:hAnsi="Times New Roman" w:eastAsia="宋体" w:cs="Times New Roman"/>
                <w:szCs w:val="21"/>
              </w:rPr>
              <w:t>厂界噪声昼间为</w:t>
            </w:r>
            <w:r>
              <w:rPr>
                <w:rFonts w:hint="eastAsia" w:ascii="Times New Roman" w:hAnsi="Times New Roman" w:eastAsia="宋体" w:cs="Times New Roman"/>
                <w:szCs w:val="21"/>
              </w:rPr>
              <w:t>59.3-64.3</w:t>
            </w:r>
            <w:r>
              <w:rPr>
                <w:rFonts w:ascii="Times New Roman" w:hAnsi="Times New Roman" w:eastAsia="宋体" w:cs="Times New Roman"/>
                <w:szCs w:val="21"/>
              </w:rPr>
              <w:t>dB（A），夜间噪声范围为</w:t>
            </w:r>
            <w:r>
              <w:rPr>
                <w:rFonts w:hint="eastAsia" w:ascii="Times New Roman" w:hAnsi="Times New Roman" w:eastAsia="宋体" w:cs="Times New Roman"/>
                <w:szCs w:val="21"/>
              </w:rPr>
              <w:t>51.3-54.5</w:t>
            </w:r>
            <w:r>
              <w:rPr>
                <w:rFonts w:ascii="Times New Roman" w:hAnsi="Times New Roman" w:eastAsia="宋体" w:cs="Times New Roman"/>
                <w:szCs w:val="21"/>
              </w:rPr>
              <w:t>dB（A），均未超过《工业企业厂界环境噪声排放标准》GB12348-2008中3类标准，即昼间65dB(A)、夜间55dB(A)的要求。</w:t>
            </w:r>
          </w:p>
        </w:tc>
      </w:tr>
    </w:tbl>
    <w:p>
      <w:pPr>
        <w:pStyle w:val="59"/>
        <w:snapToGrid w:val="0"/>
        <w:spacing w:before="0" w:beforeAutospacing="0" w:after="0" w:afterAutospacing="0" w:line="500" w:lineRule="exact"/>
        <w:ind w:firstLine="560" w:firstLineChars="200"/>
        <w:jc w:val="both"/>
        <w:rPr>
          <w:rFonts w:ascii="Times New Roman" w:hAnsi="Times New Roman" w:cs="Times New Roman"/>
          <w:bCs/>
          <w:color w:val="000000"/>
        </w:rPr>
      </w:pPr>
      <w:r>
        <w:rPr>
          <w:rFonts w:ascii="Times New Roman" w:hAnsi="Times New Roman" w:cs="Times New Roman"/>
          <w:color w:val="000000"/>
          <w:sz w:val="28"/>
          <w:szCs w:val="28"/>
        </w:rPr>
        <w:t>环保设施实际建设情况与环评批复要求对照见表</w:t>
      </w:r>
      <w:r>
        <w:rPr>
          <w:rFonts w:hint="eastAsia" w:ascii="Times New Roman" w:hAnsi="Times New Roman" w:cs="Times New Roman"/>
          <w:color w:val="000000"/>
          <w:sz w:val="28"/>
          <w:szCs w:val="28"/>
        </w:rPr>
        <w:t>3</w:t>
      </w:r>
      <w:r>
        <w:rPr>
          <w:rFonts w:ascii="Times New Roman" w:hAnsi="Times New Roman" w:cs="Times New Roman"/>
          <w:color w:val="000000"/>
          <w:sz w:val="28"/>
          <w:szCs w:val="28"/>
        </w:rPr>
        <w:t>。</w:t>
      </w:r>
    </w:p>
    <w:p>
      <w:pPr>
        <w:pStyle w:val="59"/>
        <w:snapToGrid w:val="0"/>
        <w:spacing w:before="0" w:beforeAutospacing="0" w:after="0" w:afterAutospacing="0" w:line="500" w:lineRule="exact"/>
        <w:jc w:val="center"/>
        <w:rPr>
          <w:rFonts w:ascii="Times New Roman" w:hAnsi="Times New Roman" w:cs="Times New Roman"/>
          <w:b/>
          <w:color w:val="000000"/>
        </w:rPr>
      </w:pPr>
      <w:r>
        <w:rPr>
          <w:rFonts w:ascii="Times New Roman" w:hAnsi="Times New Roman" w:cs="Times New Roman"/>
          <w:b/>
          <w:color w:val="000000"/>
        </w:rPr>
        <w:t>表</w:t>
      </w:r>
      <w:r>
        <w:rPr>
          <w:rFonts w:hint="eastAsia" w:ascii="Times New Roman" w:hAnsi="Times New Roman" w:cs="Times New Roman"/>
          <w:b/>
          <w:color w:val="000000"/>
        </w:rPr>
        <w:t>3</w:t>
      </w:r>
      <w:r>
        <w:rPr>
          <w:rFonts w:ascii="Times New Roman" w:hAnsi="Times New Roman" w:cs="Times New Roman"/>
          <w:b/>
          <w:color w:val="000000"/>
        </w:rPr>
        <w:t>环保设施实际建设情况与环评批复要求对照表</w:t>
      </w:r>
    </w:p>
    <w:tbl>
      <w:tblPr>
        <w:tblStyle w:val="21"/>
        <w:tblW w:w="88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8"/>
        <w:gridCol w:w="4008"/>
        <w:gridCol w:w="4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608" w:type="dxa"/>
            <w:vAlign w:val="center"/>
          </w:tcPr>
          <w:p>
            <w:pPr>
              <w:snapToGrid w:val="0"/>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4008" w:type="dxa"/>
            <w:vAlign w:val="center"/>
          </w:tcPr>
          <w:p>
            <w:pPr>
              <w:snapToGrid w:val="0"/>
              <w:jc w:val="center"/>
              <w:rPr>
                <w:rFonts w:ascii="Times New Roman" w:hAnsi="Times New Roman" w:eastAsia="宋体" w:cs="Times New Roman"/>
                <w:b/>
                <w:szCs w:val="21"/>
              </w:rPr>
            </w:pPr>
            <w:r>
              <w:rPr>
                <w:rFonts w:ascii="Times New Roman" w:hAnsi="Times New Roman" w:eastAsia="宋体" w:cs="Times New Roman"/>
                <w:b/>
                <w:szCs w:val="21"/>
              </w:rPr>
              <w:t>环评批复要求措施</w:t>
            </w:r>
          </w:p>
        </w:tc>
        <w:tc>
          <w:tcPr>
            <w:tcW w:w="4217" w:type="dxa"/>
            <w:vAlign w:val="center"/>
          </w:tcPr>
          <w:p>
            <w:pPr>
              <w:snapToGrid w:val="0"/>
              <w:jc w:val="center"/>
              <w:rPr>
                <w:rFonts w:ascii="Times New Roman" w:hAnsi="Times New Roman" w:eastAsia="宋体" w:cs="Times New Roman"/>
                <w:b/>
                <w:szCs w:val="21"/>
              </w:rPr>
            </w:pPr>
            <w:r>
              <w:rPr>
                <w:rFonts w:ascii="Times New Roman" w:hAnsi="Times New Roman" w:eastAsia="宋体" w:cs="Times New Roman"/>
                <w:b/>
                <w:szCs w:val="21"/>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08" w:type="dxa"/>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1</w:t>
            </w:r>
          </w:p>
        </w:tc>
        <w:tc>
          <w:tcPr>
            <w:tcW w:w="4008" w:type="dxa"/>
            <w:vAlign w:val="center"/>
          </w:tcPr>
          <w:p>
            <w:pPr>
              <w:spacing w:line="276" w:lineRule="auto"/>
              <w:rPr>
                <w:rFonts w:ascii="Times New Roman" w:hAnsi="Times New Roman" w:cs="Times New Roman"/>
              </w:rPr>
            </w:pPr>
            <w:r>
              <w:rPr>
                <w:rFonts w:hint="eastAsia" w:ascii="Times New Roman" w:hAnsi="Times New Roman" w:cs="Times New Roman"/>
                <w:spacing w:val="4"/>
              </w:rPr>
              <w:t>废气经</w:t>
            </w:r>
            <w:r>
              <w:rPr>
                <w:rFonts w:ascii="Times New Roman" w:hAnsi="Times New Roman" w:cs="Times New Roman"/>
                <w:spacing w:val="4"/>
              </w:rPr>
              <w:t>低氮燃烧器+烟气再循环+SCR脱硝</w:t>
            </w:r>
            <w:r>
              <w:rPr>
                <w:rFonts w:hint="eastAsia" w:ascii="Times New Roman" w:hAnsi="Times New Roman" w:cs="Times New Roman"/>
                <w:spacing w:val="4"/>
              </w:rPr>
              <w:t>、</w:t>
            </w:r>
            <w:r>
              <w:rPr>
                <w:rFonts w:ascii="Times New Roman" w:hAnsi="Times New Roman" w:cs="Times New Roman"/>
                <w:spacing w:val="4"/>
              </w:rPr>
              <w:t>石灰石－石膏湿法脱硫</w:t>
            </w:r>
            <w:r>
              <w:rPr>
                <w:rFonts w:hint="eastAsia" w:ascii="Times New Roman" w:hAnsi="Times New Roman" w:cs="Times New Roman"/>
                <w:spacing w:val="4"/>
              </w:rPr>
              <w:t>后排放</w:t>
            </w:r>
            <w:r>
              <w:rPr>
                <w:rFonts w:ascii="Times New Roman" w:hAnsi="Times New Roman" w:cs="Times New Roman"/>
                <w:spacing w:val="4"/>
              </w:rPr>
              <w:t>。</w:t>
            </w:r>
          </w:p>
        </w:tc>
        <w:tc>
          <w:tcPr>
            <w:tcW w:w="4217" w:type="dxa"/>
            <w:vAlign w:val="center"/>
          </w:tcPr>
          <w:p>
            <w:pPr>
              <w:spacing w:line="276" w:lineRule="auto"/>
              <w:rPr>
                <w:rFonts w:ascii="Times New Roman" w:hAnsi="Times New Roman" w:cs="Times New Roman"/>
              </w:rPr>
            </w:pPr>
            <w:r>
              <w:rPr>
                <w:rFonts w:hint="eastAsia" w:ascii="Times New Roman" w:hAnsi="Times New Roman" w:cs="Times New Roman"/>
                <w:spacing w:val="4"/>
              </w:rPr>
              <w:t>废气经</w:t>
            </w:r>
            <w:r>
              <w:rPr>
                <w:rFonts w:ascii="Times New Roman" w:hAnsi="Times New Roman" w:cs="Times New Roman"/>
                <w:spacing w:val="4"/>
              </w:rPr>
              <w:t>低氮燃烧器+烟气再循环+SCR脱硝</w:t>
            </w:r>
            <w:r>
              <w:rPr>
                <w:rFonts w:hint="eastAsia" w:ascii="Times New Roman" w:hAnsi="Times New Roman" w:cs="Times New Roman"/>
                <w:spacing w:val="4"/>
              </w:rPr>
              <w:t>、</w:t>
            </w:r>
            <w:r>
              <w:rPr>
                <w:rFonts w:ascii="Times New Roman" w:hAnsi="Times New Roman" w:cs="Times New Roman"/>
                <w:spacing w:val="4"/>
              </w:rPr>
              <w:t>石灰石－石膏湿法脱硫</w:t>
            </w:r>
            <w:r>
              <w:rPr>
                <w:rFonts w:hint="eastAsia" w:ascii="Times New Roman" w:hAnsi="Times New Roman" w:cs="Times New Roman"/>
                <w:spacing w:val="4"/>
              </w:rPr>
              <w:t>后排放，满足排放标准限值要求</w:t>
            </w:r>
            <w:r>
              <w:rPr>
                <w:rFonts w:ascii="Times New Roman" w:hAnsi="Times New Roman" w:cs="Times New Roman"/>
                <w:spacing w:val="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trPr>
        <w:tc>
          <w:tcPr>
            <w:tcW w:w="608" w:type="dxa"/>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2</w:t>
            </w:r>
          </w:p>
        </w:tc>
        <w:tc>
          <w:tcPr>
            <w:tcW w:w="4008" w:type="dxa"/>
            <w:vAlign w:val="center"/>
          </w:tcPr>
          <w:p>
            <w:pPr>
              <w:spacing w:line="276" w:lineRule="auto"/>
              <w:rPr>
                <w:rFonts w:ascii="Times New Roman" w:hAnsi="Times New Roman" w:cs="Times New Roman"/>
              </w:rPr>
            </w:pPr>
            <w:r>
              <w:rPr>
                <w:rFonts w:hint="eastAsia" w:ascii="Times New Roman" w:hAnsi="Times New Roman" w:cs="Times New Roman"/>
              </w:rPr>
              <w:t>废水</w:t>
            </w:r>
            <w:r>
              <w:rPr>
                <w:rFonts w:ascii="Times New Roman" w:hAnsi="Times New Roman" w:cs="Times New Roman"/>
              </w:rPr>
              <w:t>经厂区管网送太钢污水处理厂统一处理。</w:t>
            </w:r>
          </w:p>
        </w:tc>
        <w:tc>
          <w:tcPr>
            <w:tcW w:w="4217" w:type="dxa"/>
            <w:vAlign w:val="center"/>
          </w:tcPr>
          <w:p>
            <w:pPr>
              <w:spacing w:line="276" w:lineRule="auto"/>
              <w:rPr>
                <w:rFonts w:ascii="Times New Roman" w:hAnsi="Times New Roman" w:cs="Times New Roman"/>
              </w:rPr>
            </w:pPr>
            <w:r>
              <w:rPr>
                <w:rFonts w:hint="eastAsia" w:ascii="Times New Roman" w:hAnsi="Times New Roman" w:cs="Times New Roman"/>
              </w:rPr>
              <w:t>废水</w:t>
            </w:r>
            <w:r>
              <w:rPr>
                <w:rFonts w:ascii="Times New Roman" w:hAnsi="Times New Roman" w:cs="Times New Roman"/>
              </w:rPr>
              <w:t>经厂区管网送太钢污水处理厂统一处理。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608" w:type="dxa"/>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3</w:t>
            </w:r>
          </w:p>
        </w:tc>
        <w:tc>
          <w:tcPr>
            <w:tcW w:w="4008" w:type="dxa"/>
            <w:vAlign w:val="center"/>
          </w:tcPr>
          <w:p>
            <w:pPr>
              <w:spacing w:line="276" w:lineRule="auto"/>
              <w:rPr>
                <w:rFonts w:ascii="Times New Roman" w:hAnsi="Times New Roman" w:cs="Times New Roman"/>
              </w:rPr>
            </w:pPr>
            <w:r>
              <w:rPr>
                <w:rFonts w:hint="eastAsia" w:ascii="Times New Roman" w:hAnsi="Times New Roman" w:cs="Times New Roman"/>
              </w:rPr>
              <w:t>废机油由</w:t>
            </w:r>
            <w:r>
              <w:rPr>
                <w:rFonts w:ascii="Times New Roman" w:hAnsi="Times New Roman" w:cs="Times New Roman"/>
              </w:rPr>
              <w:t>太钢加工厂收集后送有资质单位处置。</w:t>
            </w:r>
          </w:p>
        </w:tc>
        <w:tc>
          <w:tcPr>
            <w:tcW w:w="4217" w:type="dxa"/>
            <w:vAlign w:val="center"/>
          </w:tcPr>
          <w:p>
            <w:pPr>
              <w:spacing w:line="276" w:lineRule="auto"/>
              <w:rPr>
                <w:rFonts w:ascii="Times New Roman" w:hAnsi="Times New Roman" w:cs="Times New Roman"/>
              </w:rPr>
            </w:pPr>
            <w:r>
              <w:rPr>
                <w:rFonts w:hint="eastAsia" w:ascii="Times New Roman" w:hAnsi="Times New Roman" w:cs="Times New Roman"/>
              </w:rPr>
              <w:t>废机油由</w:t>
            </w:r>
            <w:r>
              <w:rPr>
                <w:rFonts w:ascii="Times New Roman" w:hAnsi="Times New Roman" w:cs="Times New Roman"/>
              </w:rPr>
              <w:t>太钢加工厂收集后送有资质单位处置。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8" w:type="dxa"/>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4</w:t>
            </w:r>
          </w:p>
        </w:tc>
        <w:tc>
          <w:tcPr>
            <w:tcW w:w="4008" w:type="dxa"/>
            <w:vAlign w:val="center"/>
          </w:tcPr>
          <w:p>
            <w:pPr>
              <w:spacing w:line="276" w:lineRule="auto"/>
              <w:rPr>
                <w:rFonts w:ascii="Times New Roman" w:hAnsi="Times New Roman" w:cs="Times New Roman"/>
              </w:rPr>
            </w:pPr>
            <w:r>
              <w:rPr>
                <w:rFonts w:hint="eastAsia" w:ascii="Times New Roman" w:hAnsi="Times New Roman" w:cs="Times New Roman"/>
              </w:rPr>
              <w:t>脱硫石膏由</w:t>
            </w:r>
            <w:r>
              <w:rPr>
                <w:rFonts w:ascii="Times New Roman" w:hAnsi="Times New Roman" w:cs="Times New Roman"/>
              </w:rPr>
              <w:t>太钢能源动力总厂石膏生产线生产为石膏粉后统一外售，全部综合利用。</w:t>
            </w:r>
          </w:p>
        </w:tc>
        <w:tc>
          <w:tcPr>
            <w:tcW w:w="4217" w:type="dxa"/>
            <w:vAlign w:val="center"/>
          </w:tcPr>
          <w:p>
            <w:pPr>
              <w:spacing w:line="276" w:lineRule="auto"/>
              <w:rPr>
                <w:rFonts w:ascii="Times New Roman" w:hAnsi="Times New Roman" w:cs="Times New Roman"/>
              </w:rPr>
            </w:pPr>
            <w:r>
              <w:rPr>
                <w:rFonts w:hint="eastAsia" w:ascii="Times New Roman" w:hAnsi="Times New Roman" w:cs="Times New Roman"/>
              </w:rPr>
              <w:t>脱硫石膏由</w:t>
            </w:r>
            <w:r>
              <w:rPr>
                <w:rFonts w:ascii="Times New Roman" w:hAnsi="Times New Roman" w:cs="Times New Roman"/>
              </w:rPr>
              <w:t>太钢能源动力总厂石膏生产线生产为石膏粉后统一外售，全部综合利用。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8" w:type="dxa"/>
            <w:vAlign w:val="center"/>
          </w:tcPr>
          <w:p>
            <w:pPr>
              <w:snapToGrid w:val="0"/>
              <w:jc w:val="center"/>
              <w:rPr>
                <w:rFonts w:ascii="Times New Roman" w:hAnsi="Times New Roman" w:eastAsia="宋体" w:cs="Times New Roman"/>
                <w:szCs w:val="21"/>
              </w:rPr>
            </w:pPr>
            <w:r>
              <w:rPr>
                <w:rFonts w:ascii="Times New Roman" w:hAnsi="Times New Roman" w:eastAsia="宋体" w:cs="Times New Roman"/>
                <w:szCs w:val="21"/>
              </w:rPr>
              <w:t>5</w:t>
            </w:r>
          </w:p>
        </w:tc>
        <w:tc>
          <w:tcPr>
            <w:tcW w:w="4008" w:type="dxa"/>
            <w:vAlign w:val="center"/>
          </w:tcPr>
          <w:p>
            <w:pPr>
              <w:spacing w:line="276" w:lineRule="auto"/>
              <w:rPr>
                <w:rFonts w:ascii="Times New Roman" w:hAnsi="Times New Roman" w:cs="Times New Roman"/>
              </w:rPr>
            </w:pPr>
            <w:r>
              <w:rPr>
                <w:rFonts w:ascii="Times New Roman" w:hAnsi="Times New Roman" w:cs="Times New Roman"/>
              </w:rPr>
              <w:t>更换的废催化剂由催化剂生产厂家统一回收。</w:t>
            </w:r>
          </w:p>
        </w:tc>
        <w:tc>
          <w:tcPr>
            <w:tcW w:w="4217" w:type="dxa"/>
            <w:vAlign w:val="center"/>
          </w:tcPr>
          <w:p>
            <w:pPr>
              <w:spacing w:line="276" w:lineRule="auto"/>
              <w:rPr>
                <w:rFonts w:ascii="Times New Roman" w:hAnsi="Times New Roman" w:cs="Times New Roman"/>
              </w:rPr>
            </w:pPr>
            <w:r>
              <w:rPr>
                <w:rFonts w:ascii="Times New Roman" w:hAnsi="Times New Roman" w:cs="Times New Roman"/>
              </w:rPr>
              <w:t>更换的废催化剂由催化剂生产厂家统一回收。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8" w:type="dxa"/>
            <w:vAlign w:val="center"/>
          </w:tcPr>
          <w:p>
            <w:pPr>
              <w:snapToGrid w:val="0"/>
              <w:jc w:val="center"/>
              <w:rPr>
                <w:rFonts w:ascii="Times New Roman" w:hAnsi="Times New Roman" w:eastAsia="宋体" w:cs="Times New Roman"/>
                <w:szCs w:val="21"/>
              </w:rPr>
            </w:pPr>
            <w:r>
              <w:rPr>
                <w:rFonts w:hint="eastAsia" w:ascii="Times New Roman" w:hAnsi="Times New Roman" w:eastAsia="宋体" w:cs="Times New Roman"/>
                <w:szCs w:val="21"/>
              </w:rPr>
              <w:t>6</w:t>
            </w:r>
          </w:p>
        </w:tc>
        <w:tc>
          <w:tcPr>
            <w:tcW w:w="4008" w:type="dxa"/>
            <w:vAlign w:val="center"/>
          </w:tcPr>
          <w:p>
            <w:pPr>
              <w:spacing w:line="276" w:lineRule="auto"/>
              <w:rPr>
                <w:rFonts w:ascii="Times New Roman" w:hAnsi="Times New Roman" w:cs="Times New Roman"/>
              </w:rPr>
            </w:pPr>
            <w:r>
              <w:rPr>
                <w:rFonts w:hint="eastAsia" w:ascii="Times New Roman" w:hAnsi="Times New Roman" w:cs="Times New Roman"/>
                <w:bCs/>
              </w:rPr>
              <w:t>生活垃圾</w:t>
            </w:r>
            <w:r>
              <w:rPr>
                <w:rFonts w:ascii="Times New Roman" w:hAnsi="Times New Roman" w:cs="Times New Roman"/>
                <w:bCs/>
              </w:rPr>
              <w:t>统一由公司拉运至环卫部门指定场所处置</w:t>
            </w:r>
            <w:r>
              <w:rPr>
                <w:rFonts w:hint="eastAsia" w:ascii="Times New Roman" w:hAnsi="Times New Roman" w:cs="Times New Roman"/>
                <w:bCs/>
              </w:rPr>
              <w:t>。</w:t>
            </w:r>
          </w:p>
        </w:tc>
        <w:tc>
          <w:tcPr>
            <w:tcW w:w="4217" w:type="dxa"/>
            <w:vAlign w:val="center"/>
          </w:tcPr>
          <w:p>
            <w:pPr>
              <w:spacing w:line="276" w:lineRule="auto"/>
              <w:rPr>
                <w:rFonts w:ascii="Times New Roman" w:hAnsi="Times New Roman" w:cs="Times New Roman"/>
              </w:rPr>
            </w:pPr>
            <w:r>
              <w:rPr>
                <w:rFonts w:hint="eastAsia" w:ascii="Times New Roman" w:hAnsi="Times New Roman" w:cs="Times New Roman"/>
                <w:bCs/>
              </w:rPr>
              <w:t>生活垃圾</w:t>
            </w:r>
            <w:r>
              <w:rPr>
                <w:rFonts w:ascii="Times New Roman" w:hAnsi="Times New Roman" w:cs="Times New Roman"/>
                <w:bCs/>
              </w:rPr>
              <w:t>统一由公司拉运至环卫部门指定场所处置</w:t>
            </w:r>
            <w:r>
              <w:rPr>
                <w:rFonts w:hint="eastAsia" w:ascii="Times New Roman" w:hAnsi="Times New Roman" w:cs="Times New Roman"/>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8" w:type="dxa"/>
            <w:vAlign w:val="center"/>
          </w:tcPr>
          <w:p>
            <w:pPr>
              <w:snapToGrid w:val="0"/>
              <w:jc w:val="center"/>
              <w:rPr>
                <w:rFonts w:ascii="Times New Roman" w:hAnsi="Times New Roman" w:eastAsia="宋体" w:cs="Times New Roman"/>
                <w:szCs w:val="21"/>
              </w:rPr>
            </w:pPr>
            <w:r>
              <w:rPr>
                <w:rFonts w:hint="eastAsia" w:ascii="Times New Roman" w:hAnsi="Times New Roman" w:eastAsia="宋体" w:cs="Times New Roman"/>
                <w:szCs w:val="21"/>
              </w:rPr>
              <w:t>7</w:t>
            </w:r>
          </w:p>
        </w:tc>
        <w:tc>
          <w:tcPr>
            <w:tcW w:w="4008" w:type="dxa"/>
            <w:vAlign w:val="center"/>
          </w:tcPr>
          <w:p>
            <w:pPr>
              <w:spacing w:line="276" w:lineRule="auto"/>
              <w:rPr>
                <w:rFonts w:ascii="Times New Roman" w:hAnsi="Times New Roman" w:cs="Times New Roman"/>
                <w:bCs/>
              </w:rPr>
            </w:pPr>
            <w:r>
              <w:rPr>
                <w:rFonts w:ascii="Times New Roman" w:hAnsi="Times New Roman" w:cs="Times New Roman"/>
              </w:rPr>
              <w:t>设低噪声设备，基础减震，厂房隔声；各类水泵泵体基础设橡胶垫，管道间采取柔性连接方式；各风机出口安装消声器。</w:t>
            </w:r>
          </w:p>
        </w:tc>
        <w:tc>
          <w:tcPr>
            <w:tcW w:w="4217" w:type="dxa"/>
            <w:vAlign w:val="center"/>
          </w:tcPr>
          <w:p>
            <w:pPr>
              <w:spacing w:line="276" w:lineRule="auto"/>
              <w:rPr>
                <w:rFonts w:ascii="Times New Roman" w:hAnsi="Times New Roman" w:cs="Times New Roman"/>
                <w:bCs/>
              </w:rPr>
            </w:pPr>
            <w:r>
              <w:rPr>
                <w:rFonts w:hint="eastAsia" w:ascii="Times New Roman" w:hAnsi="Times New Roman" w:cs="Times New Roman"/>
                <w:bCs/>
              </w:rPr>
              <w:t>通过</w:t>
            </w:r>
            <w:r>
              <w:rPr>
                <w:rFonts w:ascii="Times New Roman" w:hAnsi="Times New Roman" w:cs="Times New Roman"/>
                <w:bCs/>
              </w:rPr>
              <w:t>设低噪声设备，基础减震，厂房隔声；各类水泵泵体基础设橡胶垫，管道间采取柔性连接方式；各风机出口安装消声器</w:t>
            </w:r>
            <w:r>
              <w:rPr>
                <w:rFonts w:hint="eastAsia" w:ascii="Times New Roman" w:hAnsi="Times New Roman" w:cs="Times New Roman"/>
                <w:bCs/>
              </w:rPr>
              <w:t>等措施，厂界噪声满足</w:t>
            </w:r>
            <w:r>
              <w:rPr>
                <w:rFonts w:ascii="Times New Roman" w:hAnsi="Times New Roman" w:cs="Times New Roman"/>
                <w:bCs/>
              </w:rPr>
              <w:t>《工业企业厂界环境噪声排放标准》（GB12348-2008）3类标准。</w:t>
            </w:r>
          </w:p>
        </w:tc>
      </w:tr>
    </w:tbl>
    <w:p>
      <w:pPr>
        <w:pStyle w:val="59"/>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四、环境保护设施调试效果</w:t>
      </w:r>
    </w:p>
    <w:p>
      <w:pPr>
        <w:pStyle w:val="59"/>
        <w:snapToGrid w:val="0"/>
        <w:spacing w:before="0" w:beforeAutospacing="0" w:after="0" w:afterAutospacing="0" w:line="500" w:lineRule="exact"/>
        <w:ind w:firstLine="560" w:firstLineChars="200"/>
        <w:jc w:val="both"/>
        <w:outlineLvl w:val="1"/>
        <w:rPr>
          <w:rFonts w:ascii="Times New Roman" w:hAnsi="Times New Roman" w:cs="Times New Roman"/>
          <w:bCs/>
          <w:color w:val="000000"/>
          <w:kern w:val="2"/>
          <w:sz w:val="28"/>
          <w:szCs w:val="28"/>
        </w:rPr>
      </w:pPr>
      <w:r>
        <w:rPr>
          <w:rFonts w:ascii="Times New Roman" w:hAnsi="Times New Roman" w:cs="Times New Roman"/>
          <w:bCs/>
          <w:color w:val="000000"/>
          <w:kern w:val="2"/>
          <w:sz w:val="28"/>
          <w:szCs w:val="28"/>
        </w:rPr>
        <w:t>（一）环保设施处理效率</w:t>
      </w:r>
    </w:p>
    <w:p>
      <w:pPr>
        <w:adjustRightInd w:val="0"/>
        <w:snapToGrid w:val="0"/>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项目调试运行期间，各项环保设施均运行正常，环保设施运行符合环境影响报告表及其环评批复的要求。</w:t>
      </w:r>
    </w:p>
    <w:p>
      <w:pPr>
        <w:pStyle w:val="59"/>
        <w:snapToGrid w:val="0"/>
        <w:spacing w:before="0" w:beforeAutospacing="0" w:after="0" w:afterAutospacing="0" w:line="500" w:lineRule="exact"/>
        <w:ind w:firstLine="560" w:firstLineChars="200"/>
        <w:jc w:val="both"/>
        <w:outlineLvl w:val="1"/>
        <w:rPr>
          <w:rFonts w:ascii="Times New Roman" w:hAnsi="Times New Roman" w:cs="Times New Roman"/>
          <w:bCs/>
          <w:color w:val="000000"/>
          <w:kern w:val="2"/>
          <w:sz w:val="28"/>
          <w:szCs w:val="28"/>
        </w:rPr>
      </w:pPr>
      <w:r>
        <w:rPr>
          <w:rFonts w:ascii="Times New Roman" w:hAnsi="Times New Roman" w:cs="Times New Roman"/>
          <w:bCs/>
          <w:color w:val="000000"/>
          <w:kern w:val="2"/>
          <w:sz w:val="28"/>
          <w:szCs w:val="28"/>
        </w:rPr>
        <w:t>（二）污染物排放情况</w:t>
      </w:r>
    </w:p>
    <w:p>
      <w:pPr>
        <w:pStyle w:val="8"/>
        <w:snapToGrid w:val="0"/>
        <w:spacing w:line="500" w:lineRule="exact"/>
        <w:ind w:firstLine="560" w:firstLineChars="200"/>
        <w:rPr>
          <w:bCs/>
          <w:color w:val="000000"/>
          <w:sz w:val="28"/>
          <w:szCs w:val="28"/>
        </w:rPr>
      </w:pPr>
      <w:r>
        <w:rPr>
          <w:rFonts w:hint="eastAsia"/>
          <w:bCs/>
          <w:color w:val="000000"/>
          <w:sz w:val="28"/>
          <w:szCs w:val="28"/>
        </w:rPr>
        <w:t>1废气：本项目燃气锅炉</w:t>
      </w:r>
      <w:r>
        <w:rPr>
          <w:bCs/>
          <w:color w:val="000000"/>
          <w:sz w:val="28"/>
          <w:szCs w:val="28"/>
        </w:rPr>
        <w:t>燃烧煤气</w:t>
      </w:r>
      <w:r>
        <w:rPr>
          <w:rFonts w:hint="eastAsia"/>
          <w:bCs/>
          <w:color w:val="000000"/>
          <w:sz w:val="28"/>
          <w:szCs w:val="28"/>
        </w:rPr>
        <w:t>产生的</w:t>
      </w:r>
      <w:r>
        <w:rPr>
          <w:bCs/>
          <w:color w:val="000000"/>
          <w:sz w:val="28"/>
          <w:szCs w:val="28"/>
        </w:rPr>
        <w:t>烟气，</w:t>
      </w:r>
      <w:r>
        <w:rPr>
          <w:rFonts w:hint="eastAsia"/>
          <w:bCs/>
          <w:color w:val="000000"/>
          <w:sz w:val="28"/>
          <w:szCs w:val="28"/>
        </w:rPr>
        <w:t>经过脱硝系统和脱硫系统处理后，经60m高</w:t>
      </w:r>
      <w:r>
        <w:rPr>
          <w:bCs/>
          <w:color w:val="000000"/>
          <w:sz w:val="28"/>
          <w:szCs w:val="28"/>
        </w:rPr>
        <w:t>烟囱</w:t>
      </w:r>
      <w:r>
        <w:rPr>
          <w:rFonts w:hint="eastAsia"/>
          <w:bCs/>
          <w:color w:val="000000"/>
          <w:sz w:val="28"/>
          <w:szCs w:val="28"/>
        </w:rPr>
        <w:t>排放。本</w:t>
      </w:r>
      <w:r>
        <w:rPr>
          <w:rFonts w:hint="eastAsia"/>
          <w:sz w:val="24"/>
        </w:rPr>
        <w:t>次环保验收对脱硝系统进口、脱硫系统进、出口烟气分别</w:t>
      </w:r>
      <w:r>
        <w:rPr>
          <w:sz w:val="24"/>
        </w:rPr>
        <w:t>进行监测，</w:t>
      </w:r>
      <w:r>
        <w:rPr>
          <w:rFonts w:hint="eastAsia"/>
          <w:sz w:val="24"/>
        </w:rPr>
        <w:t>根据监测结果知，</w:t>
      </w:r>
      <w:r>
        <w:rPr>
          <w:rFonts w:hint="eastAsia"/>
          <w:bCs/>
          <w:color w:val="000000"/>
          <w:sz w:val="28"/>
          <w:szCs w:val="28"/>
        </w:rPr>
        <w:t>脱硫系统出口烟气中颗粒物折算浓度的范围为</w:t>
      </w:r>
      <w:r>
        <w:rPr>
          <w:bCs/>
          <w:color w:val="000000"/>
          <w:sz w:val="28"/>
          <w:szCs w:val="28"/>
        </w:rPr>
        <w:t>ND</w:t>
      </w:r>
      <w:r>
        <w:rPr>
          <w:rFonts w:hint="eastAsia"/>
          <w:bCs/>
          <w:color w:val="000000"/>
          <w:sz w:val="28"/>
          <w:szCs w:val="28"/>
        </w:rPr>
        <w:t>-1.4</w:t>
      </w:r>
      <w:r>
        <w:rPr>
          <w:bCs/>
          <w:color w:val="000000"/>
          <w:sz w:val="28"/>
          <w:szCs w:val="28"/>
        </w:rPr>
        <w:t>mg/m³</w:t>
      </w:r>
      <w:r>
        <w:rPr>
          <w:rFonts w:hint="eastAsia"/>
          <w:bCs/>
          <w:color w:val="000000"/>
          <w:sz w:val="28"/>
          <w:szCs w:val="28"/>
        </w:rPr>
        <w:t>，S</w:t>
      </w:r>
      <w:r>
        <w:rPr>
          <w:bCs/>
          <w:color w:val="000000"/>
          <w:sz w:val="28"/>
          <w:szCs w:val="28"/>
        </w:rPr>
        <w:t>O</w:t>
      </w:r>
      <w:r>
        <w:rPr>
          <w:rFonts w:hint="eastAsia"/>
          <w:bCs/>
          <w:color w:val="000000"/>
          <w:sz w:val="28"/>
          <w:szCs w:val="28"/>
          <w:vertAlign w:val="subscript"/>
        </w:rPr>
        <w:t>2</w:t>
      </w:r>
      <w:r>
        <w:rPr>
          <w:rFonts w:hint="eastAsia"/>
          <w:bCs/>
          <w:color w:val="000000"/>
          <w:sz w:val="28"/>
          <w:szCs w:val="28"/>
        </w:rPr>
        <w:t>折算浓度低于检出限，满足</w:t>
      </w:r>
      <w:r>
        <w:rPr>
          <w:bCs/>
          <w:color w:val="000000"/>
          <w:sz w:val="28"/>
          <w:szCs w:val="28"/>
        </w:rPr>
        <w:t>《关于推进实施钢铁行业超低排放的意见》附表2颗粒物＜10mg/m³</w:t>
      </w:r>
      <w:r>
        <w:rPr>
          <w:rFonts w:hint="eastAsia"/>
          <w:bCs/>
          <w:color w:val="000000"/>
          <w:sz w:val="28"/>
          <w:szCs w:val="28"/>
        </w:rPr>
        <w:t>、</w:t>
      </w:r>
      <w:r>
        <w:rPr>
          <w:bCs/>
          <w:color w:val="000000"/>
          <w:sz w:val="28"/>
          <w:szCs w:val="28"/>
        </w:rPr>
        <w:t>SO</w:t>
      </w:r>
      <w:r>
        <w:rPr>
          <w:bCs/>
          <w:color w:val="000000"/>
          <w:sz w:val="28"/>
          <w:szCs w:val="28"/>
          <w:vertAlign w:val="subscript"/>
        </w:rPr>
        <w:t>2</w:t>
      </w:r>
      <w:r>
        <w:rPr>
          <w:bCs/>
          <w:color w:val="000000"/>
          <w:sz w:val="28"/>
          <w:szCs w:val="28"/>
        </w:rPr>
        <w:t>浓度＜35mg/m³</w:t>
      </w:r>
      <w:r>
        <w:rPr>
          <w:rFonts w:hint="eastAsia"/>
          <w:bCs/>
          <w:color w:val="000000"/>
          <w:sz w:val="28"/>
          <w:szCs w:val="28"/>
        </w:rPr>
        <w:t>的标准限值要求。N</w:t>
      </w:r>
      <w:r>
        <w:rPr>
          <w:bCs/>
          <w:color w:val="000000"/>
          <w:sz w:val="28"/>
          <w:szCs w:val="28"/>
        </w:rPr>
        <w:t>Ox</w:t>
      </w:r>
      <w:r>
        <w:rPr>
          <w:rFonts w:hint="eastAsia"/>
          <w:bCs/>
          <w:color w:val="000000"/>
          <w:sz w:val="28"/>
          <w:szCs w:val="28"/>
        </w:rPr>
        <w:t>折算浓度的范围为14-20</w:t>
      </w:r>
      <w:r>
        <w:rPr>
          <w:bCs/>
          <w:color w:val="000000"/>
          <w:sz w:val="28"/>
          <w:szCs w:val="28"/>
        </w:rPr>
        <w:t>mg/m³</w:t>
      </w:r>
      <w:r>
        <w:rPr>
          <w:rFonts w:hint="eastAsia"/>
          <w:bCs/>
          <w:color w:val="000000"/>
          <w:sz w:val="28"/>
          <w:szCs w:val="28"/>
        </w:rPr>
        <w:t>，满足</w:t>
      </w:r>
      <w:r>
        <w:rPr>
          <w:bCs/>
          <w:color w:val="000000"/>
          <w:sz w:val="28"/>
          <w:szCs w:val="28"/>
        </w:rPr>
        <w:t>《关于推进生物质锅炉超低排放改造和燃气锅炉低氮改造的通知》（并环改办发[2018]18号）中超低氮排放浓度NOx＜30mg/m³</w:t>
      </w:r>
      <w:r>
        <w:rPr>
          <w:rFonts w:hint="eastAsia"/>
          <w:bCs/>
          <w:color w:val="000000"/>
          <w:sz w:val="28"/>
          <w:szCs w:val="28"/>
        </w:rPr>
        <w:t>的</w:t>
      </w:r>
      <w:r>
        <w:rPr>
          <w:bCs/>
          <w:color w:val="000000"/>
          <w:sz w:val="28"/>
          <w:szCs w:val="28"/>
        </w:rPr>
        <w:t>标准限值</w:t>
      </w:r>
      <w:r>
        <w:rPr>
          <w:rFonts w:hint="eastAsia"/>
          <w:bCs/>
          <w:color w:val="000000"/>
          <w:sz w:val="28"/>
          <w:szCs w:val="28"/>
        </w:rPr>
        <w:t>要求。氨折算浓度的范围为1.17-1.72</w:t>
      </w:r>
      <w:r>
        <w:rPr>
          <w:bCs/>
          <w:color w:val="000000"/>
          <w:sz w:val="28"/>
          <w:szCs w:val="28"/>
        </w:rPr>
        <w:t>mg/m³</w:t>
      </w:r>
      <w:r>
        <w:rPr>
          <w:rFonts w:hint="eastAsia"/>
          <w:bCs/>
          <w:color w:val="000000"/>
          <w:sz w:val="28"/>
          <w:szCs w:val="28"/>
        </w:rPr>
        <w:t>，满足</w:t>
      </w:r>
      <w:r>
        <w:rPr>
          <w:bCs/>
          <w:color w:val="000000"/>
          <w:sz w:val="28"/>
          <w:szCs w:val="28"/>
        </w:rPr>
        <w:t>《关于印发山西省打赢蓝天保卫战2020年决战计划的通知》中SCR工艺脱硝设施氨逃逸指标小于2.5mg/m³</w:t>
      </w:r>
      <w:r>
        <w:rPr>
          <w:rFonts w:hint="eastAsia"/>
          <w:bCs/>
          <w:color w:val="000000"/>
          <w:sz w:val="28"/>
          <w:szCs w:val="28"/>
        </w:rPr>
        <w:t>的标准限值要求。</w:t>
      </w:r>
    </w:p>
    <w:p>
      <w:pPr>
        <w:pStyle w:val="8"/>
        <w:snapToGrid w:val="0"/>
        <w:spacing w:line="500" w:lineRule="exact"/>
        <w:ind w:firstLine="560" w:firstLineChars="200"/>
        <w:rPr>
          <w:bCs/>
          <w:sz w:val="28"/>
          <w:szCs w:val="28"/>
        </w:rPr>
      </w:pPr>
      <w:r>
        <w:rPr>
          <w:bCs/>
          <w:sz w:val="28"/>
          <w:szCs w:val="28"/>
        </w:rPr>
        <w:t>4、厂界噪声</w:t>
      </w:r>
    </w:p>
    <w:p>
      <w:pPr>
        <w:pStyle w:val="64"/>
        <w:ind w:firstLine="560" w:firstLineChars="200"/>
        <w:rPr>
          <w:bCs/>
          <w:color w:val="000000"/>
        </w:rPr>
      </w:pPr>
      <w:r>
        <w:rPr>
          <w:bCs/>
          <w:color w:val="000000"/>
        </w:rPr>
        <w:t>厂界噪声验收监测结果表明：监测期间厂界噪声范围为昼间：</w:t>
      </w:r>
      <w:r>
        <w:rPr>
          <w:rFonts w:hint="eastAsia"/>
          <w:bCs/>
          <w:color w:val="000000"/>
        </w:rPr>
        <w:t>59.3-64.3</w:t>
      </w:r>
      <w:r>
        <w:rPr>
          <w:bCs/>
          <w:color w:val="000000"/>
        </w:rPr>
        <w:t>dB（A），夜间噪声范围为：</w:t>
      </w:r>
      <w:r>
        <w:rPr>
          <w:rFonts w:hint="eastAsia"/>
          <w:bCs/>
          <w:color w:val="000000"/>
        </w:rPr>
        <w:t>51.3-54.5</w:t>
      </w:r>
      <w:r>
        <w:rPr>
          <w:bCs/>
          <w:color w:val="000000"/>
        </w:rPr>
        <w:t>dB（A）</w:t>
      </w:r>
      <w:r>
        <w:rPr>
          <w:rFonts w:hint="eastAsia"/>
          <w:bCs/>
          <w:color w:val="000000"/>
        </w:rPr>
        <w:t>。</w:t>
      </w:r>
      <w:r>
        <w:rPr>
          <w:bCs/>
          <w:color w:val="000000"/>
        </w:rPr>
        <w:t>监测结果达到《工业企业厂界环境噪声排放标准》（GB12348-2008）3类标准。</w:t>
      </w:r>
    </w:p>
    <w:p>
      <w:pPr>
        <w:pStyle w:val="59"/>
        <w:snapToGrid w:val="0"/>
        <w:spacing w:before="0" w:beforeAutospacing="0" w:after="0" w:afterAutospacing="0" w:line="500" w:lineRule="exact"/>
        <w:ind w:firstLine="560" w:firstLineChars="200"/>
        <w:jc w:val="both"/>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5、固体废物</w:t>
      </w:r>
    </w:p>
    <w:p>
      <w:pPr>
        <w:pStyle w:val="8"/>
        <w:snapToGrid w:val="0"/>
        <w:spacing w:line="500" w:lineRule="exact"/>
        <w:ind w:firstLine="560" w:firstLineChars="200"/>
        <w:rPr>
          <w:bCs/>
          <w:color w:val="000000"/>
          <w:sz w:val="28"/>
          <w:szCs w:val="28"/>
        </w:rPr>
      </w:pPr>
      <w:r>
        <w:rPr>
          <w:bCs/>
          <w:color w:val="000000"/>
          <w:sz w:val="28"/>
          <w:szCs w:val="28"/>
        </w:rPr>
        <w:t>（1）一般固体废弃物：</w:t>
      </w:r>
    </w:p>
    <w:p>
      <w:pPr>
        <w:pStyle w:val="64"/>
        <w:ind w:firstLine="560" w:firstLineChars="200"/>
        <w:rPr>
          <w:bCs/>
        </w:rPr>
      </w:pPr>
      <w:r>
        <w:rPr>
          <w:rFonts w:hint="eastAsia"/>
          <w:bCs/>
        </w:rPr>
        <w:t>本项目生产过程中产生的固体废物脱硫石膏由太钢能源动力总厂石膏生产线生产为石膏粉后统一外售，全部综合利用。锅炉烟气脱硝SCR系统更换的废催化剂全部由催化剂生产厂家回收利用。</w:t>
      </w:r>
    </w:p>
    <w:p>
      <w:pPr>
        <w:pStyle w:val="64"/>
        <w:ind w:firstLine="560" w:firstLineChars="200"/>
        <w:rPr>
          <w:bCs/>
        </w:rPr>
      </w:pPr>
      <w:r>
        <w:rPr>
          <w:rFonts w:hint="eastAsia"/>
          <w:bCs/>
        </w:rPr>
        <w:t>本项目产生的生活垃圾，统一收集后由当地环卫部门统一处理</w:t>
      </w:r>
      <w:r>
        <w:rPr>
          <w:bCs/>
        </w:rPr>
        <w:t>。</w:t>
      </w:r>
    </w:p>
    <w:p>
      <w:pPr>
        <w:pStyle w:val="8"/>
        <w:snapToGrid w:val="0"/>
        <w:spacing w:line="500" w:lineRule="exact"/>
        <w:ind w:firstLine="560" w:firstLineChars="200"/>
        <w:rPr>
          <w:bCs/>
          <w:sz w:val="28"/>
          <w:szCs w:val="28"/>
        </w:rPr>
      </w:pPr>
      <w:r>
        <w:rPr>
          <w:bCs/>
          <w:sz w:val="28"/>
          <w:szCs w:val="28"/>
        </w:rPr>
        <w:t>（2）危险固体废弃物：</w:t>
      </w:r>
    </w:p>
    <w:p>
      <w:pPr>
        <w:pStyle w:val="8"/>
        <w:snapToGrid w:val="0"/>
        <w:spacing w:line="500" w:lineRule="exact"/>
        <w:ind w:firstLine="560" w:firstLineChars="200"/>
        <w:rPr>
          <w:bCs/>
          <w:sz w:val="28"/>
          <w:szCs w:val="28"/>
        </w:rPr>
      </w:pPr>
      <w:r>
        <w:rPr>
          <w:bCs/>
          <w:sz w:val="28"/>
          <w:szCs w:val="28"/>
        </w:rPr>
        <w:t>废机油</w:t>
      </w:r>
      <w:r>
        <w:rPr>
          <w:rFonts w:hint="eastAsia"/>
          <w:bCs/>
          <w:sz w:val="28"/>
          <w:szCs w:val="28"/>
        </w:rPr>
        <w:t>由太钢加工厂统一收集后送有资质单位处理。</w:t>
      </w:r>
    </w:p>
    <w:p>
      <w:pPr>
        <w:pStyle w:val="59"/>
        <w:snapToGrid w:val="0"/>
        <w:spacing w:before="0" w:beforeAutospacing="0" w:after="0" w:afterAutospacing="0" w:line="500" w:lineRule="exact"/>
        <w:ind w:firstLine="562" w:firstLineChars="200"/>
        <w:jc w:val="both"/>
        <w:rPr>
          <w:rFonts w:ascii="Times New Roman" w:hAnsi="Times New Roman" w:cs="Times New Roman"/>
          <w:b/>
          <w:color w:val="000000"/>
          <w:kern w:val="2"/>
          <w:sz w:val="28"/>
          <w:szCs w:val="28"/>
        </w:rPr>
      </w:pPr>
      <w:r>
        <w:rPr>
          <w:rFonts w:ascii="Times New Roman" w:hAnsi="Times New Roman" w:cs="Times New Roman"/>
          <w:b/>
          <w:color w:val="000000"/>
          <w:kern w:val="2"/>
          <w:sz w:val="28"/>
          <w:szCs w:val="28"/>
        </w:rPr>
        <w:t>五、污染物排放总量</w:t>
      </w:r>
    </w:p>
    <w:p>
      <w:pPr>
        <w:pStyle w:val="8"/>
        <w:snapToGrid w:val="0"/>
        <w:spacing w:line="500" w:lineRule="exact"/>
        <w:ind w:firstLine="560" w:firstLineChars="200"/>
        <w:rPr>
          <w:bCs/>
          <w:color w:val="auto"/>
          <w:sz w:val="28"/>
          <w:szCs w:val="28"/>
        </w:rPr>
      </w:pPr>
      <w:r>
        <w:rPr>
          <w:bCs/>
          <w:color w:val="auto"/>
          <w:sz w:val="28"/>
          <w:szCs w:val="28"/>
        </w:rPr>
        <w:t>经校核，本项目</w:t>
      </w:r>
      <w:r>
        <w:rPr>
          <w:rFonts w:hint="eastAsia"/>
          <w:bCs/>
          <w:color w:val="auto"/>
          <w:sz w:val="28"/>
          <w:szCs w:val="28"/>
        </w:rPr>
        <w:t>颗粒物</w:t>
      </w:r>
      <w:r>
        <w:rPr>
          <w:bCs/>
          <w:color w:val="auto"/>
          <w:sz w:val="28"/>
          <w:szCs w:val="28"/>
        </w:rPr>
        <w:t>排放量为</w:t>
      </w:r>
      <w:r>
        <w:rPr>
          <w:rFonts w:hint="eastAsia"/>
          <w:bCs/>
          <w:color w:val="auto"/>
          <w:sz w:val="28"/>
          <w:szCs w:val="28"/>
        </w:rPr>
        <w:t>2.92</w:t>
      </w:r>
      <w:r>
        <w:rPr>
          <w:bCs/>
          <w:color w:val="auto"/>
          <w:sz w:val="28"/>
          <w:szCs w:val="28"/>
        </w:rPr>
        <w:t>t/a，二氧化硫排放量为3.37t/a，氮氧化物排放量为</w:t>
      </w:r>
      <w:r>
        <w:rPr>
          <w:rFonts w:hint="eastAsia"/>
          <w:bCs/>
          <w:color w:val="auto"/>
          <w:sz w:val="28"/>
          <w:szCs w:val="28"/>
        </w:rPr>
        <w:t>40.48</w:t>
      </w:r>
      <w:r>
        <w:rPr>
          <w:bCs/>
          <w:color w:val="auto"/>
          <w:sz w:val="28"/>
          <w:szCs w:val="28"/>
        </w:rPr>
        <w:t>t/a，</w:t>
      </w:r>
      <w:r>
        <w:rPr>
          <w:rFonts w:hint="eastAsia"/>
          <w:bCs/>
          <w:color w:val="auto"/>
          <w:sz w:val="28"/>
          <w:szCs w:val="28"/>
          <w:lang w:eastAsia="zh-CN"/>
        </w:rPr>
        <w:t>满足环评</w:t>
      </w:r>
      <w:r>
        <w:rPr>
          <w:bCs/>
          <w:color w:val="auto"/>
          <w:sz w:val="28"/>
          <w:szCs w:val="28"/>
        </w:rPr>
        <w:t>核定的</w:t>
      </w:r>
      <w:r>
        <w:rPr>
          <w:rFonts w:hint="eastAsia"/>
          <w:bCs/>
          <w:color w:val="auto"/>
          <w:sz w:val="28"/>
          <w:szCs w:val="28"/>
        </w:rPr>
        <w:t>颗粒物</w:t>
      </w:r>
      <w:r>
        <w:rPr>
          <w:rFonts w:hint="eastAsia"/>
          <w:bCs/>
          <w:color w:val="auto"/>
          <w:sz w:val="28"/>
          <w:szCs w:val="28"/>
          <w:lang w:val="en-US" w:eastAsia="zh-CN"/>
        </w:rPr>
        <w:t>13.5</w:t>
      </w:r>
      <w:r>
        <w:rPr>
          <w:bCs/>
          <w:color w:val="auto"/>
          <w:sz w:val="28"/>
          <w:szCs w:val="28"/>
        </w:rPr>
        <w:t>吨/年、</w:t>
      </w:r>
      <w:bookmarkStart w:id="7" w:name="_Hlk38827754"/>
      <w:r>
        <w:rPr>
          <w:bCs/>
          <w:color w:val="auto"/>
          <w:sz w:val="28"/>
          <w:szCs w:val="28"/>
        </w:rPr>
        <w:t>二氧化硫</w:t>
      </w:r>
      <w:bookmarkEnd w:id="7"/>
      <w:r>
        <w:rPr>
          <w:rFonts w:hint="eastAsia"/>
          <w:bCs/>
          <w:color w:val="auto"/>
          <w:sz w:val="28"/>
          <w:szCs w:val="28"/>
          <w:lang w:val="en-US" w:eastAsia="zh-CN"/>
        </w:rPr>
        <w:t>673.48</w:t>
      </w:r>
      <w:r>
        <w:rPr>
          <w:bCs/>
          <w:color w:val="auto"/>
          <w:sz w:val="28"/>
          <w:szCs w:val="28"/>
        </w:rPr>
        <w:t>吨/年、氮氧化物</w:t>
      </w:r>
      <w:r>
        <w:rPr>
          <w:rFonts w:hint="eastAsia"/>
          <w:bCs/>
          <w:color w:val="auto"/>
          <w:sz w:val="28"/>
          <w:szCs w:val="28"/>
          <w:lang w:val="en-US" w:eastAsia="zh-CN"/>
        </w:rPr>
        <w:t>80.98</w:t>
      </w:r>
      <w:r>
        <w:rPr>
          <w:bCs/>
          <w:color w:val="auto"/>
          <w:sz w:val="28"/>
          <w:szCs w:val="28"/>
        </w:rPr>
        <w:t>吨/年</w:t>
      </w:r>
      <w:r>
        <w:rPr>
          <w:rFonts w:hint="eastAsia"/>
          <w:bCs/>
          <w:color w:val="auto"/>
          <w:sz w:val="28"/>
          <w:szCs w:val="28"/>
        </w:rPr>
        <w:t>的</w:t>
      </w:r>
      <w:r>
        <w:rPr>
          <w:bCs/>
          <w:color w:val="auto"/>
          <w:sz w:val="28"/>
          <w:szCs w:val="28"/>
        </w:rPr>
        <w:t>总量控制指标。</w:t>
      </w:r>
    </w:p>
    <w:p>
      <w:pPr>
        <w:pStyle w:val="59"/>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六、工程建设对环境的影响</w:t>
      </w:r>
    </w:p>
    <w:p>
      <w:pPr>
        <w:pStyle w:val="59"/>
        <w:snapToGrid w:val="0"/>
        <w:spacing w:before="0" w:beforeAutospacing="0" w:after="0" w:afterAutospacing="0"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项目生产废水统一处理利用不外排；各大气污染物排放源采取有效措施净化；产噪设备采取隔声、降噪等措施控制；各类固废采取相应处置措施。据验收监测结果可知，各污染物满足达标排放，周围环境质量可达到验收执行标准。工程建设对周围环境产生的影响较小。</w:t>
      </w:r>
    </w:p>
    <w:p>
      <w:pPr>
        <w:pStyle w:val="59"/>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r>
        <w:rPr>
          <w:rFonts w:ascii="Times New Roman" w:hAnsi="Times New Roman" w:cs="Times New Roman"/>
          <w:b/>
          <w:color w:val="000000"/>
          <w:sz w:val="28"/>
          <w:szCs w:val="28"/>
        </w:rPr>
        <w:t>七、验收结论</w:t>
      </w:r>
    </w:p>
    <w:p>
      <w:pPr>
        <w:adjustRightInd w:val="0"/>
        <w:snapToGrid w:val="0"/>
        <w:spacing w:line="500" w:lineRule="exact"/>
        <w:ind w:firstLine="560" w:firstLineChars="200"/>
        <w:rPr>
          <w:rFonts w:ascii="Times New Roman" w:hAnsi="Times New Roman" w:cs="Times New Roman"/>
          <w:bCs/>
          <w:color w:val="000000"/>
          <w:sz w:val="28"/>
          <w:szCs w:val="28"/>
        </w:rPr>
      </w:pPr>
      <w:bookmarkStart w:id="8" w:name="_Hlk38860454"/>
      <w:r>
        <w:rPr>
          <w:rFonts w:ascii="Times New Roman" w:hAnsi="Times New Roman" w:cs="Times New Roman"/>
          <w:color w:val="000000"/>
          <w:kern w:val="0"/>
          <w:sz w:val="28"/>
          <w:szCs w:val="28"/>
        </w:rPr>
        <w:t>山西太钢不锈钢股份有限公司</w:t>
      </w:r>
      <w:bookmarkEnd w:id="8"/>
      <w:r>
        <w:rPr>
          <w:rFonts w:hint="eastAsia" w:ascii="Times New Roman" w:hAnsi="Times New Roman" w:cs="Times New Roman"/>
          <w:kern w:val="0"/>
          <w:sz w:val="28"/>
          <w:szCs w:val="28"/>
        </w:rPr>
        <w:t>煤气锅炉升级改造项目</w:t>
      </w:r>
      <w:r>
        <w:rPr>
          <w:rFonts w:ascii="Times New Roman" w:hAnsi="Times New Roman" w:cs="Times New Roman"/>
          <w:color w:val="000000"/>
          <w:kern w:val="0"/>
          <w:sz w:val="28"/>
          <w:szCs w:val="28"/>
        </w:rPr>
        <w:t>进行了环境影响评价，报告表经</w:t>
      </w:r>
      <w:r>
        <w:rPr>
          <w:rFonts w:hint="eastAsia" w:ascii="Times New Roman" w:hAnsi="Times New Roman" w:cs="Times New Roman"/>
          <w:sz w:val="28"/>
          <w:szCs w:val="28"/>
        </w:rPr>
        <w:t>太原市环境保护局尖草坪分局</w:t>
      </w:r>
      <w:r>
        <w:rPr>
          <w:rFonts w:ascii="Times New Roman" w:hAnsi="Times New Roman" w:cs="Times New Roman"/>
          <w:bCs/>
          <w:color w:val="000000"/>
          <w:sz w:val="28"/>
          <w:szCs w:val="28"/>
        </w:rPr>
        <w:t>批复。项目基本按照环评及其批复要求进行了建设。验收监测结果表明，污染物可以做到达标排放，符合总量控制指标要求，不存在国家规定的验收不合格情形。验收组认为，本项目竣工环境保护验收为基本合格。</w:t>
      </w:r>
    </w:p>
    <w:p>
      <w:pPr>
        <w:pStyle w:val="59"/>
        <w:snapToGrid w:val="0"/>
        <w:spacing w:before="0" w:beforeAutospacing="0" w:after="0" w:afterAutospacing="0" w:line="500" w:lineRule="exact"/>
        <w:ind w:left="562"/>
        <w:jc w:val="both"/>
        <w:outlineLvl w:val="0"/>
        <w:rPr>
          <w:rFonts w:ascii="Times New Roman" w:hAnsi="Times New Roman" w:cs="Times New Roman"/>
          <w:b/>
          <w:color w:val="000000"/>
          <w:sz w:val="28"/>
          <w:szCs w:val="28"/>
        </w:rPr>
      </w:pPr>
      <w:r>
        <w:rPr>
          <w:rFonts w:hint="eastAsia" w:ascii="Times New Roman" w:hAnsi="Times New Roman" w:cs="Times New Roman"/>
          <w:b/>
          <w:color w:val="000000"/>
          <w:sz w:val="28"/>
          <w:szCs w:val="28"/>
        </w:rPr>
        <w:t>八、</w:t>
      </w:r>
      <w:r>
        <w:rPr>
          <w:rFonts w:ascii="Times New Roman" w:hAnsi="Times New Roman" w:cs="Times New Roman"/>
          <w:b/>
          <w:color w:val="000000"/>
          <w:sz w:val="28"/>
          <w:szCs w:val="28"/>
        </w:rPr>
        <w:t>后续要求</w:t>
      </w:r>
    </w:p>
    <w:p>
      <w:pPr>
        <w:pStyle w:val="60"/>
        <w:widowControl/>
        <w:adjustRightInd w:val="0"/>
        <w:snapToGrid w:val="0"/>
        <w:spacing w:line="500" w:lineRule="exact"/>
        <w:ind w:firstLine="560"/>
        <w:rPr>
          <w:rFonts w:ascii="Times New Roman" w:hAnsi="Times New Roman" w:cs="Times New Roman"/>
          <w:sz w:val="28"/>
          <w:szCs w:val="28"/>
        </w:rPr>
      </w:pPr>
      <w:r>
        <w:rPr>
          <w:rFonts w:ascii="Times New Roman" w:hAnsi="Times New Roman" w:cs="Times New Roman"/>
          <w:sz w:val="28"/>
          <w:szCs w:val="28"/>
        </w:rPr>
        <w:t>加强环保设施的运行管理，设立运行台账，定期维修，确保各环节的污染物稳定达标排放。</w:t>
      </w:r>
    </w:p>
    <w:p>
      <w:pPr>
        <w:widowControl/>
        <w:adjustRightInd w:val="0"/>
        <w:snapToGrid w:val="0"/>
        <w:spacing w:line="500" w:lineRule="exact"/>
        <w:ind w:firstLine="562" w:firstLineChars="200"/>
        <w:rPr>
          <w:rFonts w:ascii="Times New Roman" w:hAnsi="Times New Roman" w:cs="Times New Roman"/>
          <w:b/>
          <w:sz w:val="28"/>
          <w:szCs w:val="28"/>
        </w:rPr>
      </w:pPr>
      <w:r>
        <w:rPr>
          <w:rFonts w:hint="eastAsia" w:ascii="Times New Roman" w:hAnsi="Times New Roman" w:cs="Times New Roman"/>
          <w:b/>
          <w:sz w:val="28"/>
          <w:szCs w:val="28"/>
        </w:rPr>
        <w:t>九、验收人员信息</w:t>
      </w:r>
    </w:p>
    <w:p>
      <w:pPr>
        <w:pStyle w:val="60"/>
        <w:widowControl/>
        <w:adjustRightInd w:val="0"/>
        <w:snapToGrid w:val="0"/>
        <w:spacing w:line="500" w:lineRule="exact"/>
        <w:ind w:firstLine="560"/>
        <w:rPr>
          <w:rFonts w:ascii="Times New Roman" w:hAnsi="Times New Roman" w:cs="Times New Roman"/>
          <w:sz w:val="28"/>
          <w:szCs w:val="28"/>
        </w:rPr>
      </w:pPr>
      <w:r>
        <w:rPr>
          <w:rFonts w:hint="eastAsia" w:ascii="Times New Roman" w:hAnsi="Times New Roman" w:cs="Times New Roman"/>
          <w:sz w:val="28"/>
          <w:szCs w:val="28"/>
        </w:rPr>
        <w:t>见附表。</w:t>
      </w:r>
      <w:bookmarkStart w:id="9" w:name="_GoBack"/>
      <w:bookmarkEnd w:id="9"/>
    </w:p>
    <w:p>
      <w:pPr>
        <w:pStyle w:val="60"/>
        <w:widowControl/>
        <w:adjustRightInd w:val="0"/>
        <w:snapToGrid w:val="0"/>
        <w:spacing w:line="500" w:lineRule="exact"/>
        <w:ind w:firstLine="560"/>
        <w:rPr>
          <w:rFonts w:ascii="Times New Roman" w:hAnsi="Times New Roman" w:cs="Times New Roman"/>
          <w:sz w:val="28"/>
          <w:szCs w:val="28"/>
        </w:rPr>
      </w:pPr>
    </w:p>
    <w:p>
      <w:pPr>
        <w:pStyle w:val="60"/>
        <w:widowControl/>
        <w:adjustRightInd w:val="0"/>
        <w:snapToGrid w:val="0"/>
        <w:spacing w:line="500" w:lineRule="exact"/>
        <w:ind w:firstLine="560"/>
        <w:rPr>
          <w:rFonts w:ascii="Times New Roman" w:hAnsi="Times New Roman" w:cs="Times New Roman"/>
          <w:sz w:val="28"/>
          <w:szCs w:val="28"/>
        </w:rPr>
      </w:pPr>
      <w:r>
        <w:rPr>
          <w:rFonts w:hint="eastAsia" w:ascii="Times New Roman" w:hAnsi="Times New Roman" w:cs="Times New Roman"/>
          <w:sz w:val="28"/>
          <w:szCs w:val="28"/>
        </w:rPr>
        <w:t xml:space="preserve">                                          2021年9月29日</w:t>
      </w:r>
    </w:p>
    <w:p>
      <w:pPr>
        <w:pStyle w:val="59"/>
        <w:spacing w:before="0" w:beforeAutospacing="0" w:after="0" w:afterAutospacing="0" w:line="520" w:lineRule="exact"/>
        <w:ind w:firstLine="560" w:firstLineChars="200"/>
        <w:jc w:val="both"/>
        <w:rPr>
          <w:rFonts w:ascii="Times New Roman" w:hAnsi="Times New Roman" w:cs="Times New Roman"/>
          <w:sz w:val="28"/>
          <w:szCs w:val="28"/>
        </w:rPr>
      </w:pPr>
    </w:p>
    <w:sectPr>
      <w:pgSz w:w="11906" w:h="16838"/>
      <w:pgMar w:top="1418" w:right="1588" w:bottom="1418" w:left="1701" w:header="907" w:footer="1021"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Arial Unicode MS">
    <w:altName w:val="宋体"/>
    <w:panose1 w:val="020B0604020202020204"/>
    <w:charset w:val="86"/>
    <w:family w:val="auto"/>
    <w:pitch w:val="default"/>
    <w:sig w:usb0="F7FFAFFF" w:usb1="E9DFFFFF" w:usb2="0000003F" w:usb3="00000000" w:csb0="003F01FF" w:csb1="00000000"/>
  </w:font>
  <w:font w:name="PMingLiU">
    <w:panose1 w:val="02020500000000000000"/>
    <w:charset w:val="88"/>
    <w:family w:val="auto"/>
    <w:pitch w:val="default"/>
    <w:sig w:usb0="A00002FF" w:usb1="28CFFCFA" w:usb2="00000016" w:usb3="00000000" w:csb0="00100001" w:csb1="00000000"/>
  </w:font>
  <w:font w:name="宋体-方正超大字符集">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auto"/>
    <w:pitch w:val="default"/>
    <w:sig w:usb0="00000000"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4"/>
      <w:framePr w:wrap="around" w:vAnchor="text" w:hAnchor="margin" w:xAlign="center" w:y="1"/>
      <w:rPr>
        <w:rStyle w:val="66"/>
        <w:rFonts w:ascii="Times New Roman" w:hAnsi="Times New Roman" w:cs="Times New Roman"/>
      </w:rPr>
    </w:pPr>
    <w:r>
      <w:rPr>
        <w:rFonts w:ascii="Times New Roman" w:hAnsi="Times New Roman" w:cs="Times New Roman"/>
      </w:rPr>
      <w:fldChar w:fldCharType="begin"/>
    </w:r>
    <w:r>
      <w:rPr>
        <w:rStyle w:val="66"/>
        <w:rFonts w:ascii="Times New Roman" w:hAnsi="Times New Roman" w:cs="Times New Roman"/>
      </w:rPr>
      <w:instrText xml:space="preserve">PAGE  </w:instrText>
    </w:r>
    <w:r>
      <w:rPr>
        <w:rFonts w:ascii="Times New Roman" w:hAnsi="Times New Roman" w:cs="Times New Roman"/>
      </w:rPr>
      <w:fldChar w:fldCharType="separate"/>
    </w:r>
    <w:r>
      <w:rPr>
        <w:rStyle w:val="66"/>
        <w:rFonts w:ascii="Times New Roman" w:hAnsi="Times New Roman" w:cs="Times New Roman"/>
      </w:rPr>
      <w:t>10</w:t>
    </w:r>
    <w:r>
      <w:rPr>
        <w:rFonts w:ascii="Times New Roman" w:hAnsi="Times New Roman" w:cs="Times New Roman"/>
      </w:rPr>
      <w:fldChar w:fldCharType="end"/>
    </w:r>
  </w:p>
  <w:p>
    <w:pPr>
      <w:pStyle w:val="1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8F363E"/>
    <w:rsid w:val="0000473B"/>
    <w:rsid w:val="0001384F"/>
    <w:rsid w:val="00021A86"/>
    <w:rsid w:val="000326B5"/>
    <w:rsid w:val="00035E40"/>
    <w:rsid w:val="00037630"/>
    <w:rsid w:val="00044CF5"/>
    <w:rsid w:val="00047464"/>
    <w:rsid w:val="00050165"/>
    <w:rsid w:val="000507DF"/>
    <w:rsid w:val="00061F18"/>
    <w:rsid w:val="00066E43"/>
    <w:rsid w:val="00071976"/>
    <w:rsid w:val="000A31D5"/>
    <w:rsid w:val="00107B08"/>
    <w:rsid w:val="00114EC8"/>
    <w:rsid w:val="00126C68"/>
    <w:rsid w:val="0013317C"/>
    <w:rsid w:val="0016411D"/>
    <w:rsid w:val="00173589"/>
    <w:rsid w:val="00180E87"/>
    <w:rsid w:val="0018468E"/>
    <w:rsid w:val="00194D9F"/>
    <w:rsid w:val="001A2FF8"/>
    <w:rsid w:val="001B515C"/>
    <w:rsid w:val="001C1712"/>
    <w:rsid w:val="001C2896"/>
    <w:rsid w:val="001F4571"/>
    <w:rsid w:val="001F4B69"/>
    <w:rsid w:val="00223A4A"/>
    <w:rsid w:val="00224850"/>
    <w:rsid w:val="00225172"/>
    <w:rsid w:val="002307B3"/>
    <w:rsid w:val="00232B9D"/>
    <w:rsid w:val="00242A19"/>
    <w:rsid w:val="00252851"/>
    <w:rsid w:val="00252BE6"/>
    <w:rsid w:val="0025751C"/>
    <w:rsid w:val="0026055B"/>
    <w:rsid w:val="00273AE9"/>
    <w:rsid w:val="00277FD4"/>
    <w:rsid w:val="002951D1"/>
    <w:rsid w:val="00297A4E"/>
    <w:rsid w:val="002C65BE"/>
    <w:rsid w:val="002D31E4"/>
    <w:rsid w:val="002F468A"/>
    <w:rsid w:val="00301DEB"/>
    <w:rsid w:val="003135A2"/>
    <w:rsid w:val="003229B0"/>
    <w:rsid w:val="003313AF"/>
    <w:rsid w:val="0033781A"/>
    <w:rsid w:val="0036031B"/>
    <w:rsid w:val="003637AD"/>
    <w:rsid w:val="00382FBC"/>
    <w:rsid w:val="00393D20"/>
    <w:rsid w:val="003963DA"/>
    <w:rsid w:val="003B0F4E"/>
    <w:rsid w:val="003C070C"/>
    <w:rsid w:val="003D7671"/>
    <w:rsid w:val="003E551D"/>
    <w:rsid w:val="00403C4D"/>
    <w:rsid w:val="00420368"/>
    <w:rsid w:val="00421B60"/>
    <w:rsid w:val="004257AB"/>
    <w:rsid w:val="00435C2D"/>
    <w:rsid w:val="00445416"/>
    <w:rsid w:val="00463846"/>
    <w:rsid w:val="00476B38"/>
    <w:rsid w:val="004827C6"/>
    <w:rsid w:val="00486FE2"/>
    <w:rsid w:val="004955B1"/>
    <w:rsid w:val="004A018C"/>
    <w:rsid w:val="004A033D"/>
    <w:rsid w:val="004A6E79"/>
    <w:rsid w:val="004C6AEC"/>
    <w:rsid w:val="004E6866"/>
    <w:rsid w:val="004F00C6"/>
    <w:rsid w:val="00515BAD"/>
    <w:rsid w:val="00520C2F"/>
    <w:rsid w:val="00555A91"/>
    <w:rsid w:val="00573AAD"/>
    <w:rsid w:val="00575337"/>
    <w:rsid w:val="00582F6E"/>
    <w:rsid w:val="005A0650"/>
    <w:rsid w:val="005A1018"/>
    <w:rsid w:val="005B4AC1"/>
    <w:rsid w:val="005E1E5F"/>
    <w:rsid w:val="005E7BD0"/>
    <w:rsid w:val="005F0FC3"/>
    <w:rsid w:val="005F7BD3"/>
    <w:rsid w:val="00601293"/>
    <w:rsid w:val="0060596E"/>
    <w:rsid w:val="00625FEB"/>
    <w:rsid w:val="006263AB"/>
    <w:rsid w:val="00635A1F"/>
    <w:rsid w:val="0065229A"/>
    <w:rsid w:val="00664A2A"/>
    <w:rsid w:val="00666FA2"/>
    <w:rsid w:val="00673C45"/>
    <w:rsid w:val="00676BA7"/>
    <w:rsid w:val="0069793D"/>
    <w:rsid w:val="006C2892"/>
    <w:rsid w:val="006C3DD1"/>
    <w:rsid w:val="006D1387"/>
    <w:rsid w:val="006D2839"/>
    <w:rsid w:val="006D423D"/>
    <w:rsid w:val="0070531B"/>
    <w:rsid w:val="0070540C"/>
    <w:rsid w:val="00714D0F"/>
    <w:rsid w:val="00715301"/>
    <w:rsid w:val="007158E0"/>
    <w:rsid w:val="007304A6"/>
    <w:rsid w:val="00732C43"/>
    <w:rsid w:val="00740926"/>
    <w:rsid w:val="00744DAE"/>
    <w:rsid w:val="007568A1"/>
    <w:rsid w:val="00762BA1"/>
    <w:rsid w:val="00773CF6"/>
    <w:rsid w:val="00792343"/>
    <w:rsid w:val="0079375F"/>
    <w:rsid w:val="00795560"/>
    <w:rsid w:val="0079774C"/>
    <w:rsid w:val="007A34F3"/>
    <w:rsid w:val="007B738A"/>
    <w:rsid w:val="007F40CD"/>
    <w:rsid w:val="0080712E"/>
    <w:rsid w:val="00812D34"/>
    <w:rsid w:val="008414C3"/>
    <w:rsid w:val="00846642"/>
    <w:rsid w:val="00855A93"/>
    <w:rsid w:val="00887000"/>
    <w:rsid w:val="008B181B"/>
    <w:rsid w:val="008B5578"/>
    <w:rsid w:val="008D7AD1"/>
    <w:rsid w:val="008F08A8"/>
    <w:rsid w:val="008F363E"/>
    <w:rsid w:val="008F5593"/>
    <w:rsid w:val="0090612F"/>
    <w:rsid w:val="00913015"/>
    <w:rsid w:val="00921EFE"/>
    <w:rsid w:val="00935AF2"/>
    <w:rsid w:val="00940FED"/>
    <w:rsid w:val="00942359"/>
    <w:rsid w:val="00951E1C"/>
    <w:rsid w:val="0096391E"/>
    <w:rsid w:val="00974BDD"/>
    <w:rsid w:val="0098573A"/>
    <w:rsid w:val="00991DE6"/>
    <w:rsid w:val="009A1934"/>
    <w:rsid w:val="009B63D3"/>
    <w:rsid w:val="009C0E36"/>
    <w:rsid w:val="009C58B3"/>
    <w:rsid w:val="009C6D20"/>
    <w:rsid w:val="009E4E35"/>
    <w:rsid w:val="00A01903"/>
    <w:rsid w:val="00A10B6A"/>
    <w:rsid w:val="00A1265C"/>
    <w:rsid w:val="00A24F29"/>
    <w:rsid w:val="00A2763C"/>
    <w:rsid w:val="00A33CAE"/>
    <w:rsid w:val="00A3789D"/>
    <w:rsid w:val="00A459FA"/>
    <w:rsid w:val="00A96EBE"/>
    <w:rsid w:val="00AA543F"/>
    <w:rsid w:val="00AA70B8"/>
    <w:rsid w:val="00AB2A5C"/>
    <w:rsid w:val="00AC575B"/>
    <w:rsid w:val="00AD2C91"/>
    <w:rsid w:val="00AF03FF"/>
    <w:rsid w:val="00AF241E"/>
    <w:rsid w:val="00B01554"/>
    <w:rsid w:val="00B17F06"/>
    <w:rsid w:val="00B54328"/>
    <w:rsid w:val="00B67202"/>
    <w:rsid w:val="00B743C4"/>
    <w:rsid w:val="00B8411C"/>
    <w:rsid w:val="00B8481D"/>
    <w:rsid w:val="00B97094"/>
    <w:rsid w:val="00BA5872"/>
    <w:rsid w:val="00BA7DD5"/>
    <w:rsid w:val="00BC38C2"/>
    <w:rsid w:val="00BC3FC1"/>
    <w:rsid w:val="00BD7A20"/>
    <w:rsid w:val="00BF7BD1"/>
    <w:rsid w:val="00C145EA"/>
    <w:rsid w:val="00C302AB"/>
    <w:rsid w:val="00C568F8"/>
    <w:rsid w:val="00C60226"/>
    <w:rsid w:val="00C70992"/>
    <w:rsid w:val="00C72D2D"/>
    <w:rsid w:val="00C73032"/>
    <w:rsid w:val="00C743E5"/>
    <w:rsid w:val="00C848A6"/>
    <w:rsid w:val="00C91C5C"/>
    <w:rsid w:val="00C9699A"/>
    <w:rsid w:val="00CA1AE4"/>
    <w:rsid w:val="00CC2C51"/>
    <w:rsid w:val="00CC6488"/>
    <w:rsid w:val="00CD3B96"/>
    <w:rsid w:val="00CF6DAF"/>
    <w:rsid w:val="00D01AE1"/>
    <w:rsid w:val="00D066D0"/>
    <w:rsid w:val="00D10DBA"/>
    <w:rsid w:val="00D15448"/>
    <w:rsid w:val="00D331F7"/>
    <w:rsid w:val="00D6096D"/>
    <w:rsid w:val="00D613D8"/>
    <w:rsid w:val="00D70CBD"/>
    <w:rsid w:val="00D7593B"/>
    <w:rsid w:val="00D76058"/>
    <w:rsid w:val="00D813C3"/>
    <w:rsid w:val="00D86662"/>
    <w:rsid w:val="00DB5D8B"/>
    <w:rsid w:val="00DC126F"/>
    <w:rsid w:val="00DD1E21"/>
    <w:rsid w:val="00DD64D5"/>
    <w:rsid w:val="00E27CCC"/>
    <w:rsid w:val="00E3574A"/>
    <w:rsid w:val="00E62D50"/>
    <w:rsid w:val="00E650BB"/>
    <w:rsid w:val="00E66B53"/>
    <w:rsid w:val="00EA027F"/>
    <w:rsid w:val="00EA2AB4"/>
    <w:rsid w:val="00EA6222"/>
    <w:rsid w:val="00EB37D9"/>
    <w:rsid w:val="00EB5458"/>
    <w:rsid w:val="00EC6297"/>
    <w:rsid w:val="00EE0E64"/>
    <w:rsid w:val="00F0270F"/>
    <w:rsid w:val="00F05BF4"/>
    <w:rsid w:val="00F31C63"/>
    <w:rsid w:val="00F324C6"/>
    <w:rsid w:val="00F3764F"/>
    <w:rsid w:val="00F5616E"/>
    <w:rsid w:val="00F66119"/>
    <w:rsid w:val="00F73EBB"/>
    <w:rsid w:val="00F7770D"/>
    <w:rsid w:val="00F80B53"/>
    <w:rsid w:val="00F81748"/>
    <w:rsid w:val="00FC593F"/>
    <w:rsid w:val="00FF3838"/>
    <w:rsid w:val="01D53811"/>
    <w:rsid w:val="03AB3686"/>
    <w:rsid w:val="0C647D62"/>
    <w:rsid w:val="16141E20"/>
    <w:rsid w:val="17D8582B"/>
    <w:rsid w:val="2D87143F"/>
    <w:rsid w:val="572D3B16"/>
    <w:rsid w:val="6C355C98"/>
    <w:rsid w:val="7CCB17CA"/>
    <w:rsid w:val="7EF8435D"/>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unhideWhenUsed="0" w:uiPriority="0" w:semiHidden="0" w:name="heading 2"/>
    <w:lsdException w:unhideWhenUsed="0" w:uiPriority="0" w:semiHidden="0" w:name="heading 3"/>
    <w:lsdException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nhideWhenUsed="0"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unhideWhenUsed="0" w:uiPriority="99" w:semiHidden="0" w:name="annotation text"/>
    <w:lsdException w:unhideWhenUsed="0" w:uiPriority="0" w:semiHidden="0" w:name="header"/>
    <w:lsdException w:unhideWhenUsed="0"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99" w:semiHidden="0" w:name="Date"/>
    <w:lsdException w:uiPriority="0" w:name="Body Text First Indent"/>
    <w:lsdException w:uiPriority="0" w:name="Body Text First Indent 2"/>
    <w:lsdException w:uiPriority="0" w:name="Note Heading"/>
    <w:lsdException w:uiPriority="99" w:semiHidden="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99" w:semiHidden="0" w:name="Document Map"/>
    <w:lsdException w:qFormat="1"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Calibri"/>
      <w:kern w:val="2"/>
      <w:sz w:val="21"/>
      <w:szCs w:val="24"/>
      <w:lang w:val="en-US" w:eastAsia="zh-CN" w:bidi="ar-SA"/>
    </w:rPr>
  </w:style>
  <w:style w:type="paragraph" w:styleId="2">
    <w:name w:val="heading 1"/>
    <w:basedOn w:val="1"/>
    <w:next w:val="1"/>
    <w:link w:val="9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86"/>
    <w:uiPriority w:val="0"/>
    <w:pPr>
      <w:widowControl/>
      <w:spacing w:before="260" w:after="260" w:line="2800" w:lineRule="atLeast"/>
      <w:ind w:firstLine="419"/>
      <w:textAlignment w:val="baseline"/>
      <w:outlineLvl w:val="1"/>
    </w:pPr>
    <w:rPr>
      <w:rFonts w:ascii="Arial" w:eastAsia="黑体"/>
      <w:b/>
      <w:color w:val="000000"/>
      <w:sz w:val="31"/>
      <w:u w:val="none" w:color="000000"/>
    </w:rPr>
  </w:style>
  <w:style w:type="paragraph" w:styleId="4">
    <w:name w:val="heading 3"/>
    <w:basedOn w:val="1"/>
    <w:next w:val="1"/>
    <w:uiPriority w:val="0"/>
    <w:pPr>
      <w:keepNext/>
      <w:keepLines/>
      <w:spacing w:before="260" w:after="260" w:line="416" w:lineRule="auto"/>
      <w:outlineLvl w:val="2"/>
    </w:pPr>
    <w:rPr>
      <w:b/>
      <w:bCs/>
      <w:sz w:val="32"/>
      <w:szCs w:val="32"/>
    </w:rPr>
  </w:style>
  <w:style w:type="paragraph" w:styleId="5">
    <w:name w:val="heading 4"/>
    <w:basedOn w:val="1"/>
    <w:next w:val="1"/>
    <w:uiPriority w:val="0"/>
    <w:pPr>
      <w:keepNext/>
      <w:keepLines/>
      <w:spacing w:before="280" w:after="290" w:line="376" w:lineRule="auto"/>
      <w:outlineLvl w:val="3"/>
    </w:pPr>
    <w:rPr>
      <w:rFonts w:ascii="Arial" w:hAnsi="Arial" w:eastAsia="黑体"/>
      <w:b/>
      <w:bCs/>
      <w:sz w:val="28"/>
      <w:szCs w:val="28"/>
    </w:rPr>
  </w:style>
  <w:style w:type="character" w:default="1" w:styleId="18">
    <w:name w:val="Default Paragraph Font"/>
    <w:unhideWhenUsed/>
    <w:uiPriority w:val="1"/>
  </w:style>
  <w:style w:type="table" w:default="1" w:styleId="20">
    <w:name w:val="Normal Table"/>
    <w:unhideWhenUsed/>
    <w:uiPriority w:val="99"/>
    <w:tblPr>
      <w:tblStyle w:val="20"/>
      <w:tblLayout w:type="fixed"/>
      <w:tblCellMar>
        <w:top w:w="0" w:type="dxa"/>
        <w:left w:w="108" w:type="dxa"/>
        <w:bottom w:w="0" w:type="dxa"/>
        <w:right w:w="108" w:type="dxa"/>
      </w:tblCellMar>
    </w:tblPr>
    <w:tcPr>
      <w:textDirection w:val="lrTb"/>
    </w:tcPr>
  </w:style>
  <w:style w:type="paragraph" w:styleId="6">
    <w:name w:val="annotation subject"/>
    <w:basedOn w:val="7"/>
    <w:next w:val="7"/>
    <w:link w:val="92"/>
    <w:unhideWhenUsed/>
    <w:uiPriority w:val="99"/>
    <w:rPr>
      <w:b/>
      <w:bCs/>
    </w:rPr>
  </w:style>
  <w:style w:type="paragraph" w:styleId="7">
    <w:name w:val="annotation text"/>
    <w:basedOn w:val="1"/>
    <w:link w:val="76"/>
    <w:uiPriority w:val="99"/>
    <w:pPr>
      <w:jc w:val="left"/>
    </w:pPr>
  </w:style>
  <w:style w:type="paragraph" w:styleId="8">
    <w:name w:val="Normal Indent"/>
    <w:basedOn w:val="1"/>
    <w:link w:val="95"/>
    <w:qFormat/>
    <w:uiPriority w:val="0"/>
    <w:pPr>
      <w:ind w:firstLine="420"/>
    </w:pPr>
    <w:rPr>
      <w:rFonts w:ascii="Times New Roman" w:hAnsi="Times New Roman" w:cs="Times New Roman"/>
    </w:rPr>
  </w:style>
  <w:style w:type="paragraph" w:styleId="9">
    <w:name w:val="Document Map"/>
    <w:basedOn w:val="1"/>
    <w:link w:val="93"/>
    <w:unhideWhenUsed/>
    <w:uiPriority w:val="99"/>
    <w:rPr>
      <w:rFonts w:ascii="宋体"/>
      <w:sz w:val="18"/>
      <w:szCs w:val="18"/>
    </w:rPr>
  </w:style>
  <w:style w:type="paragraph" w:styleId="10">
    <w:name w:val="Body Text"/>
    <w:basedOn w:val="1"/>
    <w:link w:val="77"/>
    <w:uiPriority w:val="0"/>
    <w:pPr>
      <w:spacing w:after="120"/>
    </w:pPr>
  </w:style>
  <w:style w:type="paragraph" w:styleId="11">
    <w:name w:val="Plain Text"/>
    <w:basedOn w:val="1"/>
    <w:link w:val="97"/>
    <w:unhideWhenUsed/>
    <w:qFormat/>
    <w:uiPriority w:val="0"/>
    <w:rPr>
      <w:rFonts w:ascii="宋体" w:hAnsi="Courier New" w:cs="Courier New"/>
      <w:szCs w:val="21"/>
    </w:rPr>
  </w:style>
  <w:style w:type="paragraph" w:styleId="12">
    <w:name w:val="Date"/>
    <w:basedOn w:val="1"/>
    <w:next w:val="1"/>
    <w:link w:val="91"/>
    <w:unhideWhenUsed/>
    <w:uiPriority w:val="99"/>
    <w:pPr>
      <w:ind w:left="100" w:leftChars="2500"/>
    </w:pPr>
  </w:style>
  <w:style w:type="paragraph" w:styleId="13">
    <w:name w:val="Balloon Text"/>
    <w:basedOn w:val="1"/>
    <w:uiPriority w:val="0"/>
    <w:rPr>
      <w:sz w:val="18"/>
      <w:szCs w:val="18"/>
    </w:rPr>
  </w:style>
  <w:style w:type="paragraph" w:styleId="14">
    <w:name w:val="footer"/>
    <w:basedOn w:val="1"/>
    <w:uiPriority w:val="0"/>
    <w:pPr>
      <w:tabs>
        <w:tab w:val="center" w:pos="4153"/>
        <w:tab w:val="right" w:pos="8306"/>
      </w:tabs>
      <w:snapToGrid w:val="0"/>
      <w:jc w:val="left"/>
    </w:pPr>
    <w:rPr>
      <w:sz w:val="18"/>
      <w:szCs w:val="18"/>
    </w:rPr>
  </w:style>
  <w:style w:type="paragraph" w:styleId="15">
    <w:name w:val="header"/>
    <w:basedOn w:val="1"/>
    <w:link w:val="82"/>
    <w:uiPriority w:val="0"/>
    <w:pPr>
      <w:pBdr>
        <w:bottom w:val="single" w:color="auto" w:sz="6" w:space="1"/>
      </w:pBdr>
      <w:tabs>
        <w:tab w:val="center" w:pos="4153"/>
        <w:tab w:val="right" w:pos="8306"/>
      </w:tabs>
      <w:snapToGrid w:val="0"/>
      <w:jc w:val="center"/>
    </w:pPr>
    <w:rPr>
      <w:sz w:val="18"/>
      <w:szCs w:val="18"/>
    </w:rPr>
  </w:style>
  <w:style w:type="paragraph" w:styleId="16">
    <w:name w:val="toc 2"/>
    <w:basedOn w:val="1"/>
    <w:next w:val="1"/>
    <w:uiPriority w:val="99"/>
    <w:pPr>
      <w:widowControl/>
      <w:ind w:left="420" w:leftChars="200"/>
      <w:jc w:val="left"/>
    </w:pPr>
    <w:rPr>
      <w:rFonts w:cs="Times New Roman"/>
      <w:kern w:val="0"/>
      <w:sz w:val="24"/>
    </w:rPr>
  </w:style>
  <w:style w:type="paragraph" w:styleId="17">
    <w:name w:val="Body Text 2"/>
    <w:basedOn w:val="1"/>
    <w:link w:val="89"/>
    <w:unhideWhenUsed/>
    <w:uiPriority w:val="99"/>
    <w:pPr>
      <w:spacing w:after="120" w:line="480" w:lineRule="auto"/>
    </w:pPr>
    <w:rPr>
      <w:rFonts w:cs="Times New Roman"/>
      <w:szCs w:val="22"/>
    </w:rPr>
  </w:style>
  <w:style w:type="character" w:styleId="19">
    <w:name w:val="annotation reference"/>
    <w:unhideWhenUsed/>
    <w:uiPriority w:val="99"/>
    <w:rPr>
      <w:sz w:val="21"/>
      <w:szCs w:val="21"/>
    </w:rPr>
  </w:style>
  <w:style w:type="table" w:styleId="21">
    <w:name w:val="Table Grid"/>
    <w:basedOn w:val="20"/>
    <w:qFormat/>
    <w:uiPriority w:val="59"/>
    <w:pPr/>
    <w:rPr>
      <w:rFonts w:cs="Times New Roman"/>
    </w:rPr>
    <w:tblPr>
      <w:tblStyle w:val="2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2">
    <w:name w:val="批注主题1"/>
    <w:basedOn w:val="7"/>
    <w:next w:val="7"/>
    <w:uiPriority w:val="0"/>
    <w:rPr>
      <w:b/>
      <w:bCs/>
    </w:rPr>
  </w:style>
  <w:style w:type="paragraph" w:customStyle="1" w:styleId="23">
    <w:name w:val="正文缩进1"/>
    <w:basedOn w:val="1"/>
    <w:link w:val="75"/>
    <w:uiPriority w:val="0"/>
    <w:pPr>
      <w:ind w:firstLine="420" w:firstLineChars="200"/>
    </w:pPr>
  </w:style>
  <w:style w:type="paragraph" w:customStyle="1" w:styleId="24">
    <w:name w:val="文档结构图1"/>
    <w:basedOn w:val="1"/>
    <w:uiPriority w:val="0"/>
    <w:pPr>
      <w:shd w:val="clear" w:color="auto" w:fill="000080"/>
    </w:pPr>
  </w:style>
  <w:style w:type="paragraph" w:customStyle="1" w:styleId="25">
    <w:name w:val="正文文本缩进1"/>
    <w:basedOn w:val="1"/>
    <w:link w:val="79"/>
    <w:uiPriority w:val="0"/>
    <w:pPr>
      <w:spacing w:after="120"/>
      <w:ind w:left="420" w:leftChars="200"/>
    </w:pPr>
  </w:style>
  <w:style w:type="paragraph" w:customStyle="1" w:styleId="26">
    <w:name w:val="纯文本1"/>
    <w:basedOn w:val="1"/>
    <w:link w:val="85"/>
    <w:uiPriority w:val="0"/>
    <w:rPr>
      <w:rFonts w:ascii="宋体" w:hAnsi="Courier New"/>
    </w:rPr>
  </w:style>
  <w:style w:type="paragraph" w:customStyle="1" w:styleId="27">
    <w:name w:val="日期1"/>
    <w:basedOn w:val="1"/>
    <w:next w:val="1"/>
    <w:uiPriority w:val="0"/>
    <w:pPr>
      <w:ind w:left="100" w:leftChars="2500"/>
    </w:pPr>
  </w:style>
  <w:style w:type="paragraph" w:customStyle="1" w:styleId="28">
    <w:name w:val="正文文本缩进 21"/>
    <w:basedOn w:val="1"/>
    <w:link w:val="80"/>
    <w:uiPriority w:val="0"/>
    <w:pPr>
      <w:spacing w:after="120" w:line="480" w:lineRule="auto"/>
      <w:ind w:left="420" w:leftChars="200"/>
    </w:pPr>
  </w:style>
  <w:style w:type="paragraph" w:customStyle="1" w:styleId="29">
    <w:name w:val="列表1"/>
    <w:basedOn w:val="1"/>
    <w:uiPriority w:val="0"/>
    <w:pPr>
      <w:autoSpaceDE w:val="0"/>
      <w:autoSpaceDN w:val="0"/>
      <w:adjustRightInd w:val="0"/>
      <w:snapToGrid w:val="0"/>
      <w:spacing w:line="480" w:lineRule="exact"/>
      <w:jc w:val="center"/>
    </w:pPr>
    <w:rPr>
      <w:kern w:val="32"/>
      <w:sz w:val="24"/>
      <w:szCs w:val="20"/>
    </w:rPr>
  </w:style>
  <w:style w:type="paragraph" w:customStyle="1" w:styleId="30">
    <w:name w:val="正文文本缩进 31"/>
    <w:basedOn w:val="1"/>
    <w:link w:val="68"/>
    <w:uiPriority w:val="0"/>
    <w:pPr>
      <w:spacing w:after="120"/>
      <w:ind w:left="420" w:leftChars="200"/>
    </w:pPr>
    <w:rPr>
      <w:sz w:val="16"/>
      <w:szCs w:val="16"/>
    </w:rPr>
  </w:style>
  <w:style w:type="paragraph" w:customStyle="1" w:styleId="31">
    <w:name w:val="正文文本 21"/>
    <w:basedOn w:val="1"/>
    <w:uiPriority w:val="0"/>
    <w:pPr>
      <w:spacing w:after="120" w:line="480" w:lineRule="auto"/>
    </w:pPr>
  </w:style>
  <w:style w:type="paragraph" w:customStyle="1" w:styleId="32">
    <w:name w:val="普通(网站)1"/>
    <w:basedOn w:val="1"/>
    <w:qFormat/>
    <w:uiPriority w:val="0"/>
    <w:pPr>
      <w:widowControl/>
      <w:jc w:val="left"/>
    </w:pPr>
    <w:rPr>
      <w:rFonts w:ascii="Arial" w:hAnsi="Arial" w:cs="Arial"/>
      <w:color w:val="333333"/>
      <w:kern w:val="0"/>
      <w:sz w:val="14"/>
      <w:szCs w:val="14"/>
    </w:rPr>
  </w:style>
  <w:style w:type="paragraph" w:customStyle="1" w:styleId="33">
    <w:name w:val="li表格"/>
    <w:basedOn w:val="1"/>
    <w:next w:val="1"/>
    <w:uiPriority w:val="0"/>
    <w:pPr>
      <w:spacing w:line="360" w:lineRule="exact"/>
      <w:jc w:val="center"/>
    </w:pPr>
    <w:rPr>
      <w:rFonts w:hAnsi="宋体"/>
      <w:b/>
      <w:color w:val="0000FF"/>
      <w:spacing w:val="4"/>
      <w:szCs w:val="21"/>
    </w:rPr>
  </w:style>
  <w:style w:type="paragraph" w:customStyle="1" w:styleId="34">
    <w:name w:val="默认段落字体 Para Char"/>
    <w:basedOn w:val="1"/>
    <w:uiPriority w:val="0"/>
    <w:pPr>
      <w:spacing w:line="360" w:lineRule="auto"/>
      <w:ind w:firstLine="200" w:firstLineChars="200"/>
    </w:pPr>
    <w:rPr>
      <w:szCs w:val="20"/>
    </w:rPr>
  </w:style>
  <w:style w:type="paragraph" w:customStyle="1" w:styleId="35">
    <w:name w:val="正文1"/>
    <w:uiPriority w:val="0"/>
    <w:pPr>
      <w:jc w:val="both"/>
    </w:pPr>
    <w:rPr>
      <w:rFonts w:ascii="Calibri" w:hAnsi="Calibri" w:eastAsia="宋体" w:cs="Calibri"/>
      <w:kern w:val="2"/>
      <w:sz w:val="21"/>
      <w:szCs w:val="21"/>
      <w:lang w:val="en-US" w:eastAsia="zh-CN" w:bidi="ar-SA"/>
    </w:rPr>
  </w:style>
  <w:style w:type="paragraph" w:customStyle="1" w:styleId="36">
    <w:name w:val="3级"/>
    <w:basedOn w:val="4"/>
    <w:uiPriority w:val="0"/>
    <w:pPr>
      <w:spacing w:before="0" w:after="0" w:line="500" w:lineRule="exact"/>
    </w:pPr>
    <w:rPr>
      <w:rFonts w:cs="宋体"/>
      <w:sz w:val="28"/>
      <w:szCs w:val="20"/>
    </w:rPr>
  </w:style>
  <w:style w:type="paragraph" w:customStyle="1" w:styleId="37">
    <w:name w:val="样式 标题 4 + Times New Roman 小四 非加粗 段前: 0 磅 段后: 7.8 磅 行距: 多倍行距..."/>
    <w:basedOn w:val="5"/>
    <w:uiPriority w:val="0"/>
    <w:pPr>
      <w:spacing w:before="0" w:after="156" w:line="377" w:lineRule="auto"/>
    </w:pPr>
    <w:rPr>
      <w:rFonts w:ascii="Times New Roman" w:hAnsi="Times New Roman" w:cs="宋体"/>
      <w:b w:val="0"/>
      <w:bCs w:val="0"/>
      <w:sz w:val="24"/>
      <w:szCs w:val="24"/>
    </w:rPr>
  </w:style>
  <w:style w:type="paragraph" w:customStyle="1" w:styleId="38">
    <w:name w:val="正文11"/>
    <w:basedOn w:val="1"/>
    <w:link w:val="83"/>
    <w:uiPriority w:val="0"/>
    <w:pPr>
      <w:spacing w:line="460" w:lineRule="exact"/>
      <w:ind w:firstLine="200" w:firstLineChars="200"/>
    </w:pPr>
    <w:rPr>
      <w:b/>
      <w:color w:val="000000"/>
      <w:sz w:val="24"/>
    </w:rPr>
  </w:style>
  <w:style w:type="paragraph" w:customStyle="1" w:styleId="39">
    <w:name w:val="正文内容"/>
    <w:link w:val="69"/>
    <w:uiPriority w:val="0"/>
    <w:pPr>
      <w:widowControl w:val="0"/>
      <w:snapToGrid w:val="0"/>
      <w:spacing w:before="60" w:after="60" w:line="440" w:lineRule="exact"/>
      <w:ind w:firstLine="200" w:firstLineChars="200"/>
      <w:jc w:val="both"/>
    </w:pPr>
    <w:rPr>
      <w:rFonts w:ascii="Calibri" w:hAnsi="Calibri" w:eastAsia="宋体" w:cs="Calibri"/>
      <w:kern w:val="2"/>
      <w:sz w:val="24"/>
      <w:szCs w:val="24"/>
      <w:lang w:val="en-US" w:eastAsia="zh-CN" w:bidi="ar-SA"/>
    </w:rPr>
  </w:style>
  <w:style w:type="paragraph" w:customStyle="1" w:styleId="40">
    <w:name w:val="列出段落1"/>
    <w:basedOn w:val="1"/>
    <w:uiPriority w:val="0"/>
    <w:pPr>
      <w:ind w:firstLine="420" w:firstLineChars="200"/>
    </w:pPr>
    <w:rPr>
      <w:szCs w:val="20"/>
    </w:rPr>
  </w:style>
  <w:style w:type="paragraph" w:customStyle="1" w:styleId="41">
    <w:name w:val="Default"/>
    <w:uiPriority w:val="99"/>
    <w:pPr>
      <w:widowControl w:val="0"/>
      <w:autoSpaceDE w:val="0"/>
      <w:autoSpaceDN w:val="0"/>
      <w:adjustRightInd w:val="0"/>
    </w:pPr>
    <w:rPr>
      <w:rFonts w:ascii="Arial Unicode MS" w:hAnsi="Calibri" w:eastAsia="Arial Unicode MS" w:cs="Arial Unicode MS"/>
      <w:color w:val="000000"/>
      <w:sz w:val="24"/>
      <w:szCs w:val="24"/>
      <w:lang w:val="en-US" w:eastAsia="zh-CN" w:bidi="ar-SA"/>
    </w:rPr>
  </w:style>
  <w:style w:type="paragraph" w:customStyle="1" w:styleId="42">
    <w:name w:val="MSG_EN_FONT_STYLE_NAME_TEMPLATE_ROLE_NUMBER MSG_EN_FONT_STYLE_NAME_BY_ROLE_TEXT 2"/>
    <w:basedOn w:val="1"/>
    <w:link w:val="72"/>
    <w:uiPriority w:val="0"/>
    <w:pPr>
      <w:shd w:val="clear" w:color="auto" w:fill="FFFFFF"/>
      <w:spacing w:after="580" w:line="260" w:lineRule="exact"/>
      <w:jc w:val="center"/>
    </w:pPr>
    <w:rPr>
      <w:rFonts w:ascii="PMingLiU" w:hAnsi="PMingLiU" w:eastAsia="PMingLiU"/>
      <w:spacing w:val="20"/>
      <w:sz w:val="26"/>
      <w:szCs w:val="26"/>
      <w:shd w:val="clear" w:color="auto" w:fill="FFFFFF"/>
    </w:rPr>
  </w:style>
  <w:style w:type="paragraph" w:customStyle="1" w:styleId="43">
    <w:name w:val="表格内容5号"/>
    <w:link w:val="74"/>
    <w:uiPriority w:val="0"/>
    <w:pPr>
      <w:widowControl w:val="0"/>
      <w:snapToGrid w:val="0"/>
      <w:spacing w:line="240" w:lineRule="atLeast"/>
      <w:jc w:val="center"/>
    </w:pPr>
    <w:rPr>
      <w:rFonts w:ascii="Calibri" w:hAnsi="Calibri" w:eastAsia="宋体" w:cs="Calibri"/>
      <w:kern w:val="2"/>
      <w:sz w:val="21"/>
      <w:szCs w:val="24"/>
      <w:lang w:val="en-US" w:eastAsia="zh-CN" w:bidi="ar-SA"/>
    </w:rPr>
  </w:style>
  <w:style w:type="paragraph" w:customStyle="1" w:styleId="44">
    <w:name w:val="表内容1-1"/>
    <w:basedOn w:val="1"/>
    <w:uiPriority w:val="0"/>
    <w:pPr>
      <w:jc w:val="center"/>
      <w:textAlignment w:val="baseline"/>
    </w:pPr>
    <w:rPr>
      <w:rFonts w:ascii="Times New Roman" w:hAnsi="Times New Roman"/>
      <w:kern w:val="0"/>
      <w:szCs w:val="21"/>
    </w:rPr>
  </w:style>
  <w:style w:type="paragraph" w:customStyle="1" w:styleId="45">
    <w:name w:val="表格文字1"/>
    <w:basedOn w:val="1"/>
    <w:uiPriority w:val="0"/>
    <w:pPr>
      <w:tabs>
        <w:tab w:val="left" w:pos="1080"/>
      </w:tabs>
      <w:snapToGrid w:val="0"/>
      <w:spacing w:line="240" w:lineRule="exact"/>
      <w:jc w:val="center"/>
    </w:pPr>
    <w:rPr>
      <w:rFonts w:hAnsi="宋体"/>
      <w:spacing w:val="-2"/>
      <w:kern w:val="32"/>
      <w:szCs w:val="21"/>
    </w:rPr>
  </w:style>
  <w:style w:type="paragraph" w:customStyle="1" w:styleId="46">
    <w:name w:val="表格文字"/>
    <w:basedOn w:val="1"/>
    <w:next w:val="1"/>
    <w:link w:val="71"/>
    <w:uiPriority w:val="0"/>
    <w:pPr>
      <w:spacing w:line="280" w:lineRule="exact"/>
      <w:jc w:val="center"/>
    </w:pPr>
    <w:rPr>
      <w:rFonts w:ascii="Arial" w:hAnsi="Arial" w:eastAsia="宋体-方正超大字符集" w:cs="Arial"/>
    </w:rPr>
  </w:style>
  <w:style w:type="paragraph" w:customStyle="1" w:styleId="47">
    <w:name w:val="表格文字-五号-左对齐"/>
    <w:basedOn w:val="1"/>
    <w:uiPriority w:val="0"/>
    <w:pPr>
      <w:widowControl/>
      <w:tabs>
        <w:tab w:val="left" w:pos="2340"/>
      </w:tabs>
      <w:adjustRightInd w:val="0"/>
      <w:snapToGrid w:val="0"/>
      <w:jc w:val="left"/>
    </w:pPr>
    <w:rPr>
      <w:rFonts w:ascii="宋体" w:hAnsi="宋体"/>
      <w:snapToGrid w:val="0"/>
      <w:color w:val="000000"/>
      <w:sz w:val="24"/>
      <w:szCs w:val="20"/>
    </w:rPr>
  </w:style>
  <w:style w:type="paragraph" w:customStyle="1" w:styleId="48">
    <w:name w:val="陈正文"/>
    <w:basedOn w:val="1"/>
    <w:next w:val="1"/>
    <w:link w:val="78"/>
    <w:uiPriority w:val="0"/>
    <w:pPr>
      <w:ind w:left="178" w:leftChars="85" w:firstLine="405" w:firstLineChars="193"/>
    </w:pPr>
    <w:rPr>
      <w:rFonts w:ascii="Arial" w:hAnsi="Arial" w:cs="宋体"/>
      <w:color w:val="000000"/>
      <w:szCs w:val="21"/>
    </w:rPr>
  </w:style>
  <w:style w:type="paragraph" w:customStyle="1" w:styleId="49">
    <w:name w:val="彩霞-正文"/>
    <w:basedOn w:val="1"/>
    <w:link w:val="81"/>
    <w:uiPriority w:val="0"/>
    <w:pPr>
      <w:spacing w:line="360" w:lineRule="auto"/>
      <w:ind w:firstLine="200" w:firstLineChars="200"/>
    </w:pPr>
    <w:rPr>
      <w:rFonts w:cs="宋体"/>
      <w:sz w:val="24"/>
      <w:szCs w:val="28"/>
      <w:lang w:val="zh-CN"/>
    </w:rPr>
  </w:style>
  <w:style w:type="paragraph" w:customStyle="1" w:styleId="50">
    <w:name w:val="样式 首行缩进:  2 字符"/>
    <w:basedOn w:val="1"/>
    <w:uiPriority w:val="0"/>
    <w:pPr>
      <w:spacing w:line="520" w:lineRule="exact"/>
      <w:ind w:firstLine="200" w:firstLineChars="200"/>
    </w:pPr>
    <w:rPr>
      <w:sz w:val="24"/>
    </w:rPr>
  </w:style>
  <w:style w:type="paragraph" w:customStyle="1" w:styleId="51">
    <w:name w:val="Char"/>
    <w:basedOn w:val="1"/>
    <w:next w:val="1"/>
    <w:uiPriority w:val="0"/>
    <w:pPr>
      <w:spacing w:line="360" w:lineRule="auto"/>
      <w:ind w:firstLine="200" w:firstLineChars="200"/>
    </w:pPr>
    <w:rPr>
      <w:rFonts w:ascii="宋体" w:hAnsi="宋体" w:cs="宋体"/>
      <w:sz w:val="24"/>
    </w:rPr>
  </w:style>
  <w:style w:type="paragraph" w:customStyle="1" w:styleId="52">
    <w:name w:val="4"/>
    <w:basedOn w:val="1"/>
    <w:next w:val="1"/>
    <w:link w:val="70"/>
    <w:uiPriority w:val="0"/>
    <w:pPr>
      <w:spacing w:line="500" w:lineRule="exact"/>
      <w:outlineLvl w:val="3"/>
    </w:pPr>
    <w:rPr>
      <w:rFonts w:ascii="Arial" w:hAnsi="Arial" w:eastAsia="黑体"/>
      <w:b/>
      <w:sz w:val="24"/>
    </w:rPr>
  </w:style>
  <w:style w:type="paragraph" w:customStyle="1" w:styleId="53">
    <w:name w:val="Char Char Char Char"/>
    <w:basedOn w:val="1"/>
    <w:uiPriority w:val="0"/>
    <w:pPr>
      <w:snapToGrid w:val="0"/>
      <w:spacing w:line="360" w:lineRule="auto"/>
      <w:ind w:firstLine="529" w:firstLineChars="200"/>
    </w:pPr>
    <w:rPr>
      <w:rFonts w:ascii="宋体" w:hAnsi="宋体"/>
      <w:b/>
      <w:sz w:val="24"/>
    </w:rPr>
  </w:style>
  <w:style w:type="paragraph" w:customStyle="1" w:styleId="54">
    <w:name w:val="Char Char Char Char Char Char Char Char Char Char Char Char Char Char Char Char Char Char1 Char Char Char Char Char Char Char Char Char Char Char Char1 Char Char Char"/>
    <w:basedOn w:val="1"/>
    <w:next w:val="1"/>
    <w:uiPriority w:val="0"/>
    <w:pPr>
      <w:snapToGrid w:val="0"/>
      <w:spacing w:line="360" w:lineRule="auto"/>
      <w:ind w:firstLine="200" w:firstLineChars="200"/>
      <w:jc w:val="left"/>
    </w:pPr>
    <w:rPr>
      <w:rFonts w:ascii="宋体" w:hAnsi="宋体" w:cs="宋体"/>
      <w:sz w:val="24"/>
    </w:rPr>
  </w:style>
  <w:style w:type="paragraph" w:customStyle="1" w:styleId="55">
    <w:name w:val="表格文字-五号"/>
    <w:basedOn w:val="1"/>
    <w:next w:val="1"/>
    <w:uiPriority w:val="0"/>
    <w:pPr>
      <w:widowControl/>
      <w:tabs>
        <w:tab w:val="left" w:pos="2340"/>
      </w:tabs>
      <w:adjustRightInd w:val="0"/>
      <w:snapToGrid w:val="0"/>
      <w:jc w:val="center"/>
    </w:pPr>
    <w:rPr>
      <w:color w:val="000000"/>
      <w:kern w:val="0"/>
      <w:sz w:val="20"/>
    </w:rPr>
  </w:style>
  <w:style w:type="paragraph" w:customStyle="1" w:styleId="56">
    <w:name w:val="Char Char Char Char Char Char Char"/>
    <w:basedOn w:val="1"/>
    <w:uiPriority w:val="0"/>
    <w:pPr>
      <w:spacing w:line="360" w:lineRule="auto"/>
      <w:ind w:firstLine="200" w:firstLineChars="200"/>
    </w:pPr>
    <w:rPr>
      <w:rFonts w:ascii="宋体" w:hAnsi="宋体" w:cs="宋体"/>
      <w:sz w:val="24"/>
    </w:rPr>
  </w:style>
  <w:style w:type="paragraph" w:customStyle="1" w:styleId="57">
    <w:name w:val="列出段落2"/>
    <w:basedOn w:val="1"/>
    <w:uiPriority w:val="0"/>
    <w:pPr>
      <w:ind w:firstLine="420" w:firstLineChars="200"/>
    </w:pPr>
    <w:rPr>
      <w:szCs w:val="22"/>
    </w:rPr>
  </w:style>
  <w:style w:type="paragraph" w:customStyle="1" w:styleId="58">
    <w:name w:val="表中"/>
    <w:basedOn w:val="1"/>
    <w:link w:val="84"/>
    <w:uiPriority w:val="0"/>
    <w:pPr>
      <w:spacing w:line="300" w:lineRule="exact"/>
      <w:jc w:val="center"/>
    </w:pPr>
    <w:rPr>
      <w:szCs w:val="21"/>
    </w:rPr>
  </w:style>
  <w:style w:type="paragraph" w:customStyle="1" w:styleId="59">
    <w:name w:val="普通(网站)2"/>
    <w:basedOn w:val="1"/>
    <w:qFormat/>
    <w:uiPriority w:val="0"/>
    <w:pPr>
      <w:widowControl/>
      <w:spacing w:before="100" w:beforeAutospacing="1" w:after="100" w:afterAutospacing="1"/>
      <w:jc w:val="left"/>
    </w:pPr>
    <w:rPr>
      <w:rFonts w:ascii="宋体" w:hAnsi="宋体" w:cs="宋体"/>
      <w:kern w:val="0"/>
      <w:sz w:val="24"/>
    </w:rPr>
  </w:style>
  <w:style w:type="paragraph" w:customStyle="1" w:styleId="60">
    <w:name w:val="List Paragraph"/>
    <w:basedOn w:val="1"/>
    <w:qFormat/>
    <w:uiPriority w:val="34"/>
    <w:pPr>
      <w:ind w:firstLine="420" w:firstLineChars="200"/>
    </w:pPr>
  </w:style>
  <w:style w:type="paragraph" w:customStyle="1" w:styleId="61">
    <w:name w:val="普通(网站)3"/>
    <w:basedOn w:val="1"/>
    <w:uiPriority w:val="0"/>
    <w:pPr>
      <w:widowControl/>
      <w:spacing w:before="100" w:beforeAutospacing="1" w:after="100" w:afterAutospacing="1"/>
      <w:jc w:val="left"/>
    </w:pPr>
    <w:rPr>
      <w:rFonts w:ascii="宋体" w:hAnsi="宋体" w:cs="宋体"/>
      <w:kern w:val="0"/>
      <w:sz w:val="24"/>
    </w:rPr>
  </w:style>
  <w:style w:type="paragraph" w:customStyle="1" w:styleId="62">
    <w:name w:val="正文文本缩进 22"/>
    <w:basedOn w:val="1"/>
    <w:uiPriority w:val="0"/>
    <w:pPr>
      <w:adjustRightInd w:val="0"/>
      <w:spacing w:line="312" w:lineRule="atLeast"/>
      <w:ind w:firstLine="570" w:firstLineChars="200"/>
      <w:jc w:val="distribute"/>
    </w:pPr>
    <w:rPr>
      <w:rFonts w:ascii="Times New Roman" w:hAnsi="Times New Roman" w:eastAsia="仿宋_GB2312" w:cs="Times New Roman"/>
      <w:kern w:val="0"/>
      <w:sz w:val="28"/>
      <w:szCs w:val="20"/>
    </w:rPr>
  </w:style>
  <w:style w:type="paragraph" w:customStyle="1" w:styleId="63">
    <w:name w:val="表文字"/>
    <w:basedOn w:val="1"/>
    <w:uiPriority w:val="99"/>
    <w:pPr>
      <w:widowControl/>
      <w:tabs>
        <w:tab w:val="left" w:pos="945"/>
        <w:tab w:val="right" w:leader="dot" w:pos="1155"/>
        <w:tab w:val="left" w:pos="8715"/>
      </w:tabs>
      <w:spacing w:beforeLines="15" w:afterLines="15"/>
      <w:jc w:val="center"/>
      <w:textAlignment w:val="baseline"/>
    </w:pPr>
    <w:rPr>
      <w:rFonts w:ascii="宋体" w:hAnsi="宋体" w:cs="Times New Roman"/>
      <w:color w:val="000000"/>
      <w:kern w:val="0"/>
      <w:sz w:val="24"/>
      <w:szCs w:val="9"/>
    </w:rPr>
  </w:style>
  <w:style w:type="paragraph" w:customStyle="1" w:styleId="64">
    <w:name w:val="正文 New"/>
    <w:uiPriority w:val="99"/>
    <w:pPr>
      <w:widowControl w:val="0"/>
      <w:spacing w:line="360" w:lineRule="auto"/>
      <w:jc w:val="both"/>
    </w:pPr>
    <w:rPr>
      <w:rFonts w:ascii="Times New Roman" w:hAnsi="Times New Roman" w:eastAsia="宋体" w:cs="Times New Roman"/>
      <w:kern w:val="2"/>
      <w:sz w:val="28"/>
      <w:szCs w:val="28"/>
      <w:lang w:val="en-US" w:eastAsia="zh-CN" w:bidi="ar-SA"/>
    </w:rPr>
  </w:style>
  <w:style w:type="paragraph" w:customStyle="1" w:styleId="65">
    <w:name w:val="【表中文字】"/>
    <w:basedOn w:val="1"/>
    <w:link w:val="98"/>
    <w:qFormat/>
    <w:uiPriority w:val="0"/>
    <w:pPr>
      <w:jc w:val="center"/>
    </w:pPr>
    <w:rPr>
      <w:rFonts w:ascii="Times New Roman" w:hAnsi="Times New Roman" w:cs="Times New Roman"/>
      <w:szCs w:val="20"/>
    </w:rPr>
  </w:style>
  <w:style w:type="character" w:customStyle="1" w:styleId="66">
    <w:name w:val="页码1"/>
    <w:basedOn w:val="18"/>
    <w:uiPriority w:val="0"/>
    <w:rPr/>
  </w:style>
  <w:style w:type="character" w:customStyle="1" w:styleId="67">
    <w:name w:val="批注引用1"/>
    <w:uiPriority w:val="0"/>
    <w:rPr>
      <w:sz w:val="21"/>
      <w:szCs w:val="21"/>
    </w:rPr>
  </w:style>
  <w:style w:type="character" w:customStyle="1" w:styleId="68">
    <w:name w:val="正文文本缩进 3 Char Char Char"/>
    <w:link w:val="30"/>
    <w:semiHidden/>
    <w:uiPriority w:val="0"/>
    <w:rPr>
      <w:kern w:val="2"/>
      <w:sz w:val="16"/>
      <w:szCs w:val="16"/>
    </w:rPr>
  </w:style>
  <w:style w:type="character" w:customStyle="1" w:styleId="69">
    <w:name w:val="正文内容 Char Char"/>
    <w:link w:val="39"/>
    <w:semiHidden/>
    <w:uiPriority w:val="0"/>
    <w:rPr>
      <w:kern w:val="2"/>
      <w:sz w:val="24"/>
      <w:szCs w:val="24"/>
      <w:lang w:val="en-US" w:eastAsia="zh-CN" w:bidi="ar-SA"/>
    </w:rPr>
  </w:style>
  <w:style w:type="character" w:customStyle="1" w:styleId="70">
    <w:name w:val="4 Char Char"/>
    <w:link w:val="52"/>
    <w:semiHidden/>
    <w:uiPriority w:val="0"/>
    <w:rPr>
      <w:rFonts w:ascii="Arial" w:hAnsi="Arial" w:eastAsia="黑体"/>
      <w:b/>
      <w:kern w:val="2"/>
      <w:sz w:val="24"/>
      <w:szCs w:val="24"/>
      <w:lang w:val="en-US" w:eastAsia="zh-CN" w:bidi="ar-SA"/>
    </w:rPr>
  </w:style>
  <w:style w:type="character" w:customStyle="1" w:styleId="71">
    <w:name w:val="表格文字 Char Char"/>
    <w:link w:val="46"/>
    <w:semiHidden/>
    <w:uiPriority w:val="0"/>
    <w:rPr>
      <w:rFonts w:ascii="Arial" w:hAnsi="Arial" w:eastAsia="宋体-方正超大字符集" w:cs="Arial"/>
      <w:sz w:val="21"/>
      <w:szCs w:val="24"/>
    </w:rPr>
  </w:style>
  <w:style w:type="character" w:customStyle="1" w:styleId="72">
    <w:name w:val="MSG_EN_FONT_STYLE_NAME_TEMPLATE_ROLE_NUMBER MSG_EN_FONT_STYLE_NAME_BY_ROLE_TEXT 2_"/>
    <w:link w:val="42"/>
    <w:semiHidden/>
    <w:uiPriority w:val="0"/>
    <w:rPr>
      <w:rFonts w:ascii="PMingLiU" w:hAnsi="PMingLiU" w:eastAsia="PMingLiU"/>
      <w:spacing w:val="20"/>
      <w:sz w:val="26"/>
      <w:szCs w:val="26"/>
      <w:shd w:val="clear" w:color="auto" w:fill="FFFFFF"/>
      <w:lang w:bidi="ar-SA"/>
    </w:rPr>
  </w:style>
  <w:style w:type="character" w:customStyle="1" w:styleId="73">
    <w:name w:val="newsitemtext1"/>
    <w:uiPriority w:val="0"/>
    <w:rPr>
      <w:color w:val="000000"/>
      <w:sz w:val="17"/>
      <w:szCs w:val="17"/>
    </w:rPr>
  </w:style>
  <w:style w:type="character" w:customStyle="1" w:styleId="74">
    <w:name w:val="表格内容5号 Char Char"/>
    <w:link w:val="43"/>
    <w:semiHidden/>
    <w:uiPriority w:val="0"/>
    <w:rPr>
      <w:kern w:val="2"/>
      <w:sz w:val="21"/>
      <w:szCs w:val="24"/>
      <w:lang w:val="en-US" w:eastAsia="zh-CN" w:bidi="ar-SA"/>
    </w:rPr>
  </w:style>
  <w:style w:type="character" w:customStyle="1" w:styleId="75">
    <w:name w:val="正文缩进 Char Char Char"/>
    <w:aliases w:val="正文缩进 Char1,正文不缩进 Char,正文（首行缩进两字） Char Char1,正文（首行缩进两字） Char Char Char Char Char Char Char Char,正文缩进1 Char,题目前空行 Char,正文缩进 Char Char1,s4 Char Char,s4 Char1,标题4 Char,表正文 Char,正文非缩进 Char1,正文（首行缩进两字） Char Char Char Char Char Char Char1"/>
    <w:link w:val="23"/>
    <w:uiPriority w:val="0"/>
    <w:rPr>
      <w:kern w:val="2"/>
      <w:sz w:val="21"/>
      <w:szCs w:val="24"/>
    </w:rPr>
  </w:style>
  <w:style w:type="character" w:customStyle="1" w:styleId="76">
    <w:name w:val="批注文字 Char1"/>
    <w:link w:val="7"/>
    <w:semiHidden/>
    <w:uiPriority w:val="0"/>
    <w:rPr>
      <w:kern w:val="2"/>
      <w:sz w:val="21"/>
    </w:rPr>
  </w:style>
  <w:style w:type="character" w:customStyle="1" w:styleId="77">
    <w:name w:val="正文文本 Char"/>
    <w:link w:val="10"/>
    <w:semiHidden/>
    <w:uiPriority w:val="0"/>
    <w:rPr>
      <w:kern w:val="2"/>
      <w:sz w:val="21"/>
      <w:szCs w:val="24"/>
    </w:rPr>
  </w:style>
  <w:style w:type="character" w:customStyle="1" w:styleId="78">
    <w:name w:val="陈正文 Char Char"/>
    <w:link w:val="48"/>
    <w:semiHidden/>
    <w:uiPriority w:val="0"/>
    <w:rPr>
      <w:rFonts w:ascii="Arial" w:hAnsi="Arial" w:eastAsia="宋体" w:cs="宋体"/>
      <w:color w:val="000000"/>
      <w:kern w:val="2"/>
      <w:sz w:val="21"/>
      <w:szCs w:val="21"/>
      <w:lang w:val="en-US" w:eastAsia="zh-CN" w:bidi="ar-SA"/>
    </w:rPr>
  </w:style>
  <w:style w:type="character" w:customStyle="1" w:styleId="79">
    <w:name w:val="正文文本缩进 Char Char Char"/>
    <w:link w:val="25"/>
    <w:semiHidden/>
    <w:uiPriority w:val="0"/>
    <w:rPr>
      <w:kern w:val="2"/>
      <w:sz w:val="21"/>
      <w:szCs w:val="24"/>
    </w:rPr>
  </w:style>
  <w:style w:type="character" w:customStyle="1" w:styleId="80">
    <w:name w:val="正文文本缩进 2 Char Char Char"/>
    <w:link w:val="28"/>
    <w:semiHidden/>
    <w:uiPriority w:val="0"/>
    <w:rPr>
      <w:kern w:val="2"/>
      <w:sz w:val="21"/>
      <w:szCs w:val="24"/>
    </w:rPr>
  </w:style>
  <w:style w:type="character" w:customStyle="1" w:styleId="81">
    <w:name w:val="彩霞-正文 Char Char"/>
    <w:link w:val="49"/>
    <w:semiHidden/>
    <w:uiPriority w:val="0"/>
    <w:rPr>
      <w:rFonts w:cs="宋体"/>
      <w:sz w:val="24"/>
      <w:szCs w:val="28"/>
      <w:lang w:val="zh-CN"/>
    </w:rPr>
  </w:style>
  <w:style w:type="character" w:customStyle="1" w:styleId="82">
    <w:name w:val="页眉 Char"/>
    <w:link w:val="15"/>
    <w:semiHidden/>
    <w:uiPriority w:val="0"/>
    <w:rPr>
      <w:kern w:val="2"/>
      <w:sz w:val="18"/>
      <w:szCs w:val="18"/>
    </w:rPr>
  </w:style>
  <w:style w:type="character" w:customStyle="1" w:styleId="83">
    <w:name w:val="正文1 Char Char"/>
    <w:link w:val="38"/>
    <w:semiHidden/>
    <w:uiPriority w:val="0"/>
    <w:rPr>
      <w:b/>
      <w:color w:val="000000"/>
      <w:kern w:val="2"/>
      <w:sz w:val="24"/>
    </w:rPr>
  </w:style>
  <w:style w:type="character" w:customStyle="1" w:styleId="84">
    <w:name w:val="表中 Char Char"/>
    <w:link w:val="58"/>
    <w:semiHidden/>
    <w:uiPriority w:val="0"/>
    <w:rPr>
      <w:rFonts w:ascii="Calibri" w:hAnsi="Calibri"/>
      <w:kern w:val="2"/>
      <w:sz w:val="21"/>
      <w:szCs w:val="21"/>
    </w:rPr>
  </w:style>
  <w:style w:type="character" w:customStyle="1" w:styleId="85">
    <w:name w:val="纯文本 Char Char Char"/>
    <w:link w:val="26"/>
    <w:semiHidden/>
    <w:uiPriority w:val="0"/>
    <w:rPr>
      <w:rFonts w:ascii="宋体" w:hAnsi="Courier New" w:eastAsia="宋体"/>
      <w:kern w:val="2"/>
      <w:sz w:val="21"/>
      <w:lang w:val="en-US" w:eastAsia="zh-CN" w:bidi="ar-SA"/>
    </w:rPr>
  </w:style>
  <w:style w:type="character" w:customStyle="1" w:styleId="86">
    <w:name w:val="标题 2 Char"/>
    <w:link w:val="3"/>
    <w:semiHidden/>
    <w:uiPriority w:val="0"/>
    <w:rPr>
      <w:rFonts w:ascii="Arial" w:eastAsia="黑体"/>
      <w:b/>
      <w:color w:val="000000"/>
      <w:sz w:val="31"/>
      <w:u w:val="none" w:color="000000"/>
      <w:lang w:val="en-US" w:eastAsia="zh-CN" w:bidi="ar-SA"/>
    </w:rPr>
  </w:style>
  <w:style w:type="character" w:customStyle="1" w:styleId="87">
    <w:name w:val="MSG_EN_FONT_STYLE_NAME_TEMPLATE_ROLE_NUMBER MSG_EN_FONT_STYLE_NAME_BY_ROLE_TEXT 2 + MSG_EN_FONT_STYLE_MODIFER_NAME Courier New"/>
    <w:aliases w:val="MSG_EN_FONT_STYLE_MODIFER_SIZE 1517,MSG_EN_FONT_STYLE_MODIFER_SPACING 0203"/>
    <w:uiPriority w:val="0"/>
    <w:rPr>
      <w:rFonts w:ascii="Courier New" w:hAnsi="Courier New" w:eastAsia="Times New Roman" w:cs="Courier New"/>
      <w:color w:val="000000"/>
      <w:spacing w:val="0"/>
      <w:w w:val="100"/>
      <w:position w:val="0"/>
      <w:sz w:val="30"/>
      <w:szCs w:val="30"/>
      <w:u w:val="none"/>
      <w:shd w:val="clear" w:color="auto" w:fill="FFFFFF"/>
      <w:lang w:val="en-US" w:eastAsia="en-US" w:bidi="ar-SA"/>
    </w:rPr>
  </w:style>
  <w:style w:type="character" w:customStyle="1" w:styleId="88">
    <w:name w:val="正文文本 2 字符"/>
    <w:semiHidden/>
    <w:uiPriority w:val="99"/>
    <w:rPr>
      <w:kern w:val="2"/>
      <w:sz w:val="21"/>
      <w:szCs w:val="24"/>
    </w:rPr>
  </w:style>
  <w:style w:type="character" w:customStyle="1" w:styleId="89">
    <w:name w:val="正文文本 2 Char"/>
    <w:link w:val="17"/>
    <w:semiHidden/>
    <w:uiPriority w:val="99"/>
    <w:rPr>
      <w:rFonts w:cs="Times New Roman"/>
      <w:kern w:val="2"/>
      <w:sz w:val="21"/>
      <w:szCs w:val="22"/>
    </w:rPr>
  </w:style>
  <w:style w:type="character" w:customStyle="1" w:styleId="90">
    <w:name w:val="批注文字 Char"/>
    <w:semiHidden/>
    <w:uiPriority w:val="99"/>
    <w:rPr>
      <w:kern w:val="2"/>
      <w:sz w:val="21"/>
      <w:szCs w:val="22"/>
    </w:rPr>
  </w:style>
  <w:style w:type="character" w:customStyle="1" w:styleId="91">
    <w:name w:val="日期 Char"/>
    <w:link w:val="12"/>
    <w:semiHidden/>
    <w:uiPriority w:val="99"/>
    <w:rPr>
      <w:kern w:val="2"/>
      <w:sz w:val="21"/>
      <w:szCs w:val="24"/>
    </w:rPr>
  </w:style>
  <w:style w:type="character" w:customStyle="1" w:styleId="92">
    <w:name w:val="批注主题 Char"/>
    <w:basedOn w:val="76"/>
    <w:link w:val="6"/>
    <w:semiHidden/>
    <w:uiPriority w:val="99"/>
    <w:rPr>
      <w:b/>
      <w:bCs/>
      <w:kern w:val="2"/>
      <w:sz w:val="21"/>
      <w:szCs w:val="24"/>
    </w:rPr>
  </w:style>
  <w:style w:type="character" w:customStyle="1" w:styleId="93">
    <w:name w:val="文档结构图 Char"/>
    <w:basedOn w:val="18"/>
    <w:link w:val="9"/>
    <w:semiHidden/>
    <w:uiPriority w:val="99"/>
    <w:rPr>
      <w:rFonts w:ascii="宋体"/>
      <w:kern w:val="2"/>
      <w:sz w:val="18"/>
      <w:szCs w:val="18"/>
    </w:rPr>
  </w:style>
  <w:style w:type="character" w:customStyle="1" w:styleId="94">
    <w:name w:val="标题 1 Char"/>
    <w:basedOn w:val="18"/>
    <w:link w:val="2"/>
    <w:uiPriority w:val="9"/>
    <w:rPr>
      <w:b/>
      <w:bCs/>
      <w:kern w:val="44"/>
      <w:sz w:val="44"/>
      <w:szCs w:val="44"/>
    </w:rPr>
  </w:style>
  <w:style w:type="character" w:customStyle="1" w:styleId="95">
    <w:name w:val="正文缩进 Char2"/>
    <w:aliases w:val="正文不缩进 Char1,正文（首行缩进两字） Char Char2,正文（首行缩进两字） Char Char Char Char Char Char Char Char1,题目前空行 Char1,正文缩进 Char Char Char1,正文缩进 Char Char2,s4 Char Char1,s4 Char2,标题4 Char1,表正文 Char1,正文非缩进 Char2,正文（首行缩进两字） Char Char Char Char Char Char Char2"/>
    <w:link w:val="8"/>
    <w:locked/>
    <w:uiPriority w:val="0"/>
    <w:rPr>
      <w:rFonts w:ascii="Times New Roman" w:hAnsi="Times New Roman" w:cs="Times New Roman"/>
      <w:kern w:val="2"/>
      <w:sz w:val="21"/>
      <w:szCs w:val="24"/>
    </w:rPr>
  </w:style>
  <w:style w:type="character" w:customStyle="1" w:styleId="96">
    <w:name w:val="fontstyle01"/>
    <w:uiPriority w:val="0"/>
    <w:rPr>
      <w:rFonts w:ascii="宋体" w:hAnsi="宋体" w:eastAsia="宋体" w:cs="宋体"/>
      <w:color w:val="000000"/>
      <w:sz w:val="24"/>
      <w:szCs w:val="24"/>
    </w:rPr>
  </w:style>
  <w:style w:type="character" w:customStyle="1" w:styleId="97">
    <w:name w:val="纯文本 Char"/>
    <w:basedOn w:val="18"/>
    <w:link w:val="11"/>
    <w:semiHidden/>
    <w:uiPriority w:val="0"/>
    <w:rPr>
      <w:rFonts w:ascii="宋体" w:hAnsi="Courier New" w:cs="Courier New"/>
      <w:kern w:val="2"/>
      <w:sz w:val="21"/>
      <w:szCs w:val="21"/>
    </w:rPr>
  </w:style>
  <w:style w:type="character" w:customStyle="1" w:styleId="98">
    <w:name w:val="【表中文字】 Char"/>
    <w:link w:val="65"/>
    <w:uiPriority w:val="0"/>
    <w:rPr>
      <w:rFonts w:ascii="Times New Roman" w:hAnsi="Times New Roman" w:cs="Times New Roman"/>
      <w:kern w:val="2"/>
      <w:sz w:val="21"/>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10</Pages>
  <Words>953</Words>
  <Characters>5436</Characters>
  <Lines>45</Lines>
  <Paragraphs>12</Paragraphs>
  <ScaleCrop>false</ScaleCrop>
  <LinksUpToDate>false</LinksUpToDate>
  <CharactersWithSpaces>0</CharactersWithSpaces>
  <Application>WPS Office 个人版_9.1.0.4954_{F1E327BC-269C-435d-A152-05C5408002CA}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2019-03-21T04:48:00Z</dcterms:created>
  <dc:creator>MC SYSTEM</dc:creator>
  <cp:lastModifiedBy>TG</cp:lastModifiedBy>
  <cp:lastPrinted>2018-07-13T17:29:00Z</cp:lastPrinted>
  <dcterms:modified xsi:type="dcterms:W3CDTF">2021-10-29T11:20:24Z</dcterms:modified>
  <dc:title>ygd</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2052-9.1.0.4954</vt:lpwstr>
  </property>
</Properties>
</file>