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header+xml" PartName="/word/header1.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b/>
          <w:bCs/>
          <w:color w:val="000000"/>
          <w:sz w:val="48"/>
          <w:szCs w:val="48"/>
        </w:rPr>
      </w:pPr>
      <w:r>
        <w:rPr>
          <w:rFonts w:ascii="Times New Roman" w:hAnsi="Times New Roman" w:cs="Times New Roman"/>
          <w:b/>
          <w:bCs/>
          <w:color w:val="000000"/>
          <w:sz w:val="48"/>
          <w:szCs w:val="48"/>
        </w:rPr>
        <w:t>山西太钢不锈钢股份有限公司</w:t>
      </w:r>
    </w:p>
    <w:p>
      <w:pPr>
        <w:jc w:val="center"/>
        <w:rPr>
          <w:rFonts w:ascii="Times New Roman" w:hAnsi="Times New Roman" w:cs="Times New Roman"/>
          <w:b/>
          <w:bCs/>
          <w:color w:val="000000"/>
          <w:sz w:val="48"/>
          <w:szCs w:val="48"/>
        </w:rPr>
      </w:pPr>
      <w:r>
        <w:rPr>
          <w:rFonts w:ascii="Times New Roman" w:hAnsi="Times New Roman" w:cs="Times New Roman"/>
          <w:b/>
          <w:bCs/>
          <w:color w:val="000000"/>
          <w:sz w:val="48"/>
          <w:szCs w:val="48"/>
        </w:rPr>
        <w:t>煤气锅炉升级改造项目</w:t>
      </w:r>
    </w:p>
    <w:p>
      <w:pPr>
        <w:jc w:val="center"/>
        <w:rPr>
          <w:rFonts w:ascii="Times New Roman" w:hAnsi="Times New Roman" w:cs="Times New Roman"/>
          <w:b/>
          <w:bCs/>
          <w:color w:val="000000"/>
          <w:sz w:val="48"/>
          <w:szCs w:val="48"/>
        </w:rPr>
      </w:pPr>
      <w:r>
        <w:rPr>
          <w:rFonts w:ascii="Times New Roman" w:hAnsi="Times New Roman" w:cs="Times New Roman"/>
          <w:b/>
          <w:bCs/>
          <w:color w:val="000000"/>
          <w:sz w:val="48"/>
          <w:szCs w:val="48"/>
        </w:rPr>
        <w:t>竣工环境保护验收监测报告表</w:t>
      </w: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ind w:firstLine="707" w:firstLineChars="221"/>
        <w:rPr>
          <w:rFonts w:ascii="Times New Roman" w:hAnsi="Times New Roman" w:cs="Times New Roman"/>
          <w:color w:val="000000"/>
          <w:sz w:val="32"/>
          <w:szCs w:val="32"/>
        </w:rPr>
      </w:pPr>
      <w:r>
        <w:rPr>
          <w:rFonts w:ascii="Times New Roman" w:hAnsi="Times New Roman" w:cs="Times New Roman"/>
          <w:color w:val="000000"/>
          <w:sz w:val="32"/>
          <w:szCs w:val="32"/>
        </w:rPr>
        <w:t>建设单位:山西太钢不锈钢股份有限公司能源动力总厂</w:t>
      </w:r>
    </w:p>
    <w:p>
      <w:pPr>
        <w:ind w:firstLine="707" w:firstLineChars="221"/>
        <w:rPr>
          <w:rFonts w:ascii="Times New Roman" w:hAnsi="Times New Roman" w:cs="Times New Roman"/>
          <w:color w:val="000000"/>
          <w:sz w:val="32"/>
          <w:szCs w:val="32"/>
        </w:rPr>
      </w:pPr>
      <w:r>
        <w:rPr>
          <w:rFonts w:ascii="Times New Roman" w:hAnsi="Times New Roman" w:cs="Times New Roman"/>
          <w:color w:val="000000"/>
          <w:sz w:val="32"/>
          <w:szCs w:val="32"/>
        </w:rPr>
        <w:t>编制单位:山西太钢工程技术有限公司</w:t>
      </w:r>
    </w:p>
    <w:p>
      <w:pPr>
        <w:jc w:val="center"/>
        <w:rPr>
          <w:rFonts w:ascii="Times New Roman" w:hAnsi="Times New Roman" w:cs="Times New Roman"/>
          <w:color w:val="000000"/>
          <w:sz w:val="32"/>
          <w:szCs w:val="32"/>
        </w:rPr>
      </w:pPr>
      <w:r>
        <w:rPr>
          <w:rFonts w:ascii="Times New Roman" w:hAnsi="Times New Roman" w:cs="Times New Roman"/>
          <w:color w:val="000000"/>
          <w:sz w:val="32"/>
          <w:szCs w:val="32"/>
        </w:rPr>
        <w:t>二〇二一年</w:t>
      </w:r>
      <w:r>
        <w:rPr>
          <w:rFonts w:hint="eastAsia" w:ascii="Times New Roman" w:hAnsi="Times New Roman" w:cs="Times New Roman"/>
          <w:color w:val="000000"/>
          <w:sz w:val="32"/>
          <w:szCs w:val="32"/>
        </w:rPr>
        <w:t>十</w:t>
      </w:r>
      <w:r>
        <w:rPr>
          <w:rFonts w:ascii="Times New Roman" w:hAnsi="Times New Roman" w:cs="Times New Roman"/>
          <w:color w:val="000000"/>
          <w:sz w:val="32"/>
          <w:szCs w:val="32"/>
        </w:rPr>
        <w:t>月</w:t>
      </w:r>
    </w:p>
    <w:p>
      <w:pPr>
        <w:spacing w:before="240" w:after="240"/>
        <w:rPr>
          <w:rFonts w:ascii="Times New Roman" w:hAnsi="Times New Roman" w:cs="Times New Roman"/>
          <w:b/>
          <w:bCs/>
          <w:color w:val="000000"/>
          <w:sz w:val="28"/>
          <w:szCs w:val="28"/>
        </w:rPr>
      </w:pPr>
      <w:r>
        <w:rPr>
          <w:rFonts w:ascii="Times New Roman" w:hAnsi="Times New Roman" w:cs="Times New Roman"/>
          <w:color w:val="000000"/>
          <w:sz w:val="32"/>
          <w:szCs w:val="32"/>
        </w:rPr>
        <w:br w:type="page"/>
      </w:r>
      <w:r>
        <w:rPr>
          <w:rFonts w:ascii="Times New Roman" w:hAnsi="Times New Roman" w:cs="Times New Roman"/>
          <w:b/>
          <w:bCs/>
          <w:color w:val="000000"/>
          <w:sz w:val="28"/>
          <w:szCs w:val="28"/>
        </w:rPr>
        <w:t>建设单位法人代表:  魏成文</w:t>
      </w:r>
      <w:r>
        <w:rPr>
          <w:rFonts w:ascii="Times New Roman" w:hAnsi="Times New Roman" w:cs="Times New Roman"/>
          <w:color w:val="000000"/>
          <w:sz w:val="28"/>
          <w:szCs w:val="28"/>
        </w:rPr>
        <w:t xml:space="preserve">              </w:t>
      </w:r>
    </w:p>
    <w:p>
      <w:pPr>
        <w:spacing w:before="240" w:after="240"/>
        <w:rPr>
          <w:rFonts w:ascii="Times New Roman" w:hAnsi="Times New Roman" w:cs="Times New Roman"/>
          <w:b/>
          <w:bCs/>
          <w:color w:val="000000"/>
          <w:sz w:val="28"/>
          <w:szCs w:val="28"/>
        </w:rPr>
      </w:pPr>
      <w:r>
        <w:rPr>
          <w:rFonts w:ascii="Times New Roman" w:hAnsi="Times New Roman" w:cs="Times New Roman"/>
          <w:b/>
          <w:bCs/>
          <w:color w:val="000000"/>
          <w:sz w:val="28"/>
          <w:szCs w:val="28"/>
        </w:rPr>
        <w:t>编制单位法人代表:  柴志勇</w:t>
      </w:r>
      <w:r>
        <w:rPr>
          <w:rFonts w:ascii="Times New Roman" w:hAnsi="Times New Roman" w:cs="Times New Roman"/>
          <w:color w:val="000000"/>
          <w:sz w:val="28"/>
          <w:szCs w:val="28"/>
        </w:rPr>
        <w:t xml:space="preserve">              </w:t>
      </w:r>
    </w:p>
    <w:p>
      <w:pPr>
        <w:spacing w:before="240" w:after="240"/>
        <w:ind w:right="84" w:rightChars="4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项  目  负 责 人:  胡  鑫</w:t>
      </w:r>
    </w:p>
    <w:p>
      <w:pPr>
        <w:spacing w:before="240" w:after="240"/>
        <w:rPr>
          <w:rFonts w:ascii="Times New Roman" w:hAnsi="Times New Roman" w:cs="Times New Roman"/>
          <w:b/>
          <w:bCs/>
          <w:color w:val="000000"/>
          <w:sz w:val="28"/>
          <w:szCs w:val="28"/>
        </w:rPr>
      </w:pPr>
      <w:r>
        <w:rPr>
          <w:rFonts w:ascii="Times New Roman" w:hAnsi="Times New Roman" w:cs="Times New Roman"/>
          <w:b/>
          <w:bCs/>
          <w:color w:val="000000"/>
          <w:sz w:val="28"/>
          <w:szCs w:val="28"/>
        </w:rPr>
        <w:t>填     表     人:  申  敏</w:t>
      </w: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ind w:left="1400" w:hanging="1400" w:hangingChars="500"/>
        <w:rPr>
          <w:rFonts w:ascii="Times New Roman" w:hAnsi="Times New Roman" w:cs="Times New Roman"/>
          <w:color w:val="000000"/>
          <w:sz w:val="28"/>
          <w:szCs w:val="28"/>
        </w:rPr>
        <w:sectPr>
          <w:headerReference r:id="rId4" w:type="default"/>
          <w:footerReference r:id="rId5" w:type="default"/>
          <w:pgSz w:w="11906" w:h="16838"/>
          <w:pgMar w:top="1440" w:right="1800" w:bottom="1440" w:left="1800" w:header="708" w:footer="708" w:gutter="0"/>
          <w:pgNumType w:start="1"/>
          <w:cols w:space="720" w:num="1"/>
          <w:titlePg/>
          <w:docGrid w:linePitch="360" w:charSpace="0"/>
        </w:sectPr>
      </w:pPr>
    </w:p>
    <w:p>
      <w:pPr>
        <w:ind w:left="1200" w:hanging="1200" w:hangingChars="500"/>
        <w:jc w:val="both"/>
        <w:rPr>
          <w:rFonts w:ascii="Times New Roman" w:hAnsi="Times New Roman" w:cs="Times New Roman"/>
          <w:color w:val="000000"/>
          <w:sz w:val="24"/>
          <w:szCs w:val="24"/>
        </w:rPr>
      </w:pPr>
      <w:r>
        <w:rPr>
          <w:rFonts w:ascii="Times New Roman" w:hAnsi="Times New Roman" w:cs="Times New Roman"/>
          <w:color w:val="000000"/>
          <w:sz w:val="24"/>
          <w:szCs w:val="24"/>
        </w:rPr>
        <w:t>建设单位：山西太钢不锈钢股份</w:t>
      </w:r>
    </w:p>
    <w:p>
      <w:pPr>
        <w:ind w:left="1197" w:leftChars="570"/>
        <w:jc w:val="both"/>
        <w:rPr>
          <w:rFonts w:ascii="Times New Roman" w:hAnsi="Times New Roman" w:cs="Times New Roman"/>
          <w:color w:val="000000"/>
          <w:sz w:val="24"/>
          <w:szCs w:val="24"/>
        </w:rPr>
      </w:pPr>
      <w:r>
        <w:rPr>
          <w:rFonts w:ascii="Times New Roman" w:hAnsi="Times New Roman" w:cs="Times New Roman"/>
          <w:color w:val="000000"/>
          <w:sz w:val="24"/>
          <w:szCs w:val="24"/>
        </w:rPr>
        <w:t>有限公司能源动力总厂（盖章）</w:t>
      </w:r>
    </w:p>
    <w:p>
      <w:pPr>
        <w:ind w:right="-456" w:rightChars="-217"/>
        <w:rPr>
          <w:rFonts w:ascii="Times New Roman" w:hAnsi="Times New Roman" w:cs="Times New Roman"/>
          <w:color w:val="000000"/>
          <w:sz w:val="24"/>
          <w:szCs w:val="24"/>
        </w:rPr>
      </w:pPr>
      <w:r>
        <w:rPr>
          <w:rFonts w:ascii="Times New Roman" w:hAnsi="Times New Roman" w:cs="Times New Roman"/>
          <w:color w:val="000000"/>
          <w:sz w:val="24"/>
          <w:szCs w:val="24"/>
        </w:rPr>
        <w:t>电    话：0351-2133963</w:t>
      </w:r>
    </w:p>
    <w:p>
      <w:pPr>
        <w:rPr>
          <w:rFonts w:ascii="Times New Roman" w:hAnsi="Times New Roman" w:cs="Times New Roman"/>
          <w:color w:val="000000"/>
          <w:sz w:val="24"/>
          <w:szCs w:val="24"/>
        </w:rPr>
      </w:pPr>
      <w:r>
        <w:rPr>
          <w:rFonts w:ascii="Times New Roman" w:hAnsi="Times New Roman" w:cs="Times New Roman"/>
          <w:color w:val="000000"/>
          <w:sz w:val="24"/>
          <w:szCs w:val="24"/>
        </w:rPr>
        <w:t>传    真：0351-2132226</w:t>
      </w:r>
    </w:p>
    <w:p>
      <w:pPr>
        <w:ind w:left="1200" w:hanging="1200" w:hangingChars="500"/>
        <w:jc w:val="both"/>
        <w:rPr>
          <w:rFonts w:ascii="Times New Roman" w:hAnsi="Times New Roman" w:cs="Times New Roman"/>
          <w:color w:val="000000"/>
          <w:sz w:val="24"/>
          <w:szCs w:val="24"/>
        </w:rPr>
      </w:pPr>
      <w:r>
        <w:rPr>
          <w:rFonts w:ascii="Times New Roman" w:hAnsi="Times New Roman" w:cs="Times New Roman"/>
          <w:color w:val="000000"/>
          <w:sz w:val="24"/>
          <w:szCs w:val="24"/>
        </w:rPr>
        <w:t>邮    编：030002</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地    址：山西省太原市尖草坪2号</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编制单位：山西太钢工程技术</w:t>
      </w:r>
    </w:p>
    <w:p>
      <w:pPr>
        <w:ind w:left="1197" w:leftChars="570"/>
        <w:rPr>
          <w:rFonts w:ascii="Times New Roman" w:hAnsi="Times New Roman" w:cs="Times New Roman"/>
          <w:color w:val="000000"/>
          <w:sz w:val="24"/>
          <w:szCs w:val="24"/>
        </w:rPr>
      </w:pPr>
      <w:r>
        <w:rPr>
          <w:rFonts w:ascii="Times New Roman" w:hAnsi="Times New Roman" w:cs="Times New Roman"/>
          <w:color w:val="000000"/>
          <w:sz w:val="24"/>
          <w:szCs w:val="24"/>
        </w:rPr>
        <w:t>有限公司  （盖章）</w:t>
      </w:r>
    </w:p>
    <w:p>
      <w:pPr>
        <w:pStyle w:val="2"/>
        <w:spacing w:before="120"/>
        <w:rPr>
          <w:rFonts w:ascii="Times New Roman" w:hAnsi="Times New Roman" w:cs="Times New Roman"/>
        </w:rPr>
      </w:pPr>
    </w:p>
    <w:p>
      <w:pPr>
        <w:rPr>
          <w:rFonts w:ascii="Times New Roman" w:hAnsi="Times New Roman" w:cs="Times New Roman"/>
          <w:color w:val="000000"/>
          <w:sz w:val="24"/>
          <w:szCs w:val="24"/>
        </w:rPr>
      </w:pPr>
      <w:r>
        <w:rPr>
          <w:rFonts w:ascii="Times New Roman" w:hAnsi="Times New Roman" w:cs="Times New Roman"/>
          <w:color w:val="000000"/>
          <w:sz w:val="24"/>
          <w:szCs w:val="24"/>
        </w:rPr>
        <w:t>电    话：0351-2135566</w:t>
      </w:r>
    </w:p>
    <w:p>
      <w:pPr>
        <w:rPr>
          <w:rFonts w:ascii="Times New Roman" w:hAnsi="Times New Roman" w:cs="Times New Roman"/>
          <w:color w:val="000000"/>
          <w:sz w:val="24"/>
          <w:szCs w:val="24"/>
        </w:rPr>
      </w:pPr>
      <w:r>
        <w:rPr>
          <w:rFonts w:ascii="Times New Roman" w:hAnsi="Times New Roman" w:cs="Times New Roman"/>
          <w:color w:val="000000"/>
          <w:sz w:val="24"/>
          <w:szCs w:val="24"/>
        </w:rPr>
        <w:t>传    真：0351-2135566</w:t>
      </w:r>
    </w:p>
    <w:p>
      <w:pPr>
        <w:rPr>
          <w:rFonts w:ascii="Times New Roman" w:hAnsi="Times New Roman" w:cs="Times New Roman"/>
          <w:color w:val="000000"/>
          <w:sz w:val="24"/>
          <w:szCs w:val="24"/>
        </w:rPr>
      </w:pPr>
      <w:r>
        <w:rPr>
          <w:rFonts w:ascii="Times New Roman" w:hAnsi="Times New Roman" w:cs="Times New Roman"/>
          <w:color w:val="000000"/>
          <w:sz w:val="24"/>
          <w:szCs w:val="24"/>
        </w:rPr>
        <w:t>邮    编：030009</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地    址：太原市胜利街327号</w:t>
      </w:r>
    </w:p>
    <w:p>
      <w:pPr>
        <w:pStyle w:val="2"/>
        <w:spacing w:before="120"/>
        <w:jc w:val="left"/>
        <w:rPr>
          <w:rFonts w:ascii="Times New Roman" w:hAnsi="Times New Roman" w:eastAsia="宋体" w:cs="Times New Roman"/>
        </w:rPr>
        <w:sectPr>
          <w:type w:val="continuous"/>
          <w:pgSz w:w="11906" w:h="16838"/>
          <w:pgMar w:top="1440" w:right="1800" w:bottom="1440" w:left="1800" w:header="708" w:footer="708" w:gutter="0"/>
          <w:cols w:space="427" w:num="2"/>
          <w:titlePg/>
          <w:docGrid w:linePitch="360" w:charSpace="0"/>
        </w:sectPr>
      </w:pPr>
    </w:p>
    <w:p>
      <w:pPr>
        <w:spacing w:after="240" w:afterLines="100"/>
        <w:jc w:val="center"/>
        <w:rPr>
          <w:rFonts w:ascii="Times New Roman" w:hAnsi="Times New Roman" w:cs="Times New Roman"/>
          <w:sz w:val="32"/>
          <w:szCs w:val="32"/>
        </w:rPr>
      </w:pPr>
      <w:bookmarkStart w:id="0" w:name="_Toc27631_WPSOffice_Type1"/>
      <w:r>
        <w:rPr>
          <w:rFonts w:ascii="Times New Roman" w:hAnsi="Times New Roman" w:cs="Times New Roman"/>
          <w:sz w:val="32"/>
          <w:szCs w:val="32"/>
        </w:rPr>
        <w:t>目   录</w:t>
      </w:r>
    </w:p>
    <w:p>
      <w:pPr>
        <w:pStyle w:val="14"/>
        <w:tabs>
          <w:tab w:val="right" w:leader="dot" w:pos="8296"/>
        </w:tabs>
        <w:rPr>
          <w:rFonts w:ascii="Times New Roman" w:hAnsi="Times New Roman" w:cs="Times New Roman"/>
          <w:sz w:val="28"/>
          <w:szCs w:val="32"/>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\o "1-3" \h \z \u </w:instrText>
      </w:r>
      <w:r>
        <w:rPr>
          <w:rFonts w:ascii="Times New Roman" w:hAnsi="Times New Roman" w:cs="Times New Roman"/>
          <w:sz w:val="24"/>
          <w:szCs w:val="24"/>
        </w:rPr>
        <w:fldChar w:fldCharType="separate"/>
      </w:r>
      <w:r>
        <w:fldChar w:fldCharType="begin"/>
      </w:r>
      <w:r>
        <w:instrText xml:space="preserve">HYPERLINK  \l "_Toc86072625" </w:instrText>
      </w:r>
      <w:r>
        <w:fldChar w:fldCharType="separate"/>
      </w:r>
      <w:r>
        <w:rPr>
          <w:rStyle w:val="19"/>
          <w:rFonts w:ascii="Times New Roman" w:hAnsi="Times New Roman" w:cs="Times New Roman"/>
          <w:sz w:val="28"/>
          <w:szCs w:val="28"/>
        </w:rPr>
        <w:t>表一  项目基本情况及验收依据</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_Toc86072625 \h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fldChar w:fldCharType="end"/>
      </w:r>
    </w:p>
    <w:p>
      <w:pPr>
        <w:pStyle w:val="14"/>
        <w:tabs>
          <w:tab w:val="right" w:leader="dot" w:pos="8296"/>
        </w:tabs>
        <w:rPr>
          <w:rFonts w:ascii="Times New Roman" w:hAnsi="Times New Roman" w:cs="Times New Roman"/>
          <w:sz w:val="28"/>
          <w:szCs w:val="32"/>
        </w:rPr>
      </w:pPr>
      <w:r>
        <w:fldChar w:fldCharType="begin"/>
      </w:r>
      <w:r>
        <w:instrText xml:space="preserve">HYPERLINK  \l "_Toc86072626" </w:instrText>
      </w:r>
      <w:r>
        <w:fldChar w:fldCharType="separate"/>
      </w:r>
      <w:r>
        <w:rPr>
          <w:rStyle w:val="19"/>
          <w:rFonts w:ascii="Times New Roman" w:hAnsi="Times New Roman" w:cs="Times New Roman"/>
          <w:sz w:val="28"/>
          <w:szCs w:val="28"/>
        </w:rPr>
        <w:t>表二  项目建设情况</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_Toc86072626 \h </w:instrText>
      </w:r>
      <w:r>
        <w:rPr>
          <w:rFonts w:ascii="Times New Roman" w:hAnsi="Times New Roman" w:cs="Times New Roman"/>
          <w:sz w:val="28"/>
          <w:szCs w:val="28"/>
        </w:rPr>
        <w:fldChar w:fldCharType="separate"/>
      </w:r>
      <w:r>
        <w:rPr>
          <w:rFonts w:ascii="Times New Roman" w:hAnsi="Times New Roman" w:cs="Times New Roman"/>
          <w:sz w:val="28"/>
          <w:szCs w:val="28"/>
        </w:rPr>
        <w:t>4</w:t>
      </w:r>
      <w:r>
        <w:rPr>
          <w:rFonts w:ascii="Times New Roman" w:hAnsi="Times New Roman" w:cs="Times New Roman"/>
          <w:sz w:val="28"/>
          <w:szCs w:val="28"/>
        </w:rPr>
        <w:fldChar w:fldCharType="end"/>
      </w:r>
      <w:r>
        <w:fldChar w:fldCharType="end"/>
      </w:r>
    </w:p>
    <w:p>
      <w:pPr>
        <w:pStyle w:val="14"/>
        <w:tabs>
          <w:tab w:val="right" w:leader="dot" w:pos="8296"/>
        </w:tabs>
        <w:rPr>
          <w:rFonts w:ascii="Times New Roman" w:hAnsi="Times New Roman" w:cs="Times New Roman"/>
          <w:sz w:val="28"/>
          <w:szCs w:val="32"/>
        </w:rPr>
      </w:pPr>
      <w:r>
        <w:fldChar w:fldCharType="begin"/>
      </w:r>
      <w:r>
        <w:instrText xml:space="preserve">HYPERLINK  \l "_Toc86072627" </w:instrText>
      </w:r>
      <w:r>
        <w:fldChar w:fldCharType="separate"/>
      </w:r>
      <w:r>
        <w:rPr>
          <w:rStyle w:val="19"/>
          <w:rFonts w:ascii="Times New Roman" w:hAnsi="Times New Roman" w:cs="Times New Roman"/>
          <w:sz w:val="28"/>
          <w:szCs w:val="28"/>
        </w:rPr>
        <w:t>表三  主要污染源及污染物处理和排放情况</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_Toc86072627 \h </w:instrText>
      </w:r>
      <w:r>
        <w:rPr>
          <w:rFonts w:ascii="Times New Roman" w:hAnsi="Times New Roman" w:cs="Times New Roman"/>
          <w:sz w:val="28"/>
          <w:szCs w:val="28"/>
        </w:rPr>
        <w:fldChar w:fldCharType="separate"/>
      </w:r>
      <w:r>
        <w:rPr>
          <w:rFonts w:ascii="Times New Roman" w:hAnsi="Times New Roman" w:cs="Times New Roman"/>
          <w:sz w:val="28"/>
          <w:szCs w:val="28"/>
        </w:rPr>
        <w:t>20</w:t>
      </w:r>
      <w:r>
        <w:rPr>
          <w:rFonts w:ascii="Times New Roman" w:hAnsi="Times New Roman" w:cs="Times New Roman"/>
          <w:sz w:val="28"/>
          <w:szCs w:val="28"/>
        </w:rPr>
        <w:fldChar w:fldCharType="end"/>
      </w:r>
      <w:r>
        <w:fldChar w:fldCharType="end"/>
      </w:r>
    </w:p>
    <w:p>
      <w:pPr>
        <w:pStyle w:val="14"/>
        <w:tabs>
          <w:tab w:val="right" w:leader="dot" w:pos="8296"/>
        </w:tabs>
        <w:rPr>
          <w:rFonts w:ascii="Times New Roman" w:hAnsi="Times New Roman" w:cs="Times New Roman"/>
          <w:sz w:val="28"/>
          <w:szCs w:val="32"/>
        </w:rPr>
      </w:pPr>
      <w:r>
        <w:fldChar w:fldCharType="begin"/>
      </w:r>
      <w:r>
        <w:instrText xml:space="preserve">HYPERLINK  \l "_Toc86072628" </w:instrText>
      </w:r>
      <w:r>
        <w:fldChar w:fldCharType="separate"/>
      </w:r>
      <w:r>
        <w:rPr>
          <w:rStyle w:val="19"/>
          <w:rFonts w:ascii="Times New Roman" w:hAnsi="Times New Roman" w:cs="Times New Roman"/>
          <w:sz w:val="28"/>
          <w:szCs w:val="28"/>
        </w:rPr>
        <w:t>表四  建设项目环境影响报告表主要结论及审批部门审批决定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_Toc86072628 \h </w:instrText>
      </w:r>
      <w:r>
        <w:rPr>
          <w:rFonts w:ascii="Times New Roman" w:hAnsi="Times New Roman" w:cs="Times New Roman"/>
          <w:sz w:val="28"/>
          <w:szCs w:val="28"/>
        </w:rPr>
        <w:fldChar w:fldCharType="separate"/>
      </w:r>
      <w:r>
        <w:rPr>
          <w:rFonts w:ascii="Times New Roman" w:hAnsi="Times New Roman" w:cs="Times New Roman"/>
          <w:sz w:val="28"/>
          <w:szCs w:val="28"/>
        </w:rPr>
        <w:t>22</w:t>
      </w:r>
      <w:r>
        <w:rPr>
          <w:rFonts w:ascii="Times New Roman" w:hAnsi="Times New Roman" w:cs="Times New Roman"/>
          <w:sz w:val="28"/>
          <w:szCs w:val="28"/>
        </w:rPr>
        <w:fldChar w:fldCharType="end"/>
      </w:r>
      <w:r>
        <w:fldChar w:fldCharType="end"/>
      </w:r>
    </w:p>
    <w:p>
      <w:pPr>
        <w:pStyle w:val="14"/>
        <w:tabs>
          <w:tab w:val="right" w:leader="dot" w:pos="8296"/>
        </w:tabs>
        <w:rPr>
          <w:rFonts w:ascii="Times New Roman" w:hAnsi="Times New Roman" w:cs="Times New Roman"/>
          <w:sz w:val="28"/>
          <w:szCs w:val="32"/>
        </w:rPr>
      </w:pPr>
      <w:r>
        <w:fldChar w:fldCharType="begin"/>
      </w:r>
      <w:r>
        <w:instrText xml:space="preserve">HYPERLINK  \l "_Toc86072629" </w:instrText>
      </w:r>
      <w:r>
        <w:fldChar w:fldCharType="separate"/>
      </w:r>
      <w:r>
        <w:rPr>
          <w:rStyle w:val="19"/>
          <w:rFonts w:ascii="Times New Roman" w:hAnsi="Times New Roman" w:cs="Times New Roman"/>
          <w:sz w:val="28"/>
          <w:szCs w:val="28"/>
        </w:rPr>
        <w:t>表五  验收监测质量保证及质量控制</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_Toc86072629 \h </w:instrText>
      </w:r>
      <w:r>
        <w:rPr>
          <w:rFonts w:ascii="Times New Roman" w:hAnsi="Times New Roman" w:cs="Times New Roman"/>
          <w:sz w:val="28"/>
          <w:szCs w:val="28"/>
        </w:rPr>
        <w:fldChar w:fldCharType="separate"/>
      </w:r>
      <w:r>
        <w:rPr>
          <w:rFonts w:ascii="Times New Roman" w:hAnsi="Times New Roman" w:cs="Times New Roman"/>
          <w:sz w:val="28"/>
          <w:szCs w:val="28"/>
        </w:rPr>
        <w:t>27</w:t>
      </w:r>
      <w:r>
        <w:rPr>
          <w:rFonts w:ascii="Times New Roman" w:hAnsi="Times New Roman" w:cs="Times New Roman"/>
          <w:sz w:val="28"/>
          <w:szCs w:val="28"/>
        </w:rPr>
        <w:fldChar w:fldCharType="end"/>
      </w:r>
      <w:r>
        <w:fldChar w:fldCharType="end"/>
      </w:r>
    </w:p>
    <w:p>
      <w:pPr>
        <w:pStyle w:val="14"/>
        <w:tabs>
          <w:tab w:val="right" w:leader="dot" w:pos="8296"/>
        </w:tabs>
        <w:rPr>
          <w:rFonts w:ascii="Times New Roman" w:hAnsi="Times New Roman" w:cs="Times New Roman"/>
          <w:sz w:val="28"/>
          <w:szCs w:val="32"/>
        </w:rPr>
      </w:pPr>
      <w:r>
        <w:fldChar w:fldCharType="begin"/>
      </w:r>
      <w:r>
        <w:instrText xml:space="preserve">HYPERLINK  \l "_Toc86072630" </w:instrText>
      </w:r>
      <w:r>
        <w:fldChar w:fldCharType="separate"/>
      </w:r>
      <w:r>
        <w:rPr>
          <w:rStyle w:val="19"/>
          <w:rFonts w:ascii="Times New Roman" w:hAnsi="Times New Roman" w:cs="Times New Roman"/>
          <w:sz w:val="28"/>
          <w:szCs w:val="28"/>
        </w:rPr>
        <w:t>表六  验收监测内容</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_Toc86072630 \h </w:instrText>
      </w:r>
      <w:r>
        <w:rPr>
          <w:rFonts w:ascii="Times New Roman" w:hAnsi="Times New Roman" w:cs="Times New Roman"/>
          <w:sz w:val="28"/>
          <w:szCs w:val="28"/>
        </w:rPr>
        <w:fldChar w:fldCharType="separate"/>
      </w:r>
      <w:r>
        <w:rPr>
          <w:rFonts w:ascii="Times New Roman" w:hAnsi="Times New Roman" w:cs="Times New Roman"/>
          <w:sz w:val="28"/>
          <w:szCs w:val="28"/>
        </w:rPr>
        <w:t>32</w:t>
      </w:r>
      <w:r>
        <w:rPr>
          <w:rFonts w:ascii="Times New Roman" w:hAnsi="Times New Roman" w:cs="Times New Roman"/>
          <w:sz w:val="28"/>
          <w:szCs w:val="28"/>
        </w:rPr>
        <w:fldChar w:fldCharType="end"/>
      </w:r>
      <w:r>
        <w:fldChar w:fldCharType="end"/>
      </w:r>
    </w:p>
    <w:p>
      <w:pPr>
        <w:pStyle w:val="14"/>
        <w:tabs>
          <w:tab w:val="right" w:leader="dot" w:pos="8296"/>
        </w:tabs>
        <w:rPr>
          <w:rFonts w:ascii="Times New Roman" w:hAnsi="Times New Roman" w:cs="Times New Roman"/>
          <w:sz w:val="28"/>
          <w:szCs w:val="32"/>
        </w:rPr>
      </w:pPr>
      <w:r>
        <w:fldChar w:fldCharType="begin"/>
      </w:r>
      <w:r>
        <w:instrText xml:space="preserve">HYPERLINK  \l "_Toc86072631" </w:instrText>
      </w:r>
      <w:r>
        <w:fldChar w:fldCharType="separate"/>
      </w:r>
      <w:r>
        <w:rPr>
          <w:rStyle w:val="19"/>
          <w:rFonts w:ascii="Times New Roman" w:hAnsi="Times New Roman" w:cs="Times New Roman"/>
          <w:sz w:val="28"/>
          <w:szCs w:val="28"/>
        </w:rPr>
        <w:t>表七  验收监测期间生产工况及结果</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_Toc86072631 \h </w:instrText>
      </w:r>
      <w:r>
        <w:rPr>
          <w:rFonts w:ascii="Times New Roman" w:hAnsi="Times New Roman" w:cs="Times New Roman"/>
          <w:sz w:val="28"/>
          <w:szCs w:val="28"/>
        </w:rPr>
        <w:fldChar w:fldCharType="separate"/>
      </w:r>
      <w:r>
        <w:rPr>
          <w:rFonts w:ascii="Times New Roman" w:hAnsi="Times New Roman" w:cs="Times New Roman"/>
          <w:sz w:val="28"/>
          <w:szCs w:val="28"/>
        </w:rPr>
        <w:t>34</w:t>
      </w:r>
      <w:r>
        <w:rPr>
          <w:rFonts w:ascii="Times New Roman" w:hAnsi="Times New Roman" w:cs="Times New Roman"/>
          <w:sz w:val="28"/>
          <w:szCs w:val="28"/>
        </w:rPr>
        <w:fldChar w:fldCharType="end"/>
      </w:r>
      <w:r>
        <w:fldChar w:fldCharType="end"/>
      </w:r>
    </w:p>
    <w:p>
      <w:pPr>
        <w:pStyle w:val="14"/>
        <w:tabs>
          <w:tab w:val="right" w:leader="dot" w:pos="8296"/>
        </w:tabs>
        <w:rPr>
          <w:rFonts w:ascii="Times New Roman" w:hAnsi="Times New Roman" w:cs="Times New Roman"/>
          <w:sz w:val="28"/>
          <w:szCs w:val="32"/>
        </w:rPr>
      </w:pPr>
      <w:r>
        <w:fldChar w:fldCharType="begin"/>
      </w:r>
      <w:r>
        <w:instrText xml:space="preserve">HYPERLINK  \l "_Toc86072632" </w:instrText>
      </w:r>
      <w:r>
        <w:fldChar w:fldCharType="separate"/>
      </w:r>
      <w:r>
        <w:rPr>
          <w:rStyle w:val="19"/>
          <w:rFonts w:ascii="Times New Roman" w:hAnsi="Times New Roman" w:cs="Times New Roman"/>
          <w:sz w:val="28"/>
          <w:szCs w:val="28"/>
        </w:rPr>
        <w:t>表八  验收监测结论</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_Toc86072632 \h </w:instrText>
      </w:r>
      <w:r>
        <w:rPr>
          <w:rFonts w:ascii="Times New Roman" w:hAnsi="Times New Roman" w:cs="Times New Roman"/>
          <w:sz w:val="28"/>
          <w:szCs w:val="28"/>
        </w:rPr>
        <w:fldChar w:fldCharType="separate"/>
      </w:r>
      <w:r>
        <w:rPr>
          <w:rFonts w:ascii="Times New Roman" w:hAnsi="Times New Roman" w:cs="Times New Roman"/>
          <w:sz w:val="28"/>
          <w:szCs w:val="28"/>
        </w:rPr>
        <w:t>40</w:t>
      </w:r>
      <w:r>
        <w:rPr>
          <w:rFonts w:ascii="Times New Roman" w:hAnsi="Times New Roman" w:cs="Times New Roman"/>
          <w:sz w:val="28"/>
          <w:szCs w:val="28"/>
        </w:rPr>
        <w:fldChar w:fldCharType="end"/>
      </w:r>
      <w:r>
        <w:fldChar w:fldCharType="end"/>
      </w:r>
    </w:p>
    <w:p>
      <w:pPr>
        <w:pStyle w:val="14"/>
        <w:tabs>
          <w:tab w:val="right" w:leader="dot" w:pos="8296"/>
        </w:tabs>
        <w:rPr>
          <w:rFonts w:ascii="Times New Roman" w:hAnsi="Times New Roman" w:cs="Times New Roman"/>
          <w:sz w:val="28"/>
          <w:szCs w:val="32"/>
        </w:rPr>
      </w:pPr>
      <w:r>
        <w:fldChar w:fldCharType="begin"/>
      </w:r>
      <w:r>
        <w:instrText xml:space="preserve">HYPERLINK  \l "_Toc86072633" </w:instrText>
      </w:r>
      <w:r>
        <w:fldChar w:fldCharType="separate"/>
      </w:r>
      <w:r>
        <w:rPr>
          <w:rStyle w:val="19"/>
          <w:rFonts w:ascii="Times New Roman" w:hAnsi="Times New Roman" w:cs="Times New Roman"/>
          <w:sz w:val="28"/>
          <w:szCs w:val="28"/>
        </w:rPr>
        <w:t>建设项目竣工环境保护“三同时”验收登记表</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_Toc86072633 \h </w:instrText>
      </w:r>
      <w:r>
        <w:rPr>
          <w:rFonts w:ascii="Times New Roman" w:hAnsi="Times New Roman" w:cs="Times New Roman"/>
          <w:sz w:val="28"/>
          <w:szCs w:val="28"/>
        </w:rPr>
        <w:fldChar w:fldCharType="separate"/>
      </w:r>
      <w:r>
        <w:rPr>
          <w:rFonts w:ascii="Times New Roman" w:hAnsi="Times New Roman" w:cs="Times New Roman"/>
          <w:sz w:val="28"/>
          <w:szCs w:val="28"/>
        </w:rPr>
        <w:t>42</w:t>
      </w:r>
      <w:r>
        <w:rPr>
          <w:rFonts w:ascii="Times New Roman" w:hAnsi="Times New Roman" w:cs="Times New Roman"/>
          <w:sz w:val="28"/>
          <w:szCs w:val="28"/>
        </w:rPr>
        <w:fldChar w:fldCharType="end"/>
      </w:r>
      <w:r>
        <w:fldChar w:fldCharType="end"/>
      </w:r>
    </w:p>
    <w:p>
      <w:pPr>
        <w:pStyle w:val="14"/>
        <w:tabs>
          <w:tab w:val="right" w:leader="dot" w:pos="8296"/>
        </w:tabs>
        <w:rPr>
          <w:rFonts w:ascii="Times New Roman" w:hAnsi="Times New Roman" w:cs="Times New Roman"/>
          <w:szCs w:val="22"/>
        </w:rPr>
      </w:pPr>
      <w:r>
        <w:fldChar w:fldCharType="begin"/>
      </w:r>
      <w:r>
        <w:instrText xml:space="preserve">HYPERLINK  \l "_Toc86072634" </w:instrText>
      </w:r>
      <w:r>
        <w:fldChar w:fldCharType="separate"/>
      </w:r>
      <w:r>
        <w:rPr>
          <w:rStyle w:val="19"/>
          <w:rFonts w:ascii="Times New Roman" w:hAnsi="Times New Roman" w:cs="Times New Roman"/>
          <w:sz w:val="28"/>
          <w:szCs w:val="28"/>
        </w:rPr>
        <w:t>附图、附件</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_Toc86072634 \h </w:instrText>
      </w:r>
      <w:r>
        <w:rPr>
          <w:rFonts w:ascii="Times New Roman" w:hAnsi="Times New Roman" w:cs="Times New Roman"/>
          <w:sz w:val="28"/>
          <w:szCs w:val="28"/>
        </w:rPr>
        <w:fldChar w:fldCharType="separate"/>
      </w:r>
      <w:r>
        <w:rPr>
          <w:rFonts w:ascii="Times New Roman" w:hAnsi="Times New Roman" w:cs="Times New Roman"/>
          <w:sz w:val="28"/>
          <w:szCs w:val="28"/>
        </w:rPr>
        <w:t>43</w:t>
      </w:r>
      <w:r>
        <w:rPr>
          <w:rFonts w:ascii="Times New Roman" w:hAnsi="Times New Roman" w:cs="Times New Roman"/>
          <w:sz w:val="28"/>
          <w:szCs w:val="28"/>
        </w:rPr>
        <w:fldChar w:fldCharType="end"/>
      </w:r>
      <w:r>
        <w:fldChar w:fldCharType="end"/>
      </w:r>
    </w:p>
    <w:p>
      <w:pPr>
        <w:pStyle w:val="14"/>
        <w:tabs>
          <w:tab w:val="right" w:leader="dot" w:pos="8296"/>
        </w:tabs>
        <w:rPr>
          <w:rFonts w:ascii="Times New Roman" w:hAnsi="Times New Roman" w:cs="Times New Roman"/>
          <w:szCs w:val="22"/>
        </w:rPr>
      </w:pPr>
    </w:p>
    <w:p>
      <w:pPr>
        <w:rPr>
          <w:rFonts w:ascii="Times New Roman" w:hAnsi="Times New Roman" w:cs="Times New Roman"/>
        </w:rPr>
      </w:pPr>
      <w:r>
        <w:rPr>
          <w:rFonts w:ascii="Times New Roman" w:hAnsi="Times New Roman" w:cs="Times New Roman"/>
          <w:sz w:val="24"/>
          <w:szCs w:val="24"/>
        </w:rPr>
        <w:fldChar w:fldCharType="end"/>
      </w:r>
      <w:bookmarkEnd w:id="0"/>
    </w:p>
    <w:p>
      <w:pPr>
        <w:pStyle w:val="2"/>
        <w:spacing w:before="120"/>
        <w:rPr>
          <w:rFonts w:ascii="Times New Roman" w:hAnsi="Times New Roman" w:eastAsia="宋体" w:cs="Times New Roman"/>
        </w:rPr>
      </w:pPr>
    </w:p>
    <w:p>
      <w:pPr>
        <w:pStyle w:val="2"/>
        <w:spacing w:before="120"/>
        <w:rPr>
          <w:rFonts w:ascii="Times New Roman" w:hAnsi="Times New Roman" w:eastAsia="宋体" w:cs="Times New Roman"/>
        </w:rPr>
        <w:sectPr>
          <w:footerReference r:id="rId6" w:type="default"/>
          <w:pgSz w:w="11906" w:h="16838"/>
          <w:pgMar w:top="1440" w:right="1800" w:bottom="1440" w:left="1800" w:header="708" w:footer="708" w:gutter="0"/>
          <w:pgNumType w:start="1"/>
          <w:cols w:space="720" w:num="1"/>
          <w:docGrid w:linePitch="360" w:charSpace="0"/>
        </w:sectPr>
      </w:pPr>
    </w:p>
    <w:p>
      <w:pPr>
        <w:pStyle w:val="4"/>
        <w:rPr>
          <w:rFonts w:ascii="Times New Roman" w:hAnsi="Times New Roman" w:cs="Times New Roman"/>
        </w:rPr>
      </w:pPr>
      <w:bookmarkStart w:id="1" w:name="_Toc86072625"/>
      <w:r>
        <w:rPr>
          <w:rFonts w:ascii="Times New Roman" w:hAnsi="Times New Roman" w:cs="Times New Roman"/>
        </w:rPr>
        <w:t>表一  项目基本情况及验收依据</w:t>
      </w:r>
      <w:bookmarkEnd w:id="1"/>
    </w:p>
    <w:tbl>
      <w:tblPr>
        <w:tblStyle w:val="21"/>
        <w:tblW w:w="93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28"/>
        <w:gridCol w:w="2724"/>
        <w:gridCol w:w="1985"/>
        <w:gridCol w:w="1275"/>
        <w:gridCol w:w="709"/>
        <w:gridCol w:w="7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top w:val="single" w:color="auto" w:sz="12" w:space="0"/>
              <w:left w:val="single" w:color="auto" w:sz="12" w:space="0"/>
            </w:tcBorders>
            <w:vAlign w:val="center"/>
          </w:tcPr>
          <w:p>
            <w:pPr>
              <w:jc w:val="center"/>
              <w:rPr>
                <w:rFonts w:ascii="Times New Roman" w:hAnsi="Times New Roman" w:cs="Times New Roman"/>
              </w:rPr>
            </w:pPr>
            <w:r>
              <w:rPr>
                <w:rFonts w:ascii="Times New Roman" w:hAnsi="Times New Roman" w:cs="Times New Roman"/>
              </w:rPr>
              <w:t>建设项目名称</w:t>
            </w:r>
          </w:p>
        </w:tc>
        <w:tc>
          <w:tcPr>
            <w:tcW w:w="7460" w:type="dxa"/>
            <w:gridSpan w:val="5"/>
            <w:tcBorders>
              <w:top w:val="single" w:color="auto" w:sz="12" w:space="0"/>
              <w:right w:val="single" w:color="auto" w:sz="12" w:space="0"/>
            </w:tcBorders>
            <w:vAlign w:val="center"/>
          </w:tcPr>
          <w:p>
            <w:pPr>
              <w:jc w:val="center"/>
              <w:rPr>
                <w:rFonts w:ascii="Times New Roman" w:hAnsi="Times New Roman" w:cs="Times New Roman"/>
                <w:highlight w:val="yellow"/>
              </w:rPr>
            </w:pPr>
            <w:r>
              <w:rPr>
                <w:rFonts w:ascii="Times New Roman" w:hAnsi="Times New Roman" w:cs="Times New Roman"/>
              </w:rPr>
              <w:t>山西太钢不锈钢股份有限公司煤气锅炉升级改造项目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建设单位名称</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山西太钢不锈钢股份有限公司能源动力总厂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建设项目性质</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技改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建设地点</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山西太钢不锈钢股份有限公司能源动力总厂办公楼南侧，300MW机组2#机以东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主要产品名称</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电力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设计生产能力</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年发电量475.2×10</w:t>
            </w:r>
            <w:r>
              <w:rPr>
                <w:rFonts w:ascii="Times New Roman" w:hAnsi="Times New Roman" w:cs="Times New Roman"/>
                <w:vertAlign w:val="superscript"/>
              </w:rPr>
              <w:t>6</w:t>
            </w:r>
            <w:r>
              <w:rPr>
                <w:rFonts w:ascii="Times New Roman" w:hAnsi="Times New Roman" w:cs="Times New Roman"/>
              </w:rPr>
              <w:t>kW·h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实际生产能力</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年发电量475.2×10</w:t>
            </w:r>
            <w:r>
              <w:rPr>
                <w:rFonts w:ascii="Times New Roman" w:hAnsi="Times New Roman" w:cs="Times New Roman"/>
                <w:vertAlign w:val="superscript"/>
              </w:rPr>
              <w:t>6</w:t>
            </w:r>
            <w:r>
              <w:rPr>
                <w:rFonts w:ascii="Times New Roman" w:hAnsi="Times New Roman" w:cs="Times New Roman"/>
              </w:rPr>
              <w:t>kW·h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建设项目环评时间</w:t>
            </w:r>
          </w:p>
        </w:tc>
        <w:tc>
          <w:tcPr>
            <w:tcW w:w="2724" w:type="dxa"/>
            <w:vAlign w:val="center"/>
          </w:tcPr>
          <w:p>
            <w:pPr>
              <w:jc w:val="center"/>
              <w:rPr>
                <w:rFonts w:ascii="Times New Roman" w:hAnsi="Times New Roman" w:cs="Times New Roman"/>
              </w:rPr>
            </w:pPr>
            <w:r>
              <w:rPr>
                <w:rFonts w:ascii="Times New Roman" w:hAnsi="Times New Roman" w:cs="Times New Roman"/>
              </w:rPr>
              <w:t>2019年8月</w:t>
            </w:r>
          </w:p>
        </w:tc>
        <w:tc>
          <w:tcPr>
            <w:tcW w:w="1985" w:type="dxa"/>
            <w:vAlign w:val="center"/>
          </w:tcPr>
          <w:p>
            <w:pPr>
              <w:jc w:val="center"/>
              <w:rPr>
                <w:rFonts w:ascii="Times New Roman" w:hAnsi="Times New Roman" w:cs="Times New Roman"/>
              </w:rPr>
            </w:pPr>
            <w:r>
              <w:rPr>
                <w:rFonts w:ascii="Times New Roman" w:hAnsi="Times New Roman" w:cs="Times New Roman"/>
              </w:rPr>
              <w:t>开工建设时间</w:t>
            </w:r>
          </w:p>
        </w:tc>
        <w:tc>
          <w:tcPr>
            <w:tcW w:w="2751" w:type="dxa"/>
            <w:gridSpan w:val="3"/>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2020年3月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调试时间</w:t>
            </w:r>
          </w:p>
        </w:tc>
        <w:tc>
          <w:tcPr>
            <w:tcW w:w="2724" w:type="dxa"/>
            <w:vAlign w:val="center"/>
          </w:tcPr>
          <w:p>
            <w:pPr>
              <w:jc w:val="center"/>
              <w:rPr>
                <w:rFonts w:ascii="Times New Roman" w:hAnsi="Times New Roman" w:cs="Times New Roman"/>
              </w:rPr>
            </w:pPr>
            <w:r>
              <w:rPr>
                <w:rFonts w:ascii="Times New Roman" w:hAnsi="Times New Roman" w:cs="Times New Roman"/>
              </w:rPr>
              <w:t>2021年</w:t>
            </w:r>
            <w:r>
              <w:rPr>
                <w:rFonts w:hint="eastAsia" w:ascii="Times New Roman" w:hAnsi="Times New Roman" w:cs="Times New Roman"/>
                <w:lang w:val="en-US" w:eastAsia="zh-CN"/>
              </w:rPr>
              <w:t>7</w:t>
            </w:r>
            <w:r>
              <w:rPr>
                <w:rFonts w:ascii="Times New Roman" w:hAnsi="Times New Roman" w:cs="Times New Roman"/>
              </w:rPr>
              <w:t>月</w:t>
            </w:r>
          </w:p>
        </w:tc>
        <w:tc>
          <w:tcPr>
            <w:tcW w:w="1985" w:type="dxa"/>
            <w:vAlign w:val="center"/>
          </w:tcPr>
          <w:p>
            <w:pPr>
              <w:jc w:val="center"/>
              <w:rPr>
                <w:rFonts w:ascii="Times New Roman" w:hAnsi="Times New Roman" w:cs="Times New Roman"/>
              </w:rPr>
            </w:pPr>
            <w:r>
              <w:rPr>
                <w:rFonts w:ascii="Times New Roman" w:hAnsi="Times New Roman" w:cs="Times New Roman"/>
              </w:rPr>
              <w:t>验收现场监测时间</w:t>
            </w:r>
          </w:p>
        </w:tc>
        <w:tc>
          <w:tcPr>
            <w:tcW w:w="2751" w:type="dxa"/>
            <w:gridSpan w:val="3"/>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2021年8月3日-4日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环评报告表</w:t>
            </w:r>
          </w:p>
          <w:p>
            <w:pPr>
              <w:jc w:val="center"/>
              <w:rPr>
                <w:rFonts w:ascii="Times New Roman" w:hAnsi="Times New Roman" w:cs="Times New Roman"/>
              </w:rPr>
            </w:pPr>
            <w:r>
              <w:rPr>
                <w:rFonts w:ascii="Times New Roman" w:hAnsi="Times New Roman" w:cs="Times New Roman"/>
              </w:rPr>
              <w:t>审批部门</w:t>
            </w:r>
          </w:p>
        </w:tc>
        <w:tc>
          <w:tcPr>
            <w:tcW w:w="2724" w:type="dxa"/>
            <w:vAlign w:val="center"/>
          </w:tcPr>
          <w:p>
            <w:pPr>
              <w:jc w:val="center"/>
              <w:rPr>
                <w:rFonts w:ascii="Times New Roman" w:hAnsi="Times New Roman" w:cs="Times New Roman"/>
              </w:rPr>
            </w:pPr>
            <w:r>
              <w:rPr>
                <w:rFonts w:ascii="Times New Roman" w:hAnsi="Times New Roman" w:cs="Times New Roman"/>
              </w:rPr>
              <w:t>太原市环境保护局尖草坪分局</w:t>
            </w:r>
          </w:p>
        </w:tc>
        <w:tc>
          <w:tcPr>
            <w:tcW w:w="1985" w:type="dxa"/>
            <w:vAlign w:val="center"/>
          </w:tcPr>
          <w:p>
            <w:pPr>
              <w:jc w:val="center"/>
              <w:rPr>
                <w:rFonts w:ascii="Times New Roman" w:hAnsi="Times New Roman" w:cs="Times New Roman"/>
              </w:rPr>
            </w:pPr>
            <w:r>
              <w:rPr>
                <w:rFonts w:ascii="Times New Roman" w:hAnsi="Times New Roman" w:cs="Times New Roman"/>
              </w:rPr>
              <w:t>环评报告表</w:t>
            </w:r>
          </w:p>
          <w:p>
            <w:pPr>
              <w:jc w:val="center"/>
              <w:rPr>
                <w:rFonts w:ascii="Times New Roman" w:hAnsi="Times New Roman" w:cs="Times New Roman"/>
              </w:rPr>
            </w:pPr>
            <w:r>
              <w:rPr>
                <w:rFonts w:ascii="Times New Roman" w:hAnsi="Times New Roman" w:cs="Times New Roman"/>
              </w:rPr>
              <w:t>编制单位</w:t>
            </w:r>
          </w:p>
        </w:tc>
        <w:tc>
          <w:tcPr>
            <w:tcW w:w="2751" w:type="dxa"/>
            <w:gridSpan w:val="3"/>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山西清泽阳光环保科技有限公司（变更前环评）、</w:t>
            </w:r>
          </w:p>
          <w:p>
            <w:pPr>
              <w:jc w:val="center"/>
              <w:rPr>
                <w:rFonts w:ascii="Times New Roman" w:hAnsi="Times New Roman" w:cs="Times New Roman"/>
              </w:rPr>
            </w:pPr>
            <w:r>
              <w:rPr>
                <w:rFonts w:ascii="Times New Roman" w:hAnsi="Times New Roman" w:cs="Times New Roman"/>
              </w:rPr>
              <w:t>中冶节能环保有限责任公司（变更后环评）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环保设施设计单位</w:t>
            </w:r>
          </w:p>
        </w:tc>
        <w:tc>
          <w:tcPr>
            <w:tcW w:w="2724" w:type="dxa"/>
            <w:vAlign w:val="center"/>
          </w:tcPr>
          <w:p>
            <w:pPr>
              <w:jc w:val="center"/>
              <w:rPr>
                <w:rFonts w:ascii="Times New Roman" w:hAnsi="Times New Roman" w:cs="Times New Roman"/>
              </w:rPr>
            </w:pPr>
            <w:bookmarkStart w:id="2" w:name="_Hlk85731960"/>
            <w:r>
              <w:rPr>
                <w:rFonts w:ascii="Times New Roman" w:hAnsi="Times New Roman" w:cs="Times New Roman"/>
              </w:rPr>
              <w:t>中国能源建设集团山西省电力勘测设计院有限公司</w:t>
            </w:r>
            <w:bookmarkEnd w:id="2"/>
          </w:p>
        </w:tc>
        <w:tc>
          <w:tcPr>
            <w:tcW w:w="1985" w:type="dxa"/>
            <w:vAlign w:val="center"/>
          </w:tcPr>
          <w:p>
            <w:pPr>
              <w:jc w:val="center"/>
              <w:rPr>
                <w:rFonts w:ascii="Times New Roman" w:hAnsi="Times New Roman" w:cs="Times New Roman"/>
              </w:rPr>
            </w:pPr>
            <w:r>
              <w:rPr>
                <w:rFonts w:ascii="Times New Roman" w:hAnsi="Times New Roman" w:cs="Times New Roman"/>
              </w:rPr>
              <w:t>环保设施施工单位</w:t>
            </w:r>
          </w:p>
        </w:tc>
        <w:tc>
          <w:tcPr>
            <w:tcW w:w="2751" w:type="dxa"/>
            <w:gridSpan w:val="3"/>
            <w:tcBorders>
              <w:right w:val="single" w:color="auto" w:sz="12" w:space="0"/>
            </w:tcBorders>
            <w:vAlign w:val="center"/>
          </w:tcPr>
          <w:p>
            <w:pPr>
              <w:jc w:val="center"/>
              <w:rPr>
                <w:rFonts w:ascii="Times New Roman" w:hAnsi="Times New Roman" w:cs="Times New Roman"/>
              </w:rPr>
            </w:pPr>
            <w:bookmarkStart w:id="3" w:name="_Hlk85732041"/>
            <w:r>
              <w:rPr>
                <w:rFonts w:ascii="Times New Roman" w:hAnsi="Times New Roman" w:cs="Times New Roman"/>
              </w:rPr>
              <w:t>中国能源建设集团山西省电力勘测设计院有限公司</w:t>
            </w:r>
            <w:bookmarkEnd w:id="3"/>
            <w:r>
              <w:rPr>
                <w:rFonts w:hint="eastAsia" w:ascii="Times New Roman" w:hAnsi="Times New Roman" w:cs="Times New Roman"/>
                <w:lang w:eastAsia="zh-CN"/>
              </w:rPr>
              <w:t>、江苏中瑞建设有限公司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投资总概算</w:t>
            </w:r>
            <w:r>
              <w:rPr>
                <w:rFonts w:ascii="Times New Roman" w:hAnsi="Times New Roman" w:cs="Times New Roman"/>
                <w:spacing w:val="-20"/>
              </w:rPr>
              <w:t>（万元）</w:t>
            </w:r>
          </w:p>
        </w:tc>
        <w:tc>
          <w:tcPr>
            <w:tcW w:w="2724" w:type="dxa"/>
            <w:vAlign w:val="center"/>
          </w:tcPr>
          <w:p>
            <w:pPr>
              <w:jc w:val="center"/>
              <w:rPr>
                <w:rFonts w:ascii="Times New Roman" w:hAnsi="Times New Roman" w:cs="Times New Roman"/>
              </w:rPr>
            </w:pPr>
            <w:r>
              <w:rPr>
                <w:rFonts w:ascii="Times New Roman" w:hAnsi="Times New Roman" w:cs="Times New Roman"/>
              </w:rPr>
              <w:t>31671</w:t>
            </w:r>
          </w:p>
        </w:tc>
        <w:tc>
          <w:tcPr>
            <w:tcW w:w="1985" w:type="dxa"/>
            <w:vAlign w:val="center"/>
          </w:tcPr>
          <w:p>
            <w:pPr>
              <w:jc w:val="center"/>
              <w:rPr>
                <w:rFonts w:ascii="Times New Roman" w:hAnsi="Times New Roman" w:cs="Times New Roman"/>
                <w:spacing w:val="-20"/>
              </w:rPr>
            </w:pPr>
            <w:r>
              <w:rPr>
                <w:rFonts w:ascii="Times New Roman" w:hAnsi="Times New Roman" w:cs="Times New Roman"/>
                <w:spacing w:val="-20"/>
              </w:rPr>
              <w:t>环保投资总概算（万元）</w:t>
            </w:r>
          </w:p>
        </w:tc>
        <w:tc>
          <w:tcPr>
            <w:tcW w:w="1275" w:type="dxa"/>
            <w:vAlign w:val="center"/>
          </w:tcPr>
          <w:p>
            <w:pPr>
              <w:jc w:val="center"/>
              <w:rPr>
                <w:rFonts w:ascii="Times New Roman" w:hAnsi="Times New Roman" w:cs="Times New Roman"/>
              </w:rPr>
            </w:pPr>
            <w:r>
              <w:rPr>
                <w:rFonts w:ascii="Times New Roman" w:hAnsi="Times New Roman" w:cs="Times New Roman"/>
              </w:rPr>
              <w:t>320</w:t>
            </w:r>
          </w:p>
        </w:tc>
        <w:tc>
          <w:tcPr>
            <w:tcW w:w="709" w:type="dxa"/>
            <w:vAlign w:val="center"/>
          </w:tcPr>
          <w:p>
            <w:pPr>
              <w:jc w:val="center"/>
              <w:rPr>
                <w:rFonts w:ascii="Times New Roman" w:hAnsi="Times New Roman" w:cs="Times New Roman"/>
              </w:rPr>
            </w:pPr>
            <w:r>
              <w:rPr>
                <w:rFonts w:ascii="Times New Roman" w:hAnsi="Times New Roman" w:cs="Times New Roman"/>
              </w:rPr>
              <w:t>比例</w:t>
            </w:r>
          </w:p>
        </w:tc>
        <w:tc>
          <w:tcPr>
            <w:tcW w:w="767" w:type="dxa"/>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1.01%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left w:val="single" w:color="auto" w:sz="12" w:space="0"/>
              <w:bottom w:val="single" w:color="auto" w:sz="12" w:space="0"/>
            </w:tcBorders>
            <w:vAlign w:val="center"/>
          </w:tcPr>
          <w:p>
            <w:pPr>
              <w:jc w:val="center"/>
              <w:rPr>
                <w:rFonts w:ascii="Times New Roman" w:hAnsi="Times New Roman" w:cs="Times New Roman"/>
              </w:rPr>
            </w:pPr>
            <w:r>
              <w:rPr>
                <w:rFonts w:ascii="Times New Roman" w:hAnsi="Times New Roman" w:cs="Times New Roman"/>
              </w:rPr>
              <w:t>实际总概算</w:t>
            </w:r>
            <w:r>
              <w:rPr>
                <w:rFonts w:ascii="Times New Roman" w:hAnsi="Times New Roman" w:cs="Times New Roman"/>
                <w:spacing w:val="-20"/>
              </w:rPr>
              <w:t>（万元）</w:t>
            </w:r>
          </w:p>
        </w:tc>
        <w:tc>
          <w:tcPr>
            <w:tcW w:w="2724" w:type="dxa"/>
            <w:tcBorders>
              <w:bottom w:val="single" w:color="auto" w:sz="12" w:space="0"/>
            </w:tcBorders>
            <w:vAlign w:val="center"/>
          </w:tcPr>
          <w:p>
            <w:pPr>
              <w:jc w:val="center"/>
              <w:rPr>
                <w:rFonts w:ascii="Times New Roman" w:hAnsi="Times New Roman" w:cs="Times New Roman"/>
              </w:rPr>
            </w:pPr>
            <w:r>
              <w:rPr>
                <w:rFonts w:ascii="Times New Roman" w:hAnsi="Times New Roman" w:cs="Times New Roman"/>
              </w:rPr>
              <w:t>30958</w:t>
            </w:r>
          </w:p>
        </w:tc>
        <w:tc>
          <w:tcPr>
            <w:tcW w:w="1985" w:type="dxa"/>
            <w:tcBorders>
              <w:bottom w:val="single" w:color="auto" w:sz="12" w:space="0"/>
            </w:tcBorders>
            <w:vAlign w:val="center"/>
          </w:tcPr>
          <w:p>
            <w:pPr>
              <w:jc w:val="center"/>
              <w:rPr>
                <w:rFonts w:ascii="Times New Roman" w:hAnsi="Times New Roman" w:cs="Times New Roman"/>
              </w:rPr>
            </w:pPr>
            <w:r>
              <w:rPr>
                <w:rFonts w:ascii="Times New Roman" w:hAnsi="Times New Roman" w:cs="Times New Roman"/>
              </w:rPr>
              <w:t>环保投资</w:t>
            </w:r>
            <w:r>
              <w:rPr>
                <w:rFonts w:ascii="Times New Roman" w:hAnsi="Times New Roman" w:cs="Times New Roman"/>
                <w:spacing w:val="-20"/>
              </w:rPr>
              <w:t>（万元）</w:t>
            </w:r>
          </w:p>
        </w:tc>
        <w:tc>
          <w:tcPr>
            <w:tcW w:w="1275" w:type="dxa"/>
            <w:tcBorders>
              <w:bottom w:val="single" w:color="auto" w:sz="12" w:space="0"/>
            </w:tcBorders>
            <w:vAlign w:val="center"/>
          </w:tcPr>
          <w:p>
            <w:pPr>
              <w:jc w:val="center"/>
              <w:rPr>
                <w:rFonts w:ascii="Times New Roman" w:hAnsi="Times New Roman" w:cs="Times New Roman"/>
              </w:rPr>
            </w:pPr>
            <w:r>
              <w:rPr>
                <w:rFonts w:ascii="Times New Roman" w:hAnsi="Times New Roman" w:cs="Times New Roman"/>
              </w:rPr>
              <w:t>342</w:t>
            </w:r>
          </w:p>
        </w:tc>
        <w:tc>
          <w:tcPr>
            <w:tcW w:w="709" w:type="dxa"/>
            <w:tcBorders>
              <w:bottom w:val="single" w:color="auto" w:sz="12" w:space="0"/>
            </w:tcBorders>
            <w:vAlign w:val="center"/>
          </w:tcPr>
          <w:p>
            <w:pPr>
              <w:jc w:val="center"/>
              <w:rPr>
                <w:rFonts w:ascii="Times New Roman" w:hAnsi="Times New Roman" w:cs="Times New Roman"/>
              </w:rPr>
            </w:pPr>
            <w:r>
              <w:rPr>
                <w:rFonts w:ascii="Times New Roman" w:hAnsi="Times New Roman" w:cs="Times New Roman"/>
              </w:rPr>
              <w:t>比例</w:t>
            </w:r>
          </w:p>
        </w:tc>
        <w:tc>
          <w:tcPr>
            <w:tcW w:w="767" w:type="dxa"/>
            <w:tcBorders>
              <w:bottom w:val="single" w:color="auto" w:sz="12" w:space="0"/>
              <w:right w:val="single" w:color="auto" w:sz="12" w:space="0"/>
            </w:tcBorders>
            <w:vAlign w:val="center"/>
          </w:tcPr>
          <w:p>
            <w:pPr>
              <w:jc w:val="center"/>
              <w:rPr>
                <w:rFonts w:ascii="Times New Roman" w:hAnsi="Times New Roman" w:cs="Times New Roman"/>
              </w:rPr>
            </w:pPr>
            <w:r>
              <w:rPr>
                <w:rFonts w:ascii="Times New Roman" w:hAnsi="Times New Roman" w:cs="Times New Roman"/>
              </w:rPr>
              <w:t>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928" w:type="dxa"/>
            <w:tcBorders>
              <w:top w:val="single" w:color="auto" w:sz="12" w:space="0"/>
              <w:left w:val="single" w:color="auto" w:sz="12" w:space="0"/>
              <w:bottom w:val="single" w:color="auto" w:sz="12" w:space="0"/>
              <w:right w:val="single" w:color="auto" w:sz="12" w:space="0"/>
            </w:tcBorders>
            <w:vAlign w:val="center"/>
          </w:tcPr>
          <w:p>
            <w:pPr>
              <w:pStyle w:val="32"/>
              <w:rPr>
                <w:sz w:val="24"/>
                <w:szCs w:val="24"/>
                <w:highlight w:val="yellow"/>
              </w:rPr>
            </w:pPr>
            <w:r>
              <w:rPr>
                <w:sz w:val="24"/>
                <w:szCs w:val="24"/>
              </w:rPr>
              <w:t>验收监测依据</w:t>
            </w:r>
          </w:p>
        </w:tc>
        <w:tc>
          <w:tcPr>
            <w:tcW w:w="7460" w:type="dxa"/>
            <w:gridSpan w:val="5"/>
            <w:tcBorders>
              <w:top w:val="single" w:color="auto" w:sz="12" w:space="0"/>
              <w:left w:val="single" w:color="auto" w:sz="12" w:space="0"/>
              <w:bottom w:val="single" w:color="auto" w:sz="12" w:space="0"/>
              <w:right w:val="single" w:color="auto" w:sz="12" w:space="0"/>
            </w:tcBorders>
            <w:vAlign w:val="center"/>
          </w:tcPr>
          <w:p>
            <w:pPr>
              <w:pStyle w:val="32"/>
              <w:rPr>
                <w:b/>
                <w:bCs/>
                <w:sz w:val="24"/>
                <w:szCs w:val="24"/>
              </w:rPr>
            </w:pPr>
            <w:r>
              <w:rPr>
                <w:b/>
                <w:bCs/>
                <w:sz w:val="24"/>
                <w:szCs w:val="24"/>
              </w:rPr>
              <w:t>1、建设项目环境保护相关法律、法规和规章制度</w:t>
            </w:r>
          </w:p>
          <w:p>
            <w:pPr>
              <w:pStyle w:val="32"/>
              <w:rPr>
                <w:sz w:val="24"/>
                <w:szCs w:val="24"/>
              </w:rPr>
            </w:pPr>
            <w:r>
              <w:rPr>
                <w:sz w:val="24"/>
                <w:szCs w:val="24"/>
              </w:rPr>
              <w:t>（1）《中华人民共和国环境保护法》（2015年1月1日）；</w:t>
            </w:r>
          </w:p>
          <w:p>
            <w:pPr>
              <w:pStyle w:val="32"/>
              <w:rPr>
                <w:sz w:val="24"/>
                <w:szCs w:val="24"/>
              </w:rPr>
            </w:pPr>
            <w:r>
              <w:rPr>
                <w:sz w:val="24"/>
                <w:szCs w:val="24"/>
              </w:rPr>
              <w:t>（2）《中华人民共和国环境影响评价法》（2018年12月29日）；</w:t>
            </w:r>
          </w:p>
          <w:p>
            <w:pPr>
              <w:pStyle w:val="32"/>
              <w:rPr>
                <w:sz w:val="24"/>
                <w:szCs w:val="24"/>
              </w:rPr>
            </w:pPr>
            <w:r>
              <w:rPr>
                <w:sz w:val="24"/>
                <w:szCs w:val="24"/>
              </w:rPr>
              <w:t>（3）《中华人民共和国大气污染防治法》（2018年11月13日）；</w:t>
            </w:r>
          </w:p>
          <w:p>
            <w:pPr>
              <w:pStyle w:val="32"/>
              <w:rPr>
                <w:sz w:val="24"/>
                <w:szCs w:val="24"/>
              </w:rPr>
            </w:pPr>
            <w:r>
              <w:rPr>
                <w:sz w:val="24"/>
                <w:szCs w:val="24"/>
              </w:rPr>
              <w:t>（4）《中华人名共和国水污染防治法》（2018年1月1日）；</w:t>
            </w:r>
          </w:p>
          <w:p>
            <w:pPr>
              <w:pStyle w:val="32"/>
              <w:rPr>
                <w:sz w:val="24"/>
                <w:szCs w:val="24"/>
              </w:rPr>
            </w:pPr>
            <w:r>
              <w:rPr>
                <w:sz w:val="24"/>
                <w:szCs w:val="24"/>
              </w:rPr>
              <w:t>（5）《中华人民共和国固体废弃物污染环境防治法》（2020年9月1日）；</w:t>
            </w:r>
          </w:p>
          <w:p>
            <w:pPr>
              <w:pStyle w:val="32"/>
              <w:rPr>
                <w:sz w:val="24"/>
                <w:szCs w:val="24"/>
              </w:rPr>
            </w:pPr>
            <w:r>
              <w:rPr>
                <w:sz w:val="24"/>
                <w:szCs w:val="24"/>
              </w:rPr>
              <w:t>（6）《中华人民共和国环境噪声污染防治法》（2018年12月29日）；</w:t>
            </w:r>
          </w:p>
          <w:p>
            <w:pPr>
              <w:pStyle w:val="32"/>
              <w:rPr>
                <w:sz w:val="24"/>
                <w:szCs w:val="24"/>
              </w:rPr>
            </w:pPr>
            <w:r>
              <w:rPr>
                <w:sz w:val="24"/>
                <w:szCs w:val="24"/>
              </w:rPr>
              <w:t>（7）《建设项目环境保护管理条例》（2017年10月1号）。</w:t>
            </w:r>
          </w:p>
          <w:p>
            <w:pPr>
              <w:pStyle w:val="32"/>
              <w:rPr>
                <w:b/>
                <w:bCs/>
                <w:sz w:val="24"/>
                <w:szCs w:val="24"/>
              </w:rPr>
            </w:pPr>
            <w:r>
              <w:rPr>
                <w:b/>
                <w:bCs/>
                <w:sz w:val="24"/>
                <w:szCs w:val="24"/>
              </w:rPr>
              <w:t>2、建设项目竣工环境保护验收技术规范</w:t>
            </w:r>
          </w:p>
          <w:p>
            <w:pPr>
              <w:pStyle w:val="32"/>
              <w:rPr>
                <w:sz w:val="24"/>
                <w:szCs w:val="24"/>
              </w:rPr>
            </w:pPr>
            <w:r>
              <w:rPr>
                <w:sz w:val="24"/>
                <w:szCs w:val="24"/>
              </w:rPr>
              <w:t>（1）《建设项目竣工环境保护验收暂行办法》（国环规环评[2017]4号，2017年11月22日）；</w:t>
            </w:r>
          </w:p>
          <w:p>
            <w:pPr>
              <w:pStyle w:val="32"/>
              <w:rPr>
                <w:sz w:val="24"/>
                <w:szCs w:val="24"/>
              </w:rPr>
            </w:pPr>
            <w:r>
              <w:rPr>
                <w:sz w:val="24"/>
                <w:szCs w:val="24"/>
              </w:rPr>
              <w:t>（2）《建设项目竣工环境保护验收技术指南 污染影响类》（生态环境保护部公告2018年第9号，2018年5月15日）；</w:t>
            </w:r>
          </w:p>
          <w:p>
            <w:pPr>
              <w:pStyle w:val="32"/>
              <w:rPr>
                <w:sz w:val="24"/>
                <w:szCs w:val="24"/>
              </w:rPr>
            </w:pPr>
            <w:r>
              <w:rPr>
                <w:sz w:val="24"/>
                <w:szCs w:val="24"/>
              </w:rPr>
              <w:t>（3）《工业企业厂界环境噪声排放标准》（GB12348-2008）；</w:t>
            </w:r>
          </w:p>
          <w:p>
            <w:pPr>
              <w:pStyle w:val="32"/>
              <w:rPr>
                <w:sz w:val="24"/>
                <w:szCs w:val="24"/>
              </w:rPr>
            </w:pPr>
            <w:r>
              <w:rPr>
                <w:sz w:val="24"/>
                <w:szCs w:val="24"/>
              </w:rPr>
              <w:t>（4）《一般工业固体废物贮存、处置场污染控制标准》（GB18599-2020）；</w:t>
            </w:r>
          </w:p>
          <w:p>
            <w:pPr>
              <w:pStyle w:val="32"/>
              <w:rPr>
                <w:sz w:val="24"/>
                <w:szCs w:val="24"/>
              </w:rPr>
            </w:pPr>
            <w:r>
              <w:rPr>
                <w:sz w:val="24"/>
                <w:szCs w:val="24"/>
              </w:rPr>
              <w:t>（5）《危险废物贮存污染控制标准》（GB18597-2001）；</w:t>
            </w:r>
          </w:p>
          <w:p>
            <w:pPr>
              <w:pStyle w:val="32"/>
              <w:rPr>
                <w:sz w:val="24"/>
                <w:szCs w:val="24"/>
              </w:rPr>
            </w:pPr>
            <w:r>
              <w:rPr>
                <w:sz w:val="24"/>
                <w:szCs w:val="24"/>
              </w:rPr>
              <w:t>（6）《关于推进实施钢铁行业超低排放的意见》（环大气</w:t>
            </w:r>
            <w:r>
              <w:rPr>
                <w:rFonts w:ascii="Cambria" w:hAnsi="Cambria" w:cs="Cambria"/>
                <w:sz w:val="24"/>
                <w:szCs w:val="24"/>
              </w:rPr>
              <w:t>⟮</w:t>
            </w:r>
            <w:r>
              <w:rPr>
                <w:sz w:val="24"/>
                <w:szCs w:val="24"/>
              </w:rPr>
              <w:t>2019</w:t>
            </w:r>
            <w:r>
              <w:rPr>
                <w:rFonts w:ascii="Cambria" w:hAnsi="Cambria" w:cs="Cambria"/>
                <w:sz w:val="24"/>
                <w:szCs w:val="24"/>
              </w:rPr>
              <w:t>⟯</w:t>
            </w:r>
            <w:r>
              <w:rPr>
                <w:sz w:val="24"/>
                <w:szCs w:val="24"/>
              </w:rPr>
              <w:t>35号，2019年4月28日）；</w:t>
            </w:r>
          </w:p>
          <w:p>
            <w:pPr>
              <w:pStyle w:val="32"/>
              <w:rPr>
                <w:sz w:val="24"/>
                <w:szCs w:val="24"/>
              </w:rPr>
            </w:pPr>
            <w:r>
              <w:rPr>
                <w:sz w:val="24"/>
                <w:szCs w:val="24"/>
              </w:rPr>
              <w:t>（7）《关于推进生物质锅炉超低排放改造和燃气锅炉低氮改造的通知》（并环改办发</w:t>
            </w:r>
            <w:r>
              <w:rPr>
                <w:rFonts w:ascii="Cambria" w:hAnsi="Cambria" w:cs="Cambria"/>
                <w:sz w:val="24"/>
                <w:szCs w:val="24"/>
              </w:rPr>
              <w:t>⟮</w:t>
            </w:r>
            <w:r>
              <w:rPr>
                <w:sz w:val="24"/>
                <w:szCs w:val="24"/>
              </w:rPr>
              <w:t>2018</w:t>
            </w:r>
            <w:r>
              <w:rPr>
                <w:rFonts w:ascii="Cambria" w:hAnsi="Cambria" w:cs="Cambria"/>
                <w:sz w:val="24"/>
                <w:szCs w:val="24"/>
              </w:rPr>
              <w:t>⟯</w:t>
            </w:r>
            <w:r>
              <w:rPr>
                <w:sz w:val="24"/>
                <w:szCs w:val="24"/>
              </w:rPr>
              <w:t>18号，2018年10月22日）。</w:t>
            </w:r>
          </w:p>
          <w:p>
            <w:pPr>
              <w:pStyle w:val="32"/>
              <w:rPr>
                <w:b/>
                <w:bCs/>
                <w:sz w:val="24"/>
                <w:szCs w:val="24"/>
              </w:rPr>
            </w:pPr>
            <w:r>
              <w:rPr>
                <w:b/>
                <w:bCs/>
                <w:sz w:val="24"/>
                <w:szCs w:val="24"/>
              </w:rPr>
              <w:t>3、建设项目环境影响报告书（表）及其审批部门审批决定</w:t>
            </w:r>
          </w:p>
          <w:p>
            <w:pPr>
              <w:pStyle w:val="32"/>
              <w:rPr>
                <w:sz w:val="24"/>
                <w:szCs w:val="24"/>
              </w:rPr>
            </w:pPr>
            <w:r>
              <w:rPr>
                <w:sz w:val="24"/>
                <w:szCs w:val="24"/>
              </w:rPr>
              <w:t>（1）</w:t>
            </w:r>
            <w:bookmarkStart w:id="4" w:name="_Hlk73374047"/>
            <w:r>
              <w:rPr>
                <w:sz w:val="24"/>
                <w:szCs w:val="24"/>
              </w:rPr>
              <w:t>《</w:t>
            </w:r>
            <w:bookmarkStart w:id="5" w:name="_Hlk85731659"/>
            <w:r>
              <w:rPr>
                <w:sz w:val="24"/>
                <w:szCs w:val="24"/>
              </w:rPr>
              <w:t>山西太钢不锈钢股份有限公司燃气锅炉高效改造项目环境影响报告表</w:t>
            </w:r>
            <w:bookmarkEnd w:id="5"/>
            <w:r>
              <w:rPr>
                <w:sz w:val="24"/>
                <w:szCs w:val="24"/>
              </w:rPr>
              <w:t>》</w:t>
            </w:r>
            <w:bookmarkEnd w:id="4"/>
            <w:r>
              <w:rPr>
                <w:sz w:val="24"/>
                <w:szCs w:val="24"/>
              </w:rPr>
              <w:t>（</w:t>
            </w:r>
            <w:bookmarkStart w:id="6" w:name="_Hlk73374033"/>
            <w:r>
              <w:rPr>
                <w:sz w:val="24"/>
                <w:szCs w:val="24"/>
              </w:rPr>
              <w:t>山西清泽阳光环保科技有限公司</w:t>
            </w:r>
            <w:bookmarkEnd w:id="6"/>
            <w:r>
              <w:rPr>
                <w:sz w:val="24"/>
                <w:szCs w:val="24"/>
              </w:rPr>
              <w:t>，2015年8月）；</w:t>
            </w:r>
          </w:p>
          <w:p>
            <w:pPr>
              <w:pStyle w:val="32"/>
              <w:rPr>
                <w:sz w:val="24"/>
                <w:szCs w:val="24"/>
              </w:rPr>
            </w:pPr>
            <w:r>
              <w:rPr>
                <w:sz w:val="24"/>
                <w:szCs w:val="24"/>
              </w:rPr>
              <w:t>（2）</w:t>
            </w:r>
            <w:bookmarkStart w:id="7" w:name="_Hlk73374173"/>
            <w:r>
              <w:rPr>
                <w:sz w:val="24"/>
                <w:szCs w:val="24"/>
              </w:rPr>
              <w:t>《</w:t>
            </w:r>
            <w:bookmarkStart w:id="8" w:name="_Hlk85731687"/>
            <w:r>
              <w:rPr>
                <w:sz w:val="24"/>
                <w:szCs w:val="24"/>
              </w:rPr>
              <w:t>山西太钢不锈钢股份有限公司燃气锅炉高效改造项目环境影响报告表的批复</w:t>
            </w:r>
            <w:bookmarkEnd w:id="8"/>
            <w:r>
              <w:rPr>
                <w:sz w:val="24"/>
                <w:szCs w:val="24"/>
              </w:rPr>
              <w:t>》（太原市环境保护局尖草坪分局 并环尖审批〔2015〕第38号）</w:t>
            </w:r>
            <w:bookmarkEnd w:id="7"/>
            <w:r>
              <w:rPr>
                <w:sz w:val="24"/>
                <w:szCs w:val="24"/>
              </w:rPr>
              <w:t>；</w:t>
            </w:r>
          </w:p>
          <w:p>
            <w:pPr>
              <w:pStyle w:val="32"/>
              <w:rPr>
                <w:sz w:val="24"/>
                <w:szCs w:val="24"/>
              </w:rPr>
            </w:pPr>
            <w:r>
              <w:rPr>
                <w:sz w:val="24"/>
                <w:szCs w:val="24"/>
              </w:rPr>
              <w:t>（3）</w:t>
            </w:r>
            <w:bookmarkStart w:id="9" w:name="_Hlk85732332"/>
            <w:r>
              <w:rPr>
                <w:sz w:val="24"/>
                <w:szCs w:val="24"/>
              </w:rPr>
              <w:t>《</w:t>
            </w:r>
            <w:bookmarkStart w:id="10" w:name="_Hlk85731815"/>
            <w:r>
              <w:rPr>
                <w:sz w:val="24"/>
                <w:szCs w:val="24"/>
              </w:rPr>
              <w:t>山西太钢不锈钢股份有限公司煤气锅炉升级改造项目环境影响报告表变更说明</w:t>
            </w:r>
            <w:bookmarkEnd w:id="10"/>
            <w:r>
              <w:rPr>
                <w:sz w:val="24"/>
                <w:szCs w:val="24"/>
              </w:rPr>
              <w:t>》（</w:t>
            </w:r>
            <w:bookmarkStart w:id="11" w:name="_Hlk85731789"/>
            <w:r>
              <w:rPr>
                <w:sz w:val="24"/>
                <w:szCs w:val="24"/>
              </w:rPr>
              <w:t>中冶节能环保有限责任公司</w:t>
            </w:r>
            <w:bookmarkEnd w:id="11"/>
            <w:r>
              <w:rPr>
                <w:sz w:val="24"/>
                <w:szCs w:val="24"/>
              </w:rPr>
              <w:t>，2019年8月）；</w:t>
            </w:r>
            <w:bookmarkEnd w:id="9"/>
          </w:p>
          <w:p>
            <w:pPr>
              <w:pStyle w:val="32"/>
              <w:rPr>
                <w:sz w:val="24"/>
                <w:szCs w:val="24"/>
              </w:rPr>
            </w:pPr>
            <w:r>
              <w:rPr>
                <w:sz w:val="24"/>
                <w:szCs w:val="24"/>
              </w:rPr>
              <w:t>（4）《</w:t>
            </w:r>
            <w:bookmarkStart w:id="12" w:name="_Hlk85731848"/>
            <w:r>
              <w:rPr>
                <w:sz w:val="24"/>
                <w:szCs w:val="24"/>
              </w:rPr>
              <w:t>关于对山西太钢不锈钢股份有限公司煤气锅炉升级改造项目变更环评报告申请的复函</w:t>
            </w:r>
            <w:bookmarkEnd w:id="12"/>
            <w:r>
              <w:rPr>
                <w:sz w:val="24"/>
                <w:szCs w:val="24"/>
              </w:rPr>
              <w:t>》（太原市环境保护局尖草坪分局，2019年8月19日）</w:t>
            </w:r>
            <w:r>
              <w:rPr>
                <w:rFonts w:hint="eastAsia"/>
                <w:sz w:val="24"/>
                <w:szCs w:val="24"/>
              </w:rPr>
              <w:t>。</w:t>
            </w:r>
          </w:p>
          <w:p>
            <w:pPr>
              <w:pStyle w:val="32"/>
              <w:rPr>
                <w:b/>
                <w:bCs/>
                <w:sz w:val="24"/>
                <w:szCs w:val="24"/>
              </w:rPr>
            </w:pPr>
            <w:r>
              <w:rPr>
                <w:b/>
                <w:bCs/>
                <w:sz w:val="24"/>
                <w:szCs w:val="24"/>
              </w:rPr>
              <w:t>4、其他相关文件</w:t>
            </w:r>
          </w:p>
          <w:p>
            <w:pPr>
              <w:pStyle w:val="32"/>
              <w:rPr>
                <w:sz w:val="24"/>
                <w:szCs w:val="24"/>
              </w:rPr>
            </w:pPr>
            <w:r>
              <w:rPr>
                <w:sz w:val="24"/>
                <w:szCs w:val="24"/>
              </w:rPr>
              <w:t>（1）</w:t>
            </w:r>
            <w:bookmarkStart w:id="13" w:name="_Hlk73373941"/>
            <w:r>
              <w:rPr>
                <w:sz w:val="24"/>
                <w:szCs w:val="24"/>
              </w:rPr>
              <w:t>《</w:t>
            </w:r>
            <w:bookmarkStart w:id="14" w:name="_Hlk85731604"/>
            <w:r>
              <w:rPr>
                <w:sz w:val="24"/>
                <w:szCs w:val="24"/>
              </w:rPr>
              <w:t>关于核准山西太钢不锈钢股份有限公司煤气锅炉升级改造项目的通知</w:t>
            </w:r>
            <w:bookmarkEnd w:id="14"/>
            <w:r>
              <w:rPr>
                <w:sz w:val="24"/>
                <w:szCs w:val="24"/>
              </w:rPr>
              <w:t>》（太原市工业和信息化局，</w:t>
            </w:r>
            <w:bookmarkStart w:id="15" w:name="_Hlk85731615"/>
            <w:r>
              <w:rPr>
                <w:sz w:val="24"/>
                <w:szCs w:val="24"/>
              </w:rPr>
              <w:t>并工信审批</w:t>
            </w:r>
            <w:r>
              <w:rPr>
                <w:rFonts w:ascii="Cambria" w:hAnsi="Cambria" w:cs="Cambria"/>
                <w:sz w:val="24"/>
                <w:szCs w:val="24"/>
              </w:rPr>
              <w:t>⟮</w:t>
            </w:r>
            <w:r>
              <w:rPr>
                <w:sz w:val="24"/>
                <w:szCs w:val="24"/>
              </w:rPr>
              <w:t>2019</w:t>
            </w:r>
            <w:r>
              <w:rPr>
                <w:rFonts w:ascii="Cambria" w:hAnsi="Cambria" w:cs="Cambria"/>
                <w:sz w:val="24"/>
                <w:szCs w:val="24"/>
              </w:rPr>
              <w:t>⟯</w:t>
            </w:r>
            <w:r>
              <w:rPr>
                <w:sz w:val="24"/>
                <w:szCs w:val="24"/>
              </w:rPr>
              <w:t>3号</w:t>
            </w:r>
            <w:bookmarkEnd w:id="15"/>
            <w:r>
              <w:rPr>
                <w:sz w:val="24"/>
                <w:szCs w:val="24"/>
              </w:rPr>
              <w:t>，2019年7月12日）；</w:t>
            </w:r>
          </w:p>
          <w:bookmarkEnd w:id="13"/>
          <w:p>
            <w:pPr>
              <w:pStyle w:val="32"/>
              <w:rPr>
                <w:sz w:val="24"/>
                <w:szCs w:val="24"/>
              </w:rPr>
            </w:pPr>
            <w:r>
              <w:rPr>
                <w:sz w:val="24"/>
                <w:szCs w:val="24"/>
              </w:rPr>
              <w:t>（2）《山西太钢不锈钢股份有限公司煤气锅炉升级改造项目核准证》（</w:t>
            </w:r>
            <w:bookmarkStart w:id="16" w:name="_Hlk85731595"/>
            <w:r>
              <w:rPr>
                <w:sz w:val="24"/>
                <w:szCs w:val="24"/>
              </w:rPr>
              <w:t>太原市工业和信息化局</w:t>
            </w:r>
            <w:bookmarkEnd w:id="16"/>
            <w:r>
              <w:rPr>
                <w:sz w:val="24"/>
                <w:szCs w:val="24"/>
              </w:rPr>
              <w:t>，并工信审批</w:t>
            </w:r>
            <w:r>
              <w:rPr>
                <w:rFonts w:ascii="Cambria" w:hAnsi="Cambria" w:cs="Cambria"/>
                <w:sz w:val="24"/>
                <w:szCs w:val="24"/>
              </w:rPr>
              <w:t>⟮</w:t>
            </w:r>
            <w:r>
              <w:rPr>
                <w:sz w:val="24"/>
                <w:szCs w:val="24"/>
              </w:rPr>
              <w:t>2019</w:t>
            </w:r>
            <w:r>
              <w:rPr>
                <w:rFonts w:ascii="Cambria" w:hAnsi="Cambria" w:cs="Cambria"/>
                <w:sz w:val="24"/>
                <w:szCs w:val="24"/>
              </w:rPr>
              <w:t>⟯</w:t>
            </w:r>
            <w:r>
              <w:rPr>
                <w:sz w:val="24"/>
                <w:szCs w:val="24"/>
              </w:rPr>
              <w:t>3号，2019年7月12日）；</w:t>
            </w:r>
          </w:p>
          <w:p>
            <w:pPr>
              <w:pStyle w:val="32"/>
              <w:rPr>
                <w:sz w:val="24"/>
                <w:szCs w:val="24"/>
              </w:rPr>
            </w:pPr>
            <w:r>
              <w:rPr>
                <w:sz w:val="24"/>
                <w:szCs w:val="24"/>
              </w:rPr>
              <w:t>（3）《山西太钢不锈钢股份有限公司煤气锅炉升级改造项目初步设计》（中国能源建设集团山西省电力勘测设计院有限公司，2020年1月）；</w:t>
            </w:r>
          </w:p>
          <w:p>
            <w:pPr>
              <w:pStyle w:val="32"/>
              <w:rPr>
                <w:sz w:val="24"/>
                <w:szCs w:val="24"/>
              </w:rPr>
            </w:pPr>
            <w:r>
              <w:rPr>
                <w:sz w:val="24"/>
                <w:szCs w:val="24"/>
              </w:rPr>
              <w:t>（4）《山西太钢不锈钢股份有限公司煤气锅炉升级改造项目竣工环境保护验收监测报告》（山西太钢环境监测有限公司，编号：太钢环境监测（气）2021﹝验﹞第0008号，2021年8月20日）。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928" w:type="dxa"/>
            <w:tcBorders>
              <w:top w:val="single" w:color="auto" w:sz="12" w:space="0"/>
              <w:left w:val="single" w:color="auto" w:sz="12" w:space="0"/>
              <w:bottom w:val="single" w:color="auto" w:sz="12" w:space="0"/>
              <w:right w:val="single" w:color="auto" w:sz="12" w:space="0"/>
            </w:tcBorders>
            <w:vAlign w:val="center"/>
          </w:tcPr>
          <w:p>
            <w:pPr>
              <w:pStyle w:val="32"/>
              <w:rPr>
                <w:sz w:val="24"/>
                <w:szCs w:val="24"/>
              </w:rPr>
            </w:pPr>
            <w:r>
              <w:rPr>
                <w:sz w:val="24"/>
                <w:szCs w:val="24"/>
              </w:rPr>
              <w:t>验收监测评价标准、标号、级别、限值</w:t>
            </w:r>
          </w:p>
        </w:tc>
        <w:tc>
          <w:tcPr>
            <w:tcW w:w="7460" w:type="dxa"/>
            <w:gridSpan w:val="5"/>
            <w:tcBorders>
              <w:top w:val="single" w:color="auto" w:sz="12" w:space="0"/>
              <w:left w:val="single" w:color="auto" w:sz="12" w:space="0"/>
              <w:bottom w:val="single" w:color="auto" w:sz="12" w:space="0"/>
              <w:right w:val="single" w:color="auto" w:sz="12" w:space="0"/>
            </w:tcBorders>
            <w:vAlign w:val="center"/>
          </w:tcPr>
          <w:p>
            <w:pPr>
              <w:pStyle w:val="32"/>
              <w:rPr>
                <w:b/>
                <w:bCs/>
                <w:sz w:val="24"/>
                <w:szCs w:val="24"/>
              </w:rPr>
            </w:pPr>
            <w:r>
              <w:rPr>
                <w:b/>
                <w:bCs/>
                <w:sz w:val="24"/>
                <w:szCs w:val="24"/>
              </w:rPr>
              <w:t>1、废气</w:t>
            </w:r>
          </w:p>
          <w:p>
            <w:pPr>
              <w:pStyle w:val="32"/>
              <w:ind w:firstLine="480" w:firstLineChars="200"/>
              <w:rPr>
                <w:sz w:val="24"/>
                <w:szCs w:val="24"/>
              </w:rPr>
            </w:pPr>
            <w:r>
              <w:rPr>
                <w:sz w:val="24"/>
                <w:szCs w:val="24"/>
              </w:rPr>
              <w:t>（1）锅炉烟气排放的颗粒物、SO</w:t>
            </w:r>
            <w:r>
              <w:rPr>
                <w:sz w:val="24"/>
                <w:szCs w:val="24"/>
                <w:vertAlign w:val="subscript"/>
              </w:rPr>
              <w:t>2</w:t>
            </w:r>
            <w:r>
              <w:rPr>
                <w:sz w:val="24"/>
                <w:szCs w:val="24"/>
              </w:rPr>
              <w:t>执行《关于推进实施钢铁行业超低排放的意见》（环大气[2019]35号）中钢铁企业超低排放指标限值，NOx执行《关于推进生物质锅炉超低排放改造和燃气锅炉低氮改造的通知》（并环改办发[2018]18号）中超低氮排放浓度。</w:t>
            </w:r>
          </w:p>
          <w:p>
            <w:pPr>
              <w:pStyle w:val="32"/>
              <w:ind w:firstLine="480" w:firstLineChars="200"/>
              <w:jc w:val="center"/>
              <w:rPr>
                <w:sz w:val="24"/>
                <w:szCs w:val="24"/>
              </w:rPr>
            </w:pPr>
            <w:bookmarkStart w:id="17" w:name="_Hlk66713914"/>
            <w:r>
              <w:rPr>
                <w:sz w:val="24"/>
                <w:szCs w:val="24"/>
              </w:rPr>
              <w:t>表1  废气监测执行标准</w:t>
            </w:r>
          </w:p>
          <w:tbl>
            <w:tblPr>
              <w:tblStyle w:val="21"/>
              <w:tblW w:w="72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1191"/>
              <w:gridCol w:w="3685"/>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4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监</w:t>
                  </w:r>
                  <w:bookmarkEnd w:id="17"/>
                  <w:r>
                    <w:rPr>
                      <w:rFonts w:ascii="Times New Roman" w:hAnsi="Times New Roman" w:cs="Times New Roman"/>
                      <w:b/>
                      <w:bCs/>
                    </w:rPr>
                    <w:t>测类别</w:t>
                  </w:r>
                </w:p>
              </w:tc>
              <w:tc>
                <w:tcPr>
                  <w:tcW w:w="119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污染物</w:t>
                  </w:r>
                </w:p>
              </w:tc>
              <w:tc>
                <w:tcPr>
                  <w:tcW w:w="368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执行标准</w:t>
                  </w:r>
                </w:p>
              </w:tc>
              <w:tc>
                <w:tcPr>
                  <w:tcW w:w="108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47" w:type="dxa"/>
                  <w:vMerge w:val="restart"/>
                  <w:tcBorders>
                    <w:top w:val="single" w:color="auto" w:sz="4" w:space="0"/>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锅炉烟气</w:t>
                  </w:r>
                </w:p>
              </w:tc>
              <w:tc>
                <w:tcPr>
                  <w:tcW w:w="119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颗粒物</w:t>
                  </w:r>
                </w:p>
              </w:tc>
              <w:tc>
                <w:tcPr>
                  <w:tcW w:w="3685" w:type="dxa"/>
                  <w:vMerge w:val="restart"/>
                  <w:tcBorders>
                    <w:top w:val="single" w:color="auto" w:sz="4" w:space="0"/>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《关于推进实施钢铁行业超低排放的意见》（环大气[2019]35号）</w:t>
                  </w:r>
                </w:p>
              </w:tc>
              <w:tc>
                <w:tcPr>
                  <w:tcW w:w="108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47"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3685" w:type="dxa"/>
                  <w:vMerge w:val="continue"/>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108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47" w:type="dxa"/>
                  <w:vMerge w:val="continue"/>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119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NOx</w:t>
                  </w:r>
                </w:p>
              </w:tc>
              <w:tc>
                <w:tcPr>
                  <w:tcW w:w="368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《关于推进生物质锅炉超低排放改造和燃气锅炉低氮改造的通知》（并环改办发[2018]18号）</w:t>
                  </w:r>
                </w:p>
              </w:tc>
              <w:tc>
                <w:tcPr>
                  <w:tcW w:w="108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30</w:t>
                  </w:r>
                </w:p>
              </w:tc>
            </w:tr>
          </w:tbl>
          <w:p>
            <w:pPr>
              <w:pStyle w:val="32"/>
              <w:ind w:firstLine="480" w:firstLineChars="200"/>
              <w:rPr>
                <w:sz w:val="24"/>
                <w:szCs w:val="24"/>
              </w:rPr>
            </w:pPr>
            <w:r>
              <w:rPr>
                <w:sz w:val="24"/>
                <w:szCs w:val="24"/>
              </w:rPr>
              <w:t>（2）氨逃逸：执行《关于印发山西省打赢蓝天保卫战2020年决战计划的通知》（晋政办发﹝2020﹞17号）中SCR工艺脱硝设施氨逃逸指标控制在2.5mg/m³以内。</w:t>
            </w:r>
          </w:p>
          <w:p>
            <w:pPr>
              <w:pStyle w:val="32"/>
              <w:rPr>
                <w:sz w:val="24"/>
                <w:szCs w:val="24"/>
              </w:rPr>
            </w:pPr>
            <w:r>
              <w:rPr>
                <w:b/>
                <w:bCs/>
                <w:sz w:val="24"/>
                <w:szCs w:val="24"/>
              </w:rPr>
              <w:t>2、噪声</w:t>
            </w:r>
          </w:p>
          <w:p>
            <w:pPr>
              <w:pStyle w:val="32"/>
              <w:ind w:firstLine="480" w:firstLineChars="200"/>
              <w:rPr>
                <w:sz w:val="24"/>
                <w:szCs w:val="24"/>
              </w:rPr>
            </w:pPr>
            <w:r>
              <w:rPr>
                <w:sz w:val="24"/>
                <w:szCs w:val="24"/>
              </w:rPr>
              <w:t>厂界噪声执行《工业企业厂界环境噪声排放标准》（GB12348 -2008）中的3类标准，昼间65dB（A），夜间55dB（A）。</w:t>
            </w:r>
          </w:p>
          <w:p>
            <w:pPr>
              <w:pStyle w:val="32"/>
              <w:rPr>
                <w:b/>
                <w:bCs/>
                <w:sz w:val="24"/>
                <w:szCs w:val="24"/>
              </w:rPr>
            </w:pPr>
            <w:r>
              <w:rPr>
                <w:b/>
                <w:bCs/>
                <w:sz w:val="24"/>
                <w:szCs w:val="24"/>
              </w:rPr>
              <w:t>3、固体废物</w:t>
            </w:r>
          </w:p>
          <w:p>
            <w:pPr>
              <w:pStyle w:val="32"/>
              <w:ind w:firstLine="480" w:firstLineChars="200"/>
              <w:rPr>
                <w:sz w:val="24"/>
                <w:szCs w:val="24"/>
              </w:rPr>
            </w:pPr>
            <w:r>
              <w:rPr>
                <w:sz w:val="24"/>
                <w:szCs w:val="24"/>
              </w:rPr>
              <w:t>一般工业固体废物执行《一般工业固体废物贮存、处置场污染控制标准》（GB18599-2020）的要求；危险废物执行《危险废物贮存污染控制标准》（GB18597-2001）及其修改单（环境保护部公告2013年第36号）中相关规定。</w:t>
            </w: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tc>
      </w:tr>
    </w:tbl>
    <w:p>
      <w:pPr>
        <w:pStyle w:val="4"/>
        <w:rPr>
          <w:rFonts w:ascii="Times New Roman" w:hAnsi="Times New Roman" w:cs="Times New Roman"/>
        </w:rPr>
      </w:pPr>
      <w:bookmarkStart w:id="18" w:name="_Toc86072626"/>
      <w:r>
        <w:rPr>
          <w:rFonts w:ascii="Times New Roman" w:hAnsi="Times New Roman" w:cs="Times New Roman"/>
        </w:rPr>
        <w:t>表二  项目建设情况</w:t>
      </w:r>
      <w:bookmarkEnd w:id="18"/>
    </w:p>
    <w:tbl>
      <w:tblPr>
        <w:tblStyle w:val="21"/>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2"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2"/>
              <w:rPr>
                <w:b/>
                <w:bCs/>
                <w:sz w:val="24"/>
                <w:szCs w:val="24"/>
              </w:rPr>
            </w:pPr>
            <w:r>
              <w:rPr>
                <w:b/>
                <w:bCs/>
                <w:sz w:val="24"/>
                <w:szCs w:val="24"/>
              </w:rPr>
              <w:t>工程建设内容：</w:t>
            </w:r>
          </w:p>
          <w:p>
            <w:pPr>
              <w:pStyle w:val="32"/>
              <w:rPr>
                <w:b/>
                <w:bCs/>
                <w:sz w:val="24"/>
                <w:szCs w:val="24"/>
              </w:rPr>
            </w:pPr>
            <w:r>
              <w:rPr>
                <w:b/>
                <w:bCs/>
                <w:sz w:val="24"/>
                <w:szCs w:val="24"/>
              </w:rPr>
              <w:t>1、地理位置及平面布置</w:t>
            </w:r>
          </w:p>
          <w:p>
            <w:pPr>
              <w:pStyle w:val="32"/>
              <w:ind w:firstLine="480" w:firstLineChars="200"/>
              <w:rPr>
                <w:sz w:val="24"/>
                <w:szCs w:val="24"/>
              </w:rPr>
            </w:pPr>
            <w:bookmarkStart w:id="19" w:name="_Hlk62808924"/>
            <w:r>
              <w:rPr>
                <w:sz w:val="24"/>
                <w:szCs w:val="24"/>
              </w:rPr>
              <w:t>本项目位于山西太钢不锈钢股份有限公司能源动力总厂办公楼南侧，300MW机组2#机以东。建设场地东侧为太钢老电厂的厂房，北面与CCPP主厂房一路之隔，西侧为太钢自备电厂，南侧为现有电除尘的水处理系统。项目中心地理坐标为北纬42°55'13.35"，东经125°32'25.71"。</w:t>
            </w:r>
          </w:p>
          <w:p>
            <w:pPr>
              <w:pStyle w:val="32"/>
              <w:ind w:firstLine="480" w:firstLineChars="200"/>
              <w:rPr>
                <w:sz w:val="24"/>
                <w:szCs w:val="24"/>
              </w:rPr>
            </w:pPr>
            <w:r>
              <w:rPr>
                <w:sz w:val="24"/>
                <w:szCs w:val="24"/>
              </w:rPr>
              <w:t>变更后项目选址与变更前项目选址一致，变更前占地面积15000m²，变更后占地面积13200m²，占地面积略有减少。本项目变更前后选址变化情况具体见附图2。</w:t>
            </w:r>
          </w:p>
          <w:p>
            <w:pPr>
              <w:pStyle w:val="32"/>
              <w:rPr>
                <w:b/>
                <w:bCs/>
                <w:sz w:val="24"/>
                <w:szCs w:val="24"/>
              </w:rPr>
            </w:pPr>
            <w:r>
              <w:rPr>
                <w:b/>
                <w:bCs/>
                <w:sz w:val="24"/>
                <w:szCs w:val="24"/>
              </w:rPr>
              <w:t>2、建设规模</w:t>
            </w:r>
          </w:p>
          <w:p>
            <w:pPr>
              <w:pStyle w:val="32"/>
              <w:ind w:firstLine="480" w:firstLineChars="200"/>
              <w:rPr>
                <w:sz w:val="24"/>
                <w:szCs w:val="24"/>
              </w:rPr>
            </w:pPr>
            <w:bookmarkStart w:id="20" w:name="_Hlk85731983"/>
            <w:r>
              <w:rPr>
                <w:sz w:val="24"/>
                <w:szCs w:val="24"/>
              </w:rPr>
              <w:t>新建1×260t/h亚临界超高温煤气锅炉、1×80MW亚临界超高温直接空冷抽汽凝汽式汽轮发电机组，同步建设脱硫脱硝设施。</w:t>
            </w:r>
          </w:p>
          <w:bookmarkEnd w:id="19"/>
          <w:bookmarkEnd w:id="20"/>
          <w:p>
            <w:pPr>
              <w:pStyle w:val="32"/>
              <w:rPr>
                <w:b/>
                <w:bCs/>
                <w:sz w:val="24"/>
                <w:szCs w:val="24"/>
              </w:rPr>
            </w:pPr>
            <w:r>
              <w:rPr>
                <w:b/>
                <w:bCs/>
                <w:sz w:val="24"/>
                <w:szCs w:val="24"/>
              </w:rPr>
              <w:t>3、工作制度及劳动定员</w:t>
            </w:r>
          </w:p>
          <w:p>
            <w:pPr>
              <w:pStyle w:val="32"/>
              <w:ind w:firstLine="480" w:firstLineChars="200"/>
              <w:rPr>
                <w:sz w:val="24"/>
                <w:szCs w:val="24"/>
              </w:rPr>
            </w:pPr>
            <w:bookmarkStart w:id="21" w:name="_Hlk66257632"/>
            <w:r>
              <w:rPr>
                <w:sz w:val="24"/>
                <w:szCs w:val="24"/>
              </w:rPr>
              <w:t>本项目机组年工作7200小时。生产人员28人，不新增劳动定员，全部由现有能源动力总厂调配。</w:t>
            </w:r>
          </w:p>
          <w:bookmarkEnd w:id="21"/>
          <w:p>
            <w:pPr>
              <w:pStyle w:val="32"/>
              <w:rPr>
                <w:b/>
                <w:bCs/>
                <w:sz w:val="24"/>
                <w:szCs w:val="24"/>
              </w:rPr>
            </w:pPr>
            <w:r>
              <w:rPr>
                <w:b/>
                <w:bCs/>
                <w:sz w:val="24"/>
                <w:szCs w:val="24"/>
              </w:rPr>
              <w:t>4、主要建设内容</w:t>
            </w:r>
          </w:p>
          <w:p>
            <w:pPr>
              <w:pStyle w:val="32"/>
              <w:ind w:firstLine="480" w:firstLineChars="200"/>
              <w:rPr>
                <w:sz w:val="24"/>
                <w:szCs w:val="24"/>
              </w:rPr>
            </w:pPr>
            <w:r>
              <w:rPr>
                <w:sz w:val="24"/>
                <w:szCs w:val="24"/>
              </w:rPr>
              <w:t>本项目利用太钢公司的富余高炉煤气，新建1×260t/h亚临界超高温煤气锅炉和1×80MW亚临界超高温直接空冷抽汽凝汽式汽轮发电机组，配套设施包括热力系统、燃烧系统、控制系统、电气系统、脱硫系统、脱硝系统等。本项目建成后，现有2台130t/h的中温中压煤气锅炉（9#、10#锅炉）停炉作为应急备用。</w:t>
            </w: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tc>
      </w:tr>
    </w:tbl>
    <w:p>
      <w:pPr>
        <w:pStyle w:val="2"/>
        <w:spacing w:before="120"/>
        <w:rPr>
          <w:rFonts w:ascii="Times New Roman" w:hAnsi="Times New Roman" w:cs="Times New Roman"/>
        </w:rPr>
        <w:sectPr>
          <w:footerReference r:id="rId7" w:type="default"/>
          <w:pgSz w:w="11906" w:h="16838"/>
          <w:pgMar w:top="1440" w:right="1800" w:bottom="1440" w:left="1800" w:header="708" w:footer="708" w:gutter="0"/>
          <w:pgNumType w:start="1"/>
          <w:cols w:space="720" w:num="1"/>
          <w:docGrid w:linePitch="360" w:charSpace="0"/>
        </w:sectPr>
      </w:pPr>
    </w:p>
    <w:tbl>
      <w:tblPr>
        <w:tblStyle w:val="21"/>
        <w:tblW w:w="14173"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417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8220" w:hRule="atLeast"/>
          <w:jc w:val="center"/>
        </w:trPr>
        <w:tc>
          <w:tcPr>
            <w:tcW w:w="14173" w:type="dxa"/>
            <w:vAlign w:val="center"/>
          </w:tcPr>
          <w:p>
            <w:pPr>
              <w:pStyle w:val="32"/>
              <w:jc w:val="center"/>
              <w:rPr>
                <w:sz w:val="24"/>
                <w:szCs w:val="24"/>
              </w:rPr>
            </w:pPr>
            <w:r>
              <w:rPr>
                <w:sz w:val="24"/>
                <w:szCs w:val="24"/>
              </w:rPr>
              <w:t>表2  主要建设内容一览表</w:t>
            </w:r>
          </w:p>
          <w:tbl>
            <w:tblPr>
              <w:tblStyle w:val="21"/>
              <w:tblW w:w="13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441"/>
              <w:gridCol w:w="1275"/>
              <w:gridCol w:w="3261"/>
              <w:gridCol w:w="3403"/>
              <w:gridCol w:w="3261"/>
              <w:gridCol w:w="1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62" w:type="dxa"/>
                  <w:gridSpan w:val="3"/>
                  <w:vAlign w:val="center"/>
                </w:tcPr>
                <w:p>
                  <w:pPr>
                    <w:pStyle w:val="42"/>
                    <w:spacing w:line="276" w:lineRule="auto"/>
                    <w:rPr>
                      <w:b/>
                      <w:bCs/>
                      <w:szCs w:val="21"/>
                    </w:rPr>
                  </w:pPr>
                  <w:r>
                    <w:rPr>
                      <w:b/>
                      <w:bCs/>
                      <w:szCs w:val="21"/>
                    </w:rPr>
                    <w:t>工程名称</w:t>
                  </w:r>
                </w:p>
              </w:tc>
              <w:tc>
                <w:tcPr>
                  <w:tcW w:w="3261" w:type="dxa"/>
                  <w:vAlign w:val="center"/>
                </w:tcPr>
                <w:p>
                  <w:pPr>
                    <w:pStyle w:val="42"/>
                    <w:spacing w:line="276" w:lineRule="auto"/>
                    <w:rPr>
                      <w:b/>
                      <w:bCs/>
                      <w:szCs w:val="21"/>
                    </w:rPr>
                  </w:pPr>
                  <w:r>
                    <w:rPr>
                      <w:b/>
                      <w:bCs/>
                      <w:szCs w:val="21"/>
                    </w:rPr>
                    <w:t>变更前项目</w:t>
                  </w:r>
                  <w:r>
                    <w:rPr>
                      <w:b/>
                      <w:bCs/>
                      <w:szCs w:val="21"/>
                      <w:lang w:eastAsia="zh-CN"/>
                    </w:rPr>
                    <w:t>环评设计</w:t>
                  </w:r>
                  <w:r>
                    <w:rPr>
                      <w:b/>
                      <w:bCs/>
                      <w:szCs w:val="21"/>
                    </w:rPr>
                    <w:t>建设内容</w:t>
                  </w:r>
                </w:p>
              </w:tc>
              <w:tc>
                <w:tcPr>
                  <w:tcW w:w="3403" w:type="dxa"/>
                  <w:vAlign w:val="center"/>
                </w:tcPr>
                <w:p>
                  <w:pPr>
                    <w:pStyle w:val="42"/>
                    <w:spacing w:line="276" w:lineRule="auto"/>
                    <w:rPr>
                      <w:b/>
                      <w:bCs/>
                      <w:szCs w:val="21"/>
                    </w:rPr>
                  </w:pPr>
                  <w:r>
                    <w:rPr>
                      <w:b/>
                      <w:bCs/>
                      <w:szCs w:val="21"/>
                    </w:rPr>
                    <w:t>变更后项目</w:t>
                  </w:r>
                  <w:r>
                    <w:rPr>
                      <w:b/>
                      <w:bCs/>
                      <w:szCs w:val="21"/>
                      <w:lang w:eastAsia="zh-CN"/>
                    </w:rPr>
                    <w:t>环评设计</w:t>
                  </w:r>
                  <w:r>
                    <w:rPr>
                      <w:b/>
                      <w:bCs/>
                      <w:szCs w:val="21"/>
                    </w:rPr>
                    <w:t>建设内容</w:t>
                  </w:r>
                </w:p>
              </w:tc>
              <w:tc>
                <w:tcPr>
                  <w:tcW w:w="3261" w:type="dxa"/>
                  <w:vAlign w:val="center"/>
                </w:tcPr>
                <w:p>
                  <w:pPr>
                    <w:pStyle w:val="42"/>
                    <w:spacing w:line="276" w:lineRule="auto"/>
                    <w:rPr>
                      <w:b/>
                      <w:bCs/>
                      <w:szCs w:val="21"/>
                    </w:rPr>
                  </w:pPr>
                  <w:r>
                    <w:rPr>
                      <w:b/>
                      <w:bCs/>
                    </w:rPr>
                    <w:t>实际建设内容</w:t>
                  </w:r>
                </w:p>
              </w:tc>
              <w:tc>
                <w:tcPr>
                  <w:tcW w:w="1760" w:type="dxa"/>
                  <w:vAlign w:val="center"/>
                </w:tcPr>
                <w:p>
                  <w:pPr>
                    <w:pStyle w:val="42"/>
                    <w:spacing w:line="276" w:lineRule="auto"/>
                    <w:rPr>
                      <w:b/>
                      <w:bCs/>
                    </w:rPr>
                  </w:pPr>
                  <w:r>
                    <w:rPr>
                      <w:b/>
                      <w:bCs/>
                    </w:rPr>
                    <w:t>与</w:t>
                  </w:r>
                  <w:r>
                    <w:rPr>
                      <w:b/>
                      <w:bCs/>
                      <w:lang w:eastAsia="zh-CN"/>
                    </w:rPr>
                    <w:t>变更后</w:t>
                  </w:r>
                  <w:r>
                    <w:rPr>
                      <w:b/>
                      <w:bCs/>
                    </w:rPr>
                    <w:t>环评</w:t>
                  </w:r>
                </w:p>
                <w:p>
                  <w:pPr>
                    <w:pStyle w:val="42"/>
                    <w:spacing w:line="276" w:lineRule="auto"/>
                    <w:rPr>
                      <w:b/>
                      <w:bCs/>
                      <w:szCs w:val="21"/>
                    </w:rPr>
                  </w:pPr>
                  <w:r>
                    <w:rPr>
                      <w:b/>
                      <w:bCs/>
                    </w:rPr>
                    <w:t>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restart"/>
                  <w:vAlign w:val="center"/>
                </w:tcPr>
                <w:p>
                  <w:pPr>
                    <w:pStyle w:val="42"/>
                    <w:spacing w:line="276" w:lineRule="auto"/>
                    <w:rPr>
                      <w:szCs w:val="21"/>
                    </w:rPr>
                  </w:pPr>
                  <w:r>
                    <w:rPr>
                      <w:szCs w:val="21"/>
                    </w:rPr>
                    <w:t>主体工程</w:t>
                  </w:r>
                </w:p>
              </w:tc>
              <w:tc>
                <w:tcPr>
                  <w:tcW w:w="1716" w:type="dxa"/>
                  <w:gridSpan w:val="2"/>
                  <w:vAlign w:val="center"/>
                </w:tcPr>
                <w:p>
                  <w:pPr>
                    <w:pStyle w:val="42"/>
                    <w:spacing w:line="276" w:lineRule="auto"/>
                    <w:rPr>
                      <w:szCs w:val="21"/>
                    </w:rPr>
                  </w:pPr>
                  <w:r>
                    <w:rPr>
                      <w:szCs w:val="21"/>
                    </w:rPr>
                    <w:t>煤气锅炉</w:t>
                  </w:r>
                </w:p>
              </w:tc>
              <w:tc>
                <w:tcPr>
                  <w:tcW w:w="3261" w:type="dxa"/>
                  <w:vAlign w:val="center"/>
                </w:tcPr>
                <w:p>
                  <w:pPr>
                    <w:pStyle w:val="42"/>
                    <w:spacing w:line="276" w:lineRule="auto"/>
                    <w:rPr>
                      <w:szCs w:val="21"/>
                    </w:rPr>
                  </w:pPr>
                  <w:r>
                    <w:rPr>
                      <w:szCs w:val="21"/>
                    </w:rPr>
                    <w:t>2台240t/h高温高压煤气锅炉</w:t>
                  </w:r>
                </w:p>
              </w:tc>
              <w:tc>
                <w:tcPr>
                  <w:tcW w:w="3403" w:type="dxa"/>
                  <w:vAlign w:val="center"/>
                </w:tcPr>
                <w:p>
                  <w:pPr>
                    <w:pStyle w:val="42"/>
                    <w:spacing w:line="276" w:lineRule="auto"/>
                    <w:rPr>
                      <w:szCs w:val="21"/>
                    </w:rPr>
                  </w:pPr>
                  <w:r>
                    <w:rPr>
                      <w:szCs w:val="21"/>
                    </w:rPr>
                    <w:t>1×260t/h亚临界超高温煤气锅炉</w:t>
                  </w:r>
                </w:p>
              </w:tc>
              <w:tc>
                <w:tcPr>
                  <w:tcW w:w="3261" w:type="dxa"/>
                  <w:vAlign w:val="center"/>
                </w:tcPr>
                <w:p>
                  <w:pPr>
                    <w:pStyle w:val="42"/>
                    <w:spacing w:line="276" w:lineRule="auto"/>
                    <w:rPr>
                      <w:szCs w:val="21"/>
                    </w:rPr>
                  </w:pPr>
                  <w:r>
                    <w:rPr>
                      <w:szCs w:val="21"/>
                    </w:rPr>
                    <w:t>1×260t/h亚临界超高温煤气锅炉</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1716" w:type="dxa"/>
                  <w:gridSpan w:val="2"/>
                  <w:vAlign w:val="center"/>
                </w:tcPr>
                <w:p>
                  <w:pPr>
                    <w:pStyle w:val="42"/>
                    <w:spacing w:line="276" w:lineRule="auto"/>
                    <w:rPr>
                      <w:szCs w:val="21"/>
                    </w:rPr>
                  </w:pPr>
                  <w:r>
                    <w:rPr>
                      <w:szCs w:val="21"/>
                    </w:rPr>
                    <w:t>汽轮发电机组</w:t>
                  </w:r>
                </w:p>
              </w:tc>
              <w:tc>
                <w:tcPr>
                  <w:tcW w:w="3261" w:type="dxa"/>
                  <w:vAlign w:val="center"/>
                </w:tcPr>
                <w:p>
                  <w:pPr>
                    <w:pStyle w:val="42"/>
                    <w:spacing w:line="276" w:lineRule="auto"/>
                    <w:rPr>
                      <w:szCs w:val="21"/>
                    </w:rPr>
                  </w:pPr>
                  <w:r>
                    <w:rPr>
                      <w:szCs w:val="21"/>
                    </w:rPr>
                    <w:t>2台12MW背压发电机组</w:t>
                  </w:r>
                </w:p>
              </w:tc>
              <w:tc>
                <w:tcPr>
                  <w:tcW w:w="3403" w:type="dxa"/>
                  <w:vAlign w:val="center"/>
                </w:tcPr>
                <w:p>
                  <w:pPr>
                    <w:pStyle w:val="42"/>
                    <w:spacing w:line="276" w:lineRule="auto"/>
                    <w:rPr>
                      <w:szCs w:val="21"/>
                    </w:rPr>
                  </w:pPr>
                  <w:r>
                    <w:rPr>
                      <w:szCs w:val="21"/>
                    </w:rPr>
                    <w:t>1×80MW亚临界超高温直接空冷抽汽凝汽式汽轮发电机组</w:t>
                  </w:r>
                </w:p>
              </w:tc>
              <w:tc>
                <w:tcPr>
                  <w:tcW w:w="3261" w:type="dxa"/>
                  <w:vAlign w:val="center"/>
                </w:tcPr>
                <w:p>
                  <w:pPr>
                    <w:pStyle w:val="42"/>
                    <w:spacing w:line="276" w:lineRule="auto"/>
                    <w:rPr>
                      <w:szCs w:val="21"/>
                    </w:rPr>
                  </w:pPr>
                  <w:r>
                    <w:rPr>
                      <w:szCs w:val="21"/>
                    </w:rPr>
                    <w:t>1×80MW亚临界超高温直接空冷抽汽凝汽式汽轮发电机组</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1716" w:type="dxa"/>
                  <w:gridSpan w:val="2"/>
                  <w:vAlign w:val="center"/>
                </w:tcPr>
                <w:p>
                  <w:pPr>
                    <w:pStyle w:val="42"/>
                    <w:spacing w:line="276" w:lineRule="auto"/>
                    <w:rPr>
                      <w:szCs w:val="21"/>
                    </w:rPr>
                  </w:pPr>
                  <w:r>
                    <w:rPr>
                      <w:szCs w:val="21"/>
                    </w:rPr>
                    <w:t>除盐水站</w:t>
                  </w:r>
                </w:p>
              </w:tc>
              <w:tc>
                <w:tcPr>
                  <w:tcW w:w="3261" w:type="dxa"/>
                  <w:vAlign w:val="center"/>
                </w:tcPr>
                <w:p>
                  <w:pPr>
                    <w:pStyle w:val="42"/>
                    <w:spacing w:line="276" w:lineRule="auto"/>
                    <w:rPr>
                      <w:szCs w:val="21"/>
                    </w:rPr>
                  </w:pPr>
                  <w:r>
                    <w:rPr>
                      <w:szCs w:val="21"/>
                    </w:rPr>
                    <w:t>1座400t/h除盐水站，34m×19m×16m，布置有除二氧化碳器、原水泵、反渗透装置等，用于提供煤气锅炉补给水</w:t>
                  </w:r>
                </w:p>
              </w:tc>
              <w:tc>
                <w:tcPr>
                  <w:tcW w:w="3403" w:type="dxa"/>
                  <w:vAlign w:val="center"/>
                </w:tcPr>
                <w:p>
                  <w:pPr>
                    <w:pStyle w:val="42"/>
                    <w:spacing w:line="276" w:lineRule="auto"/>
                    <w:rPr>
                      <w:szCs w:val="21"/>
                    </w:rPr>
                  </w:pPr>
                  <w:r>
                    <w:rPr>
                      <w:szCs w:val="21"/>
                    </w:rPr>
                    <w:t>锅炉除盐水就近从太钢除盐水管网引接</w:t>
                  </w:r>
                </w:p>
              </w:tc>
              <w:tc>
                <w:tcPr>
                  <w:tcW w:w="3261" w:type="dxa"/>
                  <w:vAlign w:val="center"/>
                </w:tcPr>
                <w:p>
                  <w:pPr>
                    <w:pStyle w:val="42"/>
                    <w:spacing w:line="276" w:lineRule="auto"/>
                    <w:rPr>
                      <w:szCs w:val="21"/>
                      <w:highlight w:val="yellow"/>
                    </w:rPr>
                  </w:pPr>
                  <w:r>
                    <w:rPr>
                      <w:szCs w:val="21"/>
                    </w:rPr>
                    <w:t>锅炉除盐水就近从太钢除盐水管网引接</w:t>
                  </w:r>
                </w:p>
              </w:tc>
              <w:tc>
                <w:tcPr>
                  <w:tcW w:w="1760" w:type="dxa"/>
                  <w:vAlign w:val="center"/>
                </w:tcPr>
                <w:p>
                  <w:pPr>
                    <w:pStyle w:val="42"/>
                    <w:spacing w:line="276" w:lineRule="auto"/>
                    <w:rPr>
                      <w:szCs w:val="21"/>
                      <w:highlight w:val="yellow"/>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restart"/>
                  <w:vAlign w:val="center"/>
                </w:tcPr>
                <w:p>
                  <w:pPr>
                    <w:pStyle w:val="42"/>
                    <w:spacing w:line="276" w:lineRule="auto"/>
                    <w:rPr>
                      <w:szCs w:val="21"/>
                    </w:rPr>
                  </w:pPr>
                  <w:r>
                    <w:rPr>
                      <w:szCs w:val="21"/>
                    </w:rPr>
                    <w:t>辅助工程</w:t>
                  </w:r>
                </w:p>
              </w:tc>
              <w:tc>
                <w:tcPr>
                  <w:tcW w:w="1716" w:type="dxa"/>
                  <w:gridSpan w:val="2"/>
                  <w:vAlign w:val="center"/>
                </w:tcPr>
                <w:p>
                  <w:pPr>
                    <w:pStyle w:val="42"/>
                    <w:spacing w:line="276" w:lineRule="auto"/>
                    <w:rPr>
                      <w:szCs w:val="21"/>
                    </w:rPr>
                  </w:pPr>
                  <w:r>
                    <w:rPr>
                      <w:szCs w:val="21"/>
                    </w:rPr>
                    <w:t>主厂房</w:t>
                  </w:r>
                </w:p>
              </w:tc>
              <w:tc>
                <w:tcPr>
                  <w:tcW w:w="3261" w:type="dxa"/>
                  <w:vAlign w:val="center"/>
                </w:tcPr>
                <w:p>
                  <w:pPr>
                    <w:pStyle w:val="42"/>
                    <w:spacing w:line="276" w:lineRule="auto"/>
                    <w:rPr>
                      <w:szCs w:val="21"/>
                    </w:rPr>
                  </w:pPr>
                  <w:r>
                    <w:rPr>
                      <w:szCs w:val="21"/>
                    </w:rPr>
                    <w:t>布置引风机室、水平烟道、除氧间等</w:t>
                  </w:r>
                </w:p>
              </w:tc>
              <w:tc>
                <w:tcPr>
                  <w:tcW w:w="3403" w:type="dxa"/>
                  <w:vAlign w:val="center"/>
                </w:tcPr>
                <w:p>
                  <w:pPr>
                    <w:pStyle w:val="42"/>
                    <w:spacing w:line="276" w:lineRule="auto"/>
                    <w:rPr>
                      <w:szCs w:val="21"/>
                    </w:rPr>
                  </w:pPr>
                  <w:r>
                    <w:rPr>
                      <w:szCs w:val="21"/>
                    </w:rPr>
                    <w:t>布置汽机房、除氧间、锅炉房等</w:t>
                  </w:r>
                </w:p>
              </w:tc>
              <w:tc>
                <w:tcPr>
                  <w:tcW w:w="3261" w:type="dxa"/>
                  <w:vAlign w:val="center"/>
                </w:tcPr>
                <w:p>
                  <w:pPr>
                    <w:pStyle w:val="42"/>
                    <w:spacing w:line="276" w:lineRule="auto"/>
                    <w:rPr>
                      <w:szCs w:val="21"/>
                    </w:rPr>
                  </w:pPr>
                  <w:r>
                    <w:rPr>
                      <w:szCs w:val="21"/>
                    </w:rPr>
                    <w:t>布置汽机房、除氧间、锅炉房等</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1716" w:type="dxa"/>
                  <w:gridSpan w:val="2"/>
                  <w:vAlign w:val="center"/>
                </w:tcPr>
                <w:p>
                  <w:pPr>
                    <w:pStyle w:val="42"/>
                    <w:spacing w:line="276" w:lineRule="auto"/>
                    <w:rPr>
                      <w:szCs w:val="21"/>
                    </w:rPr>
                  </w:pPr>
                  <w:r>
                    <w:rPr>
                      <w:szCs w:val="21"/>
                    </w:rPr>
                    <w:t>空冷平台</w:t>
                  </w:r>
                </w:p>
              </w:tc>
              <w:tc>
                <w:tcPr>
                  <w:tcW w:w="3261" w:type="dxa"/>
                  <w:vAlign w:val="center"/>
                </w:tcPr>
                <w:p>
                  <w:pPr>
                    <w:pStyle w:val="42"/>
                    <w:spacing w:line="276" w:lineRule="auto"/>
                    <w:rPr>
                      <w:szCs w:val="21"/>
                    </w:rPr>
                  </w:pPr>
                  <w:r>
                    <w:rPr>
                      <w:szCs w:val="21"/>
                    </w:rPr>
                    <w:t>无</w:t>
                  </w:r>
                </w:p>
              </w:tc>
              <w:tc>
                <w:tcPr>
                  <w:tcW w:w="3403" w:type="dxa"/>
                  <w:vAlign w:val="center"/>
                </w:tcPr>
                <w:p>
                  <w:pPr>
                    <w:pStyle w:val="42"/>
                    <w:spacing w:line="276" w:lineRule="auto"/>
                    <w:rPr>
                      <w:szCs w:val="21"/>
                    </w:rPr>
                  </w:pPr>
                  <w:r>
                    <w:rPr>
                      <w:szCs w:val="21"/>
                    </w:rPr>
                    <w:t>布置循环水泵房、蒸发冷却器、主变压器和空冷配电间等。汽轮机凝汽系统采用直接空冷，辅助设备采用闭式循环系统带蒸发冷却器的二次循环冷却方案</w:t>
                  </w:r>
                </w:p>
              </w:tc>
              <w:tc>
                <w:tcPr>
                  <w:tcW w:w="3261" w:type="dxa"/>
                  <w:vAlign w:val="center"/>
                </w:tcPr>
                <w:p>
                  <w:pPr>
                    <w:pStyle w:val="42"/>
                    <w:spacing w:line="276" w:lineRule="auto"/>
                    <w:rPr>
                      <w:szCs w:val="21"/>
                    </w:rPr>
                  </w:pPr>
                  <w:r>
                    <w:rPr>
                      <w:szCs w:val="21"/>
                    </w:rPr>
                    <w:t>布置循环水泵房、蒸发冷却器、主变压器和空冷配电间等。汽轮机凝汽系统采用直接空冷，辅助设备采用闭式循环系统带蒸发冷却器的二次循环冷却方案</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restart"/>
                  <w:vAlign w:val="center"/>
                </w:tcPr>
                <w:p>
                  <w:pPr>
                    <w:pStyle w:val="42"/>
                    <w:spacing w:line="276" w:lineRule="auto"/>
                    <w:rPr>
                      <w:szCs w:val="21"/>
                    </w:rPr>
                  </w:pPr>
                  <w:r>
                    <w:rPr>
                      <w:szCs w:val="21"/>
                    </w:rPr>
                    <w:t>公用工程</w:t>
                  </w:r>
                </w:p>
              </w:tc>
              <w:tc>
                <w:tcPr>
                  <w:tcW w:w="1716" w:type="dxa"/>
                  <w:gridSpan w:val="2"/>
                  <w:vAlign w:val="center"/>
                </w:tcPr>
                <w:p>
                  <w:pPr>
                    <w:pStyle w:val="42"/>
                    <w:spacing w:line="276" w:lineRule="auto"/>
                    <w:rPr>
                      <w:szCs w:val="21"/>
                    </w:rPr>
                  </w:pPr>
                  <w:r>
                    <w:rPr>
                      <w:szCs w:val="21"/>
                    </w:rPr>
                    <w:t>供电</w:t>
                  </w:r>
                </w:p>
              </w:tc>
              <w:tc>
                <w:tcPr>
                  <w:tcW w:w="3261" w:type="dxa"/>
                  <w:vAlign w:val="center"/>
                </w:tcPr>
                <w:p>
                  <w:pPr>
                    <w:pStyle w:val="42"/>
                    <w:spacing w:line="276" w:lineRule="auto"/>
                    <w:rPr>
                      <w:szCs w:val="21"/>
                    </w:rPr>
                  </w:pPr>
                  <w:r>
                    <w:rPr>
                      <w:szCs w:val="21"/>
                    </w:rPr>
                    <w:t>项目自身提供，新建10kV配电室</w:t>
                  </w:r>
                </w:p>
              </w:tc>
              <w:tc>
                <w:tcPr>
                  <w:tcW w:w="3403" w:type="dxa"/>
                  <w:vAlign w:val="center"/>
                </w:tcPr>
                <w:p>
                  <w:pPr>
                    <w:pStyle w:val="42"/>
                    <w:spacing w:line="276" w:lineRule="auto"/>
                    <w:rPr>
                      <w:szCs w:val="21"/>
                    </w:rPr>
                  </w:pPr>
                  <w:r>
                    <w:rPr>
                      <w:szCs w:val="21"/>
                    </w:rPr>
                    <w:t>项目自身提供，新建1座110kV升压站，以1回110kV电缆出线接入太钢110kV变电站</w:t>
                  </w:r>
                </w:p>
              </w:tc>
              <w:tc>
                <w:tcPr>
                  <w:tcW w:w="3261" w:type="dxa"/>
                  <w:vAlign w:val="center"/>
                </w:tcPr>
                <w:p>
                  <w:pPr>
                    <w:pStyle w:val="42"/>
                    <w:spacing w:line="276" w:lineRule="auto"/>
                    <w:rPr>
                      <w:szCs w:val="21"/>
                    </w:rPr>
                  </w:pPr>
                  <w:r>
                    <w:rPr>
                      <w:szCs w:val="21"/>
                    </w:rPr>
                    <w:t>项目自身提供，新建1座110kV升压站，以1回110kV电缆出线接入太钢110kV变电站</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1716" w:type="dxa"/>
                  <w:gridSpan w:val="2"/>
                  <w:vAlign w:val="center"/>
                </w:tcPr>
                <w:p>
                  <w:pPr>
                    <w:pStyle w:val="42"/>
                    <w:spacing w:line="276" w:lineRule="auto"/>
                    <w:rPr>
                      <w:szCs w:val="21"/>
                    </w:rPr>
                  </w:pPr>
                  <w:r>
                    <w:rPr>
                      <w:szCs w:val="21"/>
                    </w:rPr>
                    <w:t>供水</w:t>
                  </w:r>
                </w:p>
              </w:tc>
              <w:tc>
                <w:tcPr>
                  <w:tcW w:w="3261" w:type="dxa"/>
                  <w:vAlign w:val="center"/>
                </w:tcPr>
                <w:p>
                  <w:pPr>
                    <w:pStyle w:val="42"/>
                    <w:spacing w:line="276" w:lineRule="auto"/>
                    <w:rPr>
                      <w:szCs w:val="21"/>
                    </w:rPr>
                  </w:pPr>
                  <w:r>
                    <w:rPr>
                      <w:szCs w:val="21"/>
                    </w:rPr>
                    <w:t>太钢管网统一供给</w:t>
                  </w:r>
                </w:p>
              </w:tc>
              <w:tc>
                <w:tcPr>
                  <w:tcW w:w="3403" w:type="dxa"/>
                  <w:vAlign w:val="center"/>
                </w:tcPr>
                <w:p>
                  <w:pPr>
                    <w:pStyle w:val="42"/>
                    <w:spacing w:line="276" w:lineRule="auto"/>
                    <w:rPr>
                      <w:szCs w:val="21"/>
                    </w:rPr>
                  </w:pPr>
                  <w:r>
                    <w:rPr>
                      <w:szCs w:val="21"/>
                    </w:rPr>
                    <w:t>不变</w:t>
                  </w:r>
                </w:p>
              </w:tc>
              <w:tc>
                <w:tcPr>
                  <w:tcW w:w="3261" w:type="dxa"/>
                  <w:vAlign w:val="center"/>
                </w:tcPr>
                <w:p>
                  <w:pPr>
                    <w:pStyle w:val="42"/>
                    <w:spacing w:line="276" w:lineRule="auto"/>
                    <w:rPr>
                      <w:szCs w:val="21"/>
                    </w:rPr>
                  </w:pPr>
                  <w:r>
                    <w:rPr>
                      <w:szCs w:val="21"/>
                    </w:rPr>
                    <w:t>不变</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1716" w:type="dxa"/>
                  <w:gridSpan w:val="2"/>
                  <w:vAlign w:val="center"/>
                </w:tcPr>
                <w:p>
                  <w:pPr>
                    <w:pStyle w:val="42"/>
                    <w:spacing w:line="276" w:lineRule="auto"/>
                    <w:rPr>
                      <w:szCs w:val="21"/>
                    </w:rPr>
                  </w:pPr>
                  <w:r>
                    <w:rPr>
                      <w:szCs w:val="21"/>
                    </w:rPr>
                    <w:t>煤气</w:t>
                  </w:r>
                </w:p>
              </w:tc>
              <w:tc>
                <w:tcPr>
                  <w:tcW w:w="3261" w:type="dxa"/>
                  <w:vAlign w:val="center"/>
                </w:tcPr>
                <w:p>
                  <w:pPr>
                    <w:pStyle w:val="42"/>
                    <w:spacing w:line="276" w:lineRule="auto"/>
                    <w:rPr>
                      <w:szCs w:val="21"/>
                    </w:rPr>
                  </w:pPr>
                  <w:r>
                    <w:rPr>
                      <w:szCs w:val="21"/>
                    </w:rPr>
                    <w:t>太钢煤气管网供应</w:t>
                  </w:r>
                </w:p>
              </w:tc>
              <w:tc>
                <w:tcPr>
                  <w:tcW w:w="3403" w:type="dxa"/>
                  <w:vAlign w:val="center"/>
                </w:tcPr>
                <w:p>
                  <w:pPr>
                    <w:pStyle w:val="42"/>
                    <w:spacing w:line="276" w:lineRule="auto"/>
                    <w:rPr>
                      <w:szCs w:val="21"/>
                    </w:rPr>
                  </w:pPr>
                  <w:r>
                    <w:rPr>
                      <w:szCs w:val="21"/>
                    </w:rPr>
                    <w:t>不变</w:t>
                  </w:r>
                </w:p>
              </w:tc>
              <w:tc>
                <w:tcPr>
                  <w:tcW w:w="3261" w:type="dxa"/>
                  <w:vAlign w:val="center"/>
                </w:tcPr>
                <w:p>
                  <w:pPr>
                    <w:pStyle w:val="42"/>
                    <w:spacing w:line="276" w:lineRule="auto"/>
                    <w:rPr>
                      <w:szCs w:val="21"/>
                    </w:rPr>
                  </w:pPr>
                  <w:r>
                    <w:rPr>
                      <w:szCs w:val="21"/>
                    </w:rPr>
                    <w:t>不变</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1716" w:type="dxa"/>
                  <w:gridSpan w:val="2"/>
                  <w:vAlign w:val="center"/>
                </w:tcPr>
                <w:p>
                  <w:pPr>
                    <w:pStyle w:val="42"/>
                    <w:spacing w:line="276" w:lineRule="auto"/>
                    <w:rPr>
                      <w:szCs w:val="21"/>
                    </w:rPr>
                  </w:pPr>
                  <w:r>
                    <w:rPr>
                      <w:szCs w:val="21"/>
                    </w:rPr>
                    <w:t>压缩空气</w:t>
                  </w:r>
                </w:p>
              </w:tc>
              <w:tc>
                <w:tcPr>
                  <w:tcW w:w="3261" w:type="dxa"/>
                  <w:vAlign w:val="center"/>
                </w:tcPr>
                <w:p>
                  <w:pPr>
                    <w:pStyle w:val="42"/>
                    <w:spacing w:line="276" w:lineRule="auto"/>
                    <w:rPr>
                      <w:szCs w:val="21"/>
                    </w:rPr>
                  </w:pPr>
                  <w:r>
                    <w:rPr>
                      <w:szCs w:val="21"/>
                    </w:rPr>
                    <w:t>太钢厂区压缩空气管网供应</w:t>
                  </w:r>
                </w:p>
              </w:tc>
              <w:tc>
                <w:tcPr>
                  <w:tcW w:w="3403" w:type="dxa"/>
                  <w:vAlign w:val="center"/>
                </w:tcPr>
                <w:p>
                  <w:pPr>
                    <w:pStyle w:val="42"/>
                    <w:spacing w:line="276" w:lineRule="auto"/>
                    <w:rPr>
                      <w:szCs w:val="21"/>
                    </w:rPr>
                  </w:pPr>
                  <w:r>
                    <w:rPr>
                      <w:szCs w:val="21"/>
                    </w:rPr>
                    <w:t>不变</w:t>
                  </w:r>
                </w:p>
              </w:tc>
              <w:tc>
                <w:tcPr>
                  <w:tcW w:w="3261" w:type="dxa"/>
                  <w:vAlign w:val="center"/>
                </w:tcPr>
                <w:p>
                  <w:pPr>
                    <w:pStyle w:val="42"/>
                    <w:spacing w:line="276" w:lineRule="auto"/>
                    <w:rPr>
                      <w:szCs w:val="21"/>
                    </w:rPr>
                  </w:pPr>
                  <w:r>
                    <w:rPr>
                      <w:szCs w:val="21"/>
                    </w:rPr>
                    <w:t>不变</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restart"/>
                  <w:vAlign w:val="center"/>
                </w:tcPr>
                <w:p>
                  <w:pPr>
                    <w:pStyle w:val="42"/>
                    <w:spacing w:line="276" w:lineRule="auto"/>
                    <w:rPr>
                      <w:szCs w:val="21"/>
                    </w:rPr>
                  </w:pPr>
                  <w:r>
                    <w:rPr>
                      <w:szCs w:val="21"/>
                    </w:rPr>
                    <w:t>依托工程</w:t>
                  </w:r>
                </w:p>
              </w:tc>
              <w:tc>
                <w:tcPr>
                  <w:tcW w:w="1716" w:type="dxa"/>
                  <w:gridSpan w:val="2"/>
                  <w:vAlign w:val="center"/>
                </w:tcPr>
                <w:p>
                  <w:pPr>
                    <w:pStyle w:val="42"/>
                    <w:spacing w:line="276" w:lineRule="auto"/>
                    <w:rPr>
                      <w:szCs w:val="21"/>
                    </w:rPr>
                  </w:pPr>
                  <w:r>
                    <w:rPr>
                      <w:szCs w:val="21"/>
                    </w:rPr>
                    <w:t>排水</w:t>
                  </w:r>
                </w:p>
              </w:tc>
              <w:tc>
                <w:tcPr>
                  <w:tcW w:w="3261" w:type="dxa"/>
                  <w:vAlign w:val="center"/>
                </w:tcPr>
                <w:p>
                  <w:pPr>
                    <w:pStyle w:val="42"/>
                    <w:spacing w:line="276" w:lineRule="auto"/>
                    <w:rPr>
                      <w:szCs w:val="21"/>
                    </w:rPr>
                  </w:pPr>
                  <w:r>
                    <w:rPr>
                      <w:szCs w:val="21"/>
                    </w:rPr>
                    <w:t>依托太钢厂区现有生活污水和生产废水排水管网，送太钢赵庄污水处理场处理后回用，不外排</w:t>
                  </w:r>
                </w:p>
              </w:tc>
              <w:tc>
                <w:tcPr>
                  <w:tcW w:w="3403" w:type="dxa"/>
                  <w:vAlign w:val="center"/>
                </w:tcPr>
                <w:p>
                  <w:pPr>
                    <w:pStyle w:val="42"/>
                    <w:spacing w:line="276" w:lineRule="auto"/>
                    <w:rPr>
                      <w:szCs w:val="21"/>
                    </w:rPr>
                  </w:pPr>
                  <w:r>
                    <w:rPr>
                      <w:szCs w:val="21"/>
                    </w:rPr>
                    <w:t>依托太钢厂区现有生活污水和生产废水排水管网，送太钢污水处理厂处理。</w:t>
                  </w:r>
                </w:p>
              </w:tc>
              <w:tc>
                <w:tcPr>
                  <w:tcW w:w="3261" w:type="dxa"/>
                  <w:vAlign w:val="center"/>
                </w:tcPr>
                <w:p>
                  <w:pPr>
                    <w:pStyle w:val="42"/>
                    <w:spacing w:line="276" w:lineRule="auto"/>
                    <w:rPr>
                      <w:szCs w:val="21"/>
                    </w:rPr>
                  </w:pPr>
                  <w:r>
                    <w:rPr>
                      <w:szCs w:val="21"/>
                    </w:rPr>
                    <w:t>依托太钢厂区现有生活污水和生产废水排水管网，送太钢污水处理厂处理。</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1716" w:type="dxa"/>
                  <w:gridSpan w:val="2"/>
                  <w:vAlign w:val="center"/>
                </w:tcPr>
                <w:p>
                  <w:pPr>
                    <w:pStyle w:val="42"/>
                    <w:spacing w:line="276" w:lineRule="auto"/>
                    <w:rPr>
                      <w:szCs w:val="21"/>
                    </w:rPr>
                  </w:pPr>
                  <w:r>
                    <w:rPr>
                      <w:szCs w:val="21"/>
                    </w:rPr>
                    <w:t>办公区</w:t>
                  </w:r>
                </w:p>
              </w:tc>
              <w:tc>
                <w:tcPr>
                  <w:tcW w:w="3261" w:type="dxa"/>
                  <w:vAlign w:val="center"/>
                </w:tcPr>
                <w:p>
                  <w:pPr>
                    <w:pStyle w:val="42"/>
                    <w:spacing w:line="276" w:lineRule="auto"/>
                    <w:rPr>
                      <w:szCs w:val="21"/>
                    </w:rPr>
                  </w:pPr>
                  <w:r>
                    <w:rPr>
                      <w:szCs w:val="21"/>
                    </w:rPr>
                    <w:t>办公场所依托太钢能源动力厂办公楼</w:t>
                  </w:r>
                </w:p>
              </w:tc>
              <w:tc>
                <w:tcPr>
                  <w:tcW w:w="3403" w:type="dxa"/>
                  <w:vAlign w:val="center"/>
                </w:tcPr>
                <w:p>
                  <w:pPr>
                    <w:pStyle w:val="42"/>
                    <w:spacing w:line="276" w:lineRule="auto"/>
                    <w:rPr>
                      <w:szCs w:val="21"/>
                    </w:rPr>
                  </w:pPr>
                  <w:r>
                    <w:rPr>
                      <w:szCs w:val="21"/>
                    </w:rPr>
                    <w:t>不变</w:t>
                  </w:r>
                </w:p>
              </w:tc>
              <w:tc>
                <w:tcPr>
                  <w:tcW w:w="3261" w:type="dxa"/>
                  <w:vAlign w:val="center"/>
                </w:tcPr>
                <w:p>
                  <w:pPr>
                    <w:pStyle w:val="42"/>
                    <w:spacing w:line="276" w:lineRule="auto"/>
                    <w:rPr>
                      <w:szCs w:val="21"/>
                    </w:rPr>
                  </w:pPr>
                  <w:r>
                    <w:rPr>
                      <w:szCs w:val="21"/>
                    </w:rPr>
                    <w:t>不变</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restart"/>
                  <w:vAlign w:val="center"/>
                </w:tcPr>
                <w:p>
                  <w:pPr>
                    <w:pStyle w:val="42"/>
                    <w:spacing w:line="276" w:lineRule="auto"/>
                    <w:rPr>
                      <w:szCs w:val="21"/>
                    </w:rPr>
                  </w:pPr>
                  <w:r>
                    <w:rPr>
                      <w:szCs w:val="21"/>
                    </w:rPr>
                    <w:t>环保工程</w:t>
                  </w:r>
                </w:p>
              </w:tc>
              <w:tc>
                <w:tcPr>
                  <w:tcW w:w="441" w:type="dxa"/>
                  <w:vAlign w:val="center"/>
                </w:tcPr>
                <w:p>
                  <w:pPr>
                    <w:pStyle w:val="42"/>
                    <w:spacing w:line="276" w:lineRule="auto"/>
                    <w:rPr>
                      <w:szCs w:val="21"/>
                    </w:rPr>
                  </w:pPr>
                  <w:r>
                    <w:rPr>
                      <w:szCs w:val="21"/>
                    </w:rPr>
                    <w:t>废气</w:t>
                  </w:r>
                </w:p>
              </w:tc>
              <w:tc>
                <w:tcPr>
                  <w:tcW w:w="1275" w:type="dxa"/>
                  <w:vAlign w:val="center"/>
                </w:tcPr>
                <w:p>
                  <w:pPr>
                    <w:pStyle w:val="42"/>
                    <w:spacing w:line="276" w:lineRule="auto"/>
                    <w:rPr>
                      <w:szCs w:val="21"/>
                    </w:rPr>
                  </w:pPr>
                  <w:r>
                    <w:rPr>
                      <w:szCs w:val="21"/>
                    </w:rPr>
                    <w:t>锅炉烟气</w:t>
                  </w:r>
                </w:p>
              </w:tc>
              <w:tc>
                <w:tcPr>
                  <w:tcW w:w="3261" w:type="dxa"/>
                  <w:vAlign w:val="center"/>
                </w:tcPr>
                <w:p>
                  <w:pPr>
                    <w:pStyle w:val="42"/>
                    <w:spacing w:line="276" w:lineRule="auto"/>
                    <w:rPr>
                      <w:szCs w:val="21"/>
                    </w:rPr>
                  </w:pPr>
                  <w:r>
                    <w:rPr>
                      <w:szCs w:val="21"/>
                    </w:rPr>
                    <w:t>2台燃气锅炉各安装一套低氮燃烧器，并预留脱硝位置</w:t>
                  </w:r>
                </w:p>
              </w:tc>
              <w:tc>
                <w:tcPr>
                  <w:tcW w:w="3403" w:type="dxa"/>
                  <w:vAlign w:val="center"/>
                </w:tcPr>
                <w:p>
                  <w:pPr>
                    <w:pStyle w:val="42"/>
                    <w:spacing w:line="276" w:lineRule="auto"/>
                    <w:rPr>
                      <w:szCs w:val="21"/>
                    </w:rPr>
                  </w:pPr>
                  <w:r>
                    <w:rPr>
                      <w:szCs w:val="21"/>
                    </w:rPr>
                    <w:t>石灰石－石膏湿法脱硫，脱硫浆液利用现有2×300MW的脱硫制浆液系统；低氮燃烧器+烟气再循环+SCR脱硝，尿素系统利用现有2×300MW的制备系统。</w:t>
                  </w:r>
                </w:p>
              </w:tc>
              <w:tc>
                <w:tcPr>
                  <w:tcW w:w="3261" w:type="dxa"/>
                  <w:vAlign w:val="center"/>
                </w:tcPr>
                <w:p>
                  <w:pPr>
                    <w:pStyle w:val="42"/>
                    <w:spacing w:line="276" w:lineRule="auto"/>
                    <w:rPr>
                      <w:szCs w:val="21"/>
                    </w:rPr>
                  </w:pPr>
                  <w:r>
                    <w:rPr>
                      <w:szCs w:val="21"/>
                      <w:lang w:eastAsia="zh-CN"/>
                    </w:rPr>
                    <w:t>一致</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441" w:type="dxa"/>
                  <w:vAlign w:val="center"/>
                </w:tcPr>
                <w:p>
                  <w:pPr>
                    <w:pStyle w:val="42"/>
                    <w:spacing w:line="276" w:lineRule="auto"/>
                    <w:rPr>
                      <w:szCs w:val="21"/>
                    </w:rPr>
                  </w:pPr>
                  <w:r>
                    <w:rPr>
                      <w:szCs w:val="21"/>
                    </w:rPr>
                    <w:t>废水</w:t>
                  </w:r>
                </w:p>
              </w:tc>
              <w:tc>
                <w:tcPr>
                  <w:tcW w:w="1275" w:type="dxa"/>
                  <w:vAlign w:val="center"/>
                </w:tcPr>
                <w:p>
                  <w:pPr>
                    <w:pStyle w:val="42"/>
                    <w:spacing w:line="276" w:lineRule="auto"/>
                    <w:rPr>
                      <w:szCs w:val="21"/>
                    </w:rPr>
                  </w:pPr>
                  <w:r>
                    <w:rPr>
                      <w:szCs w:val="21"/>
                    </w:rPr>
                    <w:t>生产废水、生活污水</w:t>
                  </w:r>
                </w:p>
              </w:tc>
              <w:tc>
                <w:tcPr>
                  <w:tcW w:w="3261" w:type="dxa"/>
                  <w:vAlign w:val="center"/>
                </w:tcPr>
                <w:p>
                  <w:pPr>
                    <w:pStyle w:val="42"/>
                    <w:spacing w:line="276" w:lineRule="auto"/>
                    <w:rPr>
                      <w:szCs w:val="21"/>
                    </w:rPr>
                  </w:pPr>
                  <w:r>
                    <w:rPr>
                      <w:szCs w:val="21"/>
                    </w:rPr>
                    <w:t>送太钢赵庄污水处理厂处理</w:t>
                  </w:r>
                </w:p>
              </w:tc>
              <w:tc>
                <w:tcPr>
                  <w:tcW w:w="3403" w:type="dxa"/>
                  <w:vAlign w:val="center"/>
                </w:tcPr>
                <w:p>
                  <w:pPr>
                    <w:pStyle w:val="42"/>
                    <w:spacing w:line="276" w:lineRule="auto"/>
                    <w:rPr>
                      <w:szCs w:val="21"/>
                    </w:rPr>
                  </w:pPr>
                  <w:r>
                    <w:rPr>
                      <w:szCs w:val="21"/>
                    </w:rPr>
                    <w:t>送太钢污水处理厂处理。</w:t>
                  </w:r>
                </w:p>
              </w:tc>
              <w:tc>
                <w:tcPr>
                  <w:tcW w:w="3261" w:type="dxa"/>
                  <w:vAlign w:val="center"/>
                </w:tcPr>
                <w:p>
                  <w:pPr>
                    <w:pStyle w:val="42"/>
                    <w:spacing w:line="276" w:lineRule="auto"/>
                    <w:rPr>
                      <w:szCs w:val="21"/>
                    </w:rPr>
                  </w:pPr>
                  <w:r>
                    <w:rPr>
                      <w:szCs w:val="21"/>
                    </w:rPr>
                    <w:t>送太钢污水处理厂处理。</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441" w:type="dxa"/>
                  <w:vMerge w:val="restart"/>
                  <w:vAlign w:val="center"/>
                </w:tcPr>
                <w:p>
                  <w:pPr>
                    <w:pStyle w:val="42"/>
                    <w:spacing w:line="276" w:lineRule="auto"/>
                    <w:rPr>
                      <w:szCs w:val="21"/>
                    </w:rPr>
                  </w:pPr>
                  <w:r>
                    <w:rPr>
                      <w:szCs w:val="21"/>
                    </w:rPr>
                    <w:t>固废</w:t>
                  </w:r>
                </w:p>
              </w:tc>
              <w:tc>
                <w:tcPr>
                  <w:tcW w:w="1275" w:type="dxa"/>
                  <w:vAlign w:val="center"/>
                </w:tcPr>
                <w:p>
                  <w:pPr>
                    <w:pStyle w:val="42"/>
                    <w:spacing w:line="276" w:lineRule="auto"/>
                    <w:rPr>
                      <w:szCs w:val="21"/>
                    </w:rPr>
                  </w:pPr>
                  <w:r>
                    <w:rPr>
                      <w:szCs w:val="21"/>
                    </w:rPr>
                    <w:t>脱硫石膏</w:t>
                  </w:r>
                </w:p>
              </w:tc>
              <w:tc>
                <w:tcPr>
                  <w:tcW w:w="3261" w:type="dxa"/>
                  <w:vAlign w:val="center"/>
                </w:tcPr>
                <w:p>
                  <w:pPr>
                    <w:pStyle w:val="42"/>
                    <w:spacing w:line="276" w:lineRule="auto"/>
                    <w:rPr>
                      <w:szCs w:val="21"/>
                    </w:rPr>
                  </w:pPr>
                  <w:r>
                    <w:rPr>
                      <w:szCs w:val="21"/>
                    </w:rPr>
                    <w:t>无</w:t>
                  </w:r>
                </w:p>
              </w:tc>
              <w:tc>
                <w:tcPr>
                  <w:tcW w:w="3403" w:type="dxa"/>
                  <w:vAlign w:val="center"/>
                </w:tcPr>
                <w:p>
                  <w:pPr>
                    <w:pStyle w:val="42"/>
                    <w:spacing w:line="276" w:lineRule="auto"/>
                    <w:rPr>
                      <w:szCs w:val="21"/>
                    </w:rPr>
                  </w:pPr>
                  <w:r>
                    <w:rPr>
                      <w:szCs w:val="21"/>
                    </w:rPr>
                    <w:t>太钢能源动力总厂石膏生产线生产为石膏粉后统一外售，全部综合利用</w:t>
                  </w:r>
                </w:p>
              </w:tc>
              <w:tc>
                <w:tcPr>
                  <w:tcW w:w="3261" w:type="dxa"/>
                  <w:vAlign w:val="center"/>
                </w:tcPr>
                <w:p>
                  <w:pPr>
                    <w:pStyle w:val="42"/>
                    <w:spacing w:line="276" w:lineRule="auto"/>
                    <w:rPr>
                      <w:szCs w:val="21"/>
                    </w:rPr>
                  </w:pPr>
                  <w:r>
                    <w:rPr>
                      <w:szCs w:val="21"/>
                    </w:rPr>
                    <w:t>太钢能源动力总厂石膏生产线生产为石膏粉后统一外售，全部综合利用</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441" w:type="dxa"/>
                  <w:vMerge w:val="continue"/>
                  <w:vAlign w:val="center"/>
                </w:tcPr>
                <w:p>
                  <w:pPr>
                    <w:pStyle w:val="42"/>
                    <w:spacing w:line="276" w:lineRule="auto"/>
                    <w:rPr>
                      <w:szCs w:val="21"/>
                    </w:rPr>
                  </w:pPr>
                </w:p>
              </w:tc>
              <w:tc>
                <w:tcPr>
                  <w:tcW w:w="1275" w:type="dxa"/>
                  <w:vAlign w:val="center"/>
                </w:tcPr>
                <w:p>
                  <w:pPr>
                    <w:pStyle w:val="42"/>
                    <w:spacing w:line="276" w:lineRule="auto"/>
                    <w:rPr>
                      <w:szCs w:val="21"/>
                    </w:rPr>
                  </w:pPr>
                  <w:r>
                    <w:rPr>
                      <w:szCs w:val="21"/>
                    </w:rPr>
                    <w:t>废催化剂</w:t>
                  </w:r>
                </w:p>
              </w:tc>
              <w:tc>
                <w:tcPr>
                  <w:tcW w:w="3261" w:type="dxa"/>
                  <w:vAlign w:val="center"/>
                </w:tcPr>
                <w:p>
                  <w:pPr>
                    <w:pStyle w:val="42"/>
                    <w:spacing w:line="276" w:lineRule="auto"/>
                    <w:rPr>
                      <w:szCs w:val="21"/>
                    </w:rPr>
                  </w:pPr>
                  <w:r>
                    <w:rPr>
                      <w:szCs w:val="21"/>
                    </w:rPr>
                    <w:t>无</w:t>
                  </w:r>
                </w:p>
              </w:tc>
              <w:tc>
                <w:tcPr>
                  <w:tcW w:w="3403" w:type="dxa"/>
                  <w:vAlign w:val="center"/>
                </w:tcPr>
                <w:p>
                  <w:pPr>
                    <w:pStyle w:val="42"/>
                    <w:spacing w:line="276" w:lineRule="auto"/>
                    <w:rPr>
                      <w:szCs w:val="21"/>
                    </w:rPr>
                  </w:pPr>
                  <w:r>
                    <w:rPr>
                      <w:szCs w:val="21"/>
                    </w:rPr>
                    <w:t>更换的废催化剂由生产厂家统一回收</w:t>
                  </w:r>
                </w:p>
              </w:tc>
              <w:tc>
                <w:tcPr>
                  <w:tcW w:w="3261" w:type="dxa"/>
                  <w:vAlign w:val="center"/>
                </w:tcPr>
                <w:p>
                  <w:pPr>
                    <w:pStyle w:val="42"/>
                    <w:spacing w:line="276" w:lineRule="auto"/>
                    <w:rPr>
                      <w:szCs w:val="21"/>
                    </w:rPr>
                  </w:pPr>
                  <w:r>
                    <w:rPr>
                      <w:szCs w:val="21"/>
                    </w:rPr>
                    <w:t>更换的废催化剂由生产厂家统一回收</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441" w:type="dxa"/>
                  <w:vMerge w:val="continue"/>
                  <w:vAlign w:val="center"/>
                </w:tcPr>
                <w:p>
                  <w:pPr>
                    <w:pStyle w:val="42"/>
                    <w:spacing w:line="276" w:lineRule="auto"/>
                    <w:rPr>
                      <w:szCs w:val="21"/>
                    </w:rPr>
                  </w:pPr>
                </w:p>
              </w:tc>
              <w:tc>
                <w:tcPr>
                  <w:tcW w:w="1275" w:type="dxa"/>
                  <w:vAlign w:val="center"/>
                </w:tcPr>
                <w:p>
                  <w:pPr>
                    <w:pStyle w:val="42"/>
                    <w:spacing w:line="276" w:lineRule="auto"/>
                    <w:rPr>
                      <w:szCs w:val="21"/>
                    </w:rPr>
                  </w:pPr>
                  <w:r>
                    <w:rPr>
                      <w:szCs w:val="21"/>
                    </w:rPr>
                    <w:t>废机油</w:t>
                  </w:r>
                </w:p>
              </w:tc>
              <w:tc>
                <w:tcPr>
                  <w:tcW w:w="3261" w:type="dxa"/>
                  <w:vAlign w:val="center"/>
                </w:tcPr>
                <w:p>
                  <w:pPr>
                    <w:pStyle w:val="42"/>
                    <w:spacing w:line="276" w:lineRule="auto"/>
                    <w:rPr>
                      <w:szCs w:val="21"/>
                    </w:rPr>
                  </w:pPr>
                  <w:r>
                    <w:rPr>
                      <w:szCs w:val="21"/>
                    </w:rPr>
                    <w:t>太原钢铁（集团）公司福利总厂进行集中处置</w:t>
                  </w:r>
                </w:p>
              </w:tc>
              <w:tc>
                <w:tcPr>
                  <w:tcW w:w="3403" w:type="dxa"/>
                  <w:vAlign w:val="center"/>
                </w:tcPr>
                <w:p>
                  <w:pPr>
                    <w:pStyle w:val="42"/>
                    <w:spacing w:line="276" w:lineRule="auto"/>
                    <w:rPr>
                      <w:szCs w:val="21"/>
                    </w:rPr>
                  </w:pPr>
                  <w:r>
                    <w:rPr>
                      <w:szCs w:val="21"/>
                    </w:rPr>
                    <w:t>太钢加工厂统一收集后交有资质单位处理</w:t>
                  </w:r>
                </w:p>
              </w:tc>
              <w:tc>
                <w:tcPr>
                  <w:tcW w:w="3261" w:type="dxa"/>
                  <w:vAlign w:val="center"/>
                </w:tcPr>
                <w:p>
                  <w:pPr>
                    <w:pStyle w:val="42"/>
                    <w:spacing w:line="276" w:lineRule="auto"/>
                    <w:rPr>
                      <w:szCs w:val="21"/>
                    </w:rPr>
                  </w:pPr>
                  <w:r>
                    <w:rPr>
                      <w:szCs w:val="21"/>
                    </w:rPr>
                    <w:t>太钢加工厂统一收集后交有资质单位处理</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441" w:type="dxa"/>
                  <w:vMerge w:val="continue"/>
                  <w:vAlign w:val="center"/>
                </w:tcPr>
                <w:p>
                  <w:pPr>
                    <w:pStyle w:val="42"/>
                    <w:spacing w:line="276" w:lineRule="auto"/>
                    <w:rPr>
                      <w:szCs w:val="21"/>
                    </w:rPr>
                  </w:pPr>
                </w:p>
              </w:tc>
              <w:tc>
                <w:tcPr>
                  <w:tcW w:w="1275" w:type="dxa"/>
                  <w:vAlign w:val="center"/>
                </w:tcPr>
                <w:p>
                  <w:pPr>
                    <w:pStyle w:val="42"/>
                    <w:spacing w:line="276" w:lineRule="auto"/>
                    <w:rPr>
                      <w:szCs w:val="21"/>
                    </w:rPr>
                  </w:pPr>
                  <w:r>
                    <w:rPr>
                      <w:szCs w:val="21"/>
                    </w:rPr>
                    <w:t>生活垃圾</w:t>
                  </w:r>
                </w:p>
              </w:tc>
              <w:tc>
                <w:tcPr>
                  <w:tcW w:w="3261" w:type="dxa"/>
                  <w:vAlign w:val="center"/>
                </w:tcPr>
                <w:p>
                  <w:pPr>
                    <w:pStyle w:val="42"/>
                    <w:spacing w:line="276" w:lineRule="auto"/>
                    <w:rPr>
                      <w:szCs w:val="21"/>
                    </w:rPr>
                  </w:pPr>
                  <w:r>
                    <w:rPr>
                      <w:spacing w:val="6"/>
                      <w:szCs w:val="21"/>
                    </w:rPr>
                    <w:t>环卫部门统一处理.</w:t>
                  </w:r>
                </w:p>
              </w:tc>
              <w:tc>
                <w:tcPr>
                  <w:tcW w:w="3403" w:type="dxa"/>
                  <w:vAlign w:val="center"/>
                </w:tcPr>
                <w:p>
                  <w:pPr>
                    <w:pStyle w:val="42"/>
                    <w:spacing w:line="276" w:lineRule="auto"/>
                    <w:rPr>
                      <w:szCs w:val="21"/>
                    </w:rPr>
                  </w:pPr>
                  <w:r>
                    <w:rPr>
                      <w:szCs w:val="21"/>
                    </w:rPr>
                    <w:t>不变</w:t>
                  </w:r>
                </w:p>
              </w:tc>
              <w:tc>
                <w:tcPr>
                  <w:tcW w:w="3261" w:type="dxa"/>
                  <w:vAlign w:val="center"/>
                </w:tcPr>
                <w:p>
                  <w:pPr>
                    <w:pStyle w:val="42"/>
                    <w:spacing w:line="276" w:lineRule="auto"/>
                    <w:rPr>
                      <w:szCs w:val="21"/>
                    </w:rPr>
                  </w:pPr>
                  <w:r>
                    <w:rPr>
                      <w:szCs w:val="21"/>
                    </w:rPr>
                    <w:t>不变</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441" w:type="dxa"/>
                  <w:vAlign w:val="center"/>
                </w:tcPr>
                <w:p>
                  <w:pPr>
                    <w:pStyle w:val="42"/>
                    <w:spacing w:line="276" w:lineRule="auto"/>
                    <w:rPr>
                      <w:szCs w:val="21"/>
                    </w:rPr>
                  </w:pPr>
                  <w:r>
                    <w:rPr>
                      <w:szCs w:val="21"/>
                    </w:rPr>
                    <w:t>噪声</w:t>
                  </w:r>
                </w:p>
              </w:tc>
              <w:tc>
                <w:tcPr>
                  <w:tcW w:w="1275" w:type="dxa"/>
                  <w:vAlign w:val="center"/>
                </w:tcPr>
                <w:p>
                  <w:pPr>
                    <w:pStyle w:val="42"/>
                    <w:spacing w:line="276" w:lineRule="auto"/>
                    <w:rPr>
                      <w:szCs w:val="21"/>
                    </w:rPr>
                  </w:pPr>
                  <w:r>
                    <w:rPr>
                      <w:szCs w:val="21"/>
                    </w:rPr>
                    <w:t>生产设备</w:t>
                  </w:r>
                </w:p>
              </w:tc>
              <w:tc>
                <w:tcPr>
                  <w:tcW w:w="3261" w:type="dxa"/>
                  <w:vAlign w:val="center"/>
                </w:tcPr>
                <w:p>
                  <w:pPr>
                    <w:pStyle w:val="42"/>
                    <w:spacing w:line="276" w:lineRule="auto"/>
                    <w:rPr>
                      <w:spacing w:val="6"/>
                      <w:szCs w:val="21"/>
                    </w:rPr>
                  </w:pPr>
                  <w:r>
                    <w:rPr>
                      <w:szCs w:val="21"/>
                    </w:rPr>
                    <w:t>选用低噪设备、并室内安装；送风机入口、锅炉排汽及安全阀排汽处安装消声器；汽轮发电机组设置基础减振，并采取隔声措施；水泵采取隔声措施</w:t>
                  </w:r>
                  <w:r>
                    <w:rPr>
                      <w:szCs w:val="21"/>
                      <w:lang w:eastAsia="zh-CN"/>
                    </w:rPr>
                    <w:t>等</w:t>
                  </w:r>
                </w:p>
              </w:tc>
              <w:tc>
                <w:tcPr>
                  <w:tcW w:w="3403" w:type="dxa"/>
                  <w:vAlign w:val="center"/>
                </w:tcPr>
                <w:p>
                  <w:pPr>
                    <w:pStyle w:val="42"/>
                    <w:spacing w:line="276" w:lineRule="auto"/>
                    <w:rPr>
                      <w:szCs w:val="21"/>
                    </w:rPr>
                  </w:pPr>
                  <w:r>
                    <w:rPr>
                      <w:szCs w:val="21"/>
                    </w:rPr>
                    <w:t>不变</w:t>
                  </w:r>
                </w:p>
              </w:tc>
              <w:tc>
                <w:tcPr>
                  <w:tcW w:w="3261" w:type="dxa"/>
                  <w:vAlign w:val="center"/>
                </w:tcPr>
                <w:p>
                  <w:pPr>
                    <w:pStyle w:val="42"/>
                    <w:spacing w:line="276" w:lineRule="auto"/>
                    <w:rPr>
                      <w:szCs w:val="21"/>
                    </w:rPr>
                  </w:pPr>
                  <w:r>
                    <w:rPr>
                      <w:szCs w:val="21"/>
                    </w:rPr>
                    <w:t>不变</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546" w:type="dxa"/>
                  <w:vMerge w:val="continue"/>
                  <w:vAlign w:val="center"/>
                </w:tcPr>
                <w:p>
                  <w:pPr>
                    <w:pStyle w:val="42"/>
                    <w:spacing w:line="276" w:lineRule="auto"/>
                    <w:rPr>
                      <w:szCs w:val="21"/>
                    </w:rPr>
                  </w:pPr>
                </w:p>
              </w:tc>
              <w:tc>
                <w:tcPr>
                  <w:tcW w:w="1716" w:type="dxa"/>
                  <w:gridSpan w:val="2"/>
                  <w:vAlign w:val="center"/>
                </w:tcPr>
                <w:p>
                  <w:pPr>
                    <w:pStyle w:val="42"/>
                    <w:spacing w:line="276" w:lineRule="auto"/>
                    <w:rPr>
                      <w:szCs w:val="21"/>
                    </w:rPr>
                  </w:pPr>
                  <w:r>
                    <w:rPr>
                      <w:szCs w:val="21"/>
                    </w:rPr>
                    <w:t>绿化</w:t>
                  </w:r>
                </w:p>
              </w:tc>
              <w:tc>
                <w:tcPr>
                  <w:tcW w:w="3261" w:type="dxa"/>
                  <w:vAlign w:val="center"/>
                </w:tcPr>
                <w:p>
                  <w:pPr>
                    <w:pStyle w:val="42"/>
                    <w:spacing w:line="276" w:lineRule="auto"/>
                    <w:rPr>
                      <w:spacing w:val="6"/>
                      <w:szCs w:val="21"/>
                    </w:rPr>
                  </w:pPr>
                  <w:r>
                    <w:rPr>
                      <w:szCs w:val="21"/>
                    </w:rPr>
                    <w:t>绿化面积为300m</w:t>
                  </w:r>
                  <w:r>
                    <w:rPr>
                      <w:szCs w:val="21"/>
                      <w:vertAlign w:val="superscript"/>
                    </w:rPr>
                    <w:t>2</w:t>
                  </w:r>
                </w:p>
              </w:tc>
              <w:tc>
                <w:tcPr>
                  <w:tcW w:w="3403" w:type="dxa"/>
                  <w:vAlign w:val="center"/>
                </w:tcPr>
                <w:p>
                  <w:pPr>
                    <w:pStyle w:val="42"/>
                    <w:spacing w:line="276" w:lineRule="auto"/>
                    <w:rPr>
                      <w:szCs w:val="21"/>
                    </w:rPr>
                  </w:pPr>
                  <w:r>
                    <w:rPr>
                      <w:szCs w:val="21"/>
                    </w:rPr>
                    <w:t>绿化面积为264m</w:t>
                  </w:r>
                  <w:r>
                    <w:rPr>
                      <w:szCs w:val="21"/>
                      <w:vertAlign w:val="superscript"/>
                    </w:rPr>
                    <w:t>2</w:t>
                  </w:r>
                </w:p>
              </w:tc>
              <w:tc>
                <w:tcPr>
                  <w:tcW w:w="3261" w:type="dxa"/>
                  <w:vAlign w:val="center"/>
                </w:tcPr>
                <w:p>
                  <w:pPr>
                    <w:pStyle w:val="42"/>
                    <w:spacing w:line="276" w:lineRule="auto"/>
                    <w:rPr>
                      <w:szCs w:val="21"/>
                    </w:rPr>
                  </w:pPr>
                  <w:r>
                    <w:rPr>
                      <w:szCs w:val="21"/>
                    </w:rPr>
                    <w:t>绿化面积为264m</w:t>
                  </w:r>
                  <w:r>
                    <w:rPr>
                      <w:szCs w:val="21"/>
                      <w:vertAlign w:val="superscript"/>
                    </w:rPr>
                    <w:t>2</w:t>
                  </w:r>
                </w:p>
              </w:tc>
              <w:tc>
                <w:tcPr>
                  <w:tcW w:w="1760" w:type="dxa"/>
                  <w:vAlign w:val="center"/>
                </w:tcPr>
                <w:p>
                  <w:pPr>
                    <w:pStyle w:val="42"/>
                    <w:spacing w:line="276" w:lineRule="auto"/>
                    <w:rPr>
                      <w:szCs w:val="21"/>
                    </w:rPr>
                  </w:pPr>
                  <w:r>
                    <w:rPr>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62" w:type="dxa"/>
                  <w:gridSpan w:val="3"/>
                  <w:vAlign w:val="center"/>
                </w:tcPr>
                <w:p>
                  <w:pPr>
                    <w:pStyle w:val="42"/>
                    <w:spacing w:line="276" w:lineRule="auto"/>
                    <w:rPr>
                      <w:szCs w:val="21"/>
                    </w:rPr>
                  </w:pPr>
                  <w:r>
                    <w:rPr>
                      <w:szCs w:val="21"/>
                    </w:rPr>
                    <w:t>淘汰工程</w:t>
                  </w:r>
                </w:p>
              </w:tc>
              <w:tc>
                <w:tcPr>
                  <w:tcW w:w="3261" w:type="dxa"/>
                  <w:vAlign w:val="center"/>
                </w:tcPr>
                <w:p>
                  <w:pPr>
                    <w:pStyle w:val="42"/>
                    <w:spacing w:line="276" w:lineRule="auto"/>
                    <w:rPr>
                      <w:szCs w:val="21"/>
                    </w:rPr>
                  </w:pPr>
                  <w:r>
                    <w:rPr>
                      <w:szCs w:val="21"/>
                    </w:rPr>
                    <w:t>对原1台75t/h（4#）、2台130t/h（9#、10#）、1台120t/h（5#）煤气锅炉进行整合，拆除原4#、5#锅炉和除尘器，9#、10#锅炉作为应急备用。</w:t>
                  </w:r>
                </w:p>
              </w:tc>
              <w:tc>
                <w:tcPr>
                  <w:tcW w:w="3403" w:type="dxa"/>
                  <w:vAlign w:val="center"/>
                </w:tcPr>
                <w:p>
                  <w:pPr>
                    <w:pStyle w:val="42"/>
                    <w:spacing w:line="276" w:lineRule="auto"/>
                    <w:rPr>
                      <w:szCs w:val="21"/>
                    </w:rPr>
                  </w:pPr>
                  <w:r>
                    <w:rPr>
                      <w:szCs w:val="21"/>
                    </w:rPr>
                    <w:t>原4#、5#锅炉已停炉，本项目建成后9#、10#锅炉停炉作为应急备用。淘汰部分基本不变。</w:t>
                  </w:r>
                </w:p>
              </w:tc>
              <w:tc>
                <w:tcPr>
                  <w:tcW w:w="3261" w:type="dxa"/>
                  <w:vAlign w:val="center"/>
                </w:tcPr>
                <w:p>
                  <w:pPr>
                    <w:pStyle w:val="42"/>
                    <w:spacing w:line="276" w:lineRule="auto"/>
                    <w:rPr>
                      <w:szCs w:val="21"/>
                    </w:rPr>
                  </w:pPr>
                  <w:r>
                    <w:rPr>
                      <w:szCs w:val="21"/>
                    </w:rPr>
                    <w:t>原4#、5#锅炉已停炉，本项目建成后9#、10#锅炉停炉作为应急备用。淘汰部分基本不变。</w:t>
                  </w:r>
                </w:p>
              </w:tc>
              <w:tc>
                <w:tcPr>
                  <w:tcW w:w="1760" w:type="dxa"/>
                  <w:vAlign w:val="center"/>
                </w:tcPr>
                <w:p>
                  <w:pPr>
                    <w:pStyle w:val="42"/>
                    <w:spacing w:line="276" w:lineRule="auto"/>
                    <w:rPr>
                      <w:szCs w:val="21"/>
                    </w:rPr>
                  </w:pPr>
                  <w:r>
                    <w:rPr>
                      <w:szCs w:val="21"/>
                      <w:lang w:eastAsia="zh-CN"/>
                    </w:rPr>
                    <w:t>一致</w:t>
                  </w:r>
                </w:p>
              </w:tc>
            </w:tr>
          </w:tbl>
          <w:p>
            <w:pPr>
              <w:pStyle w:val="32"/>
              <w:rPr>
                <w:sz w:val="24"/>
                <w:szCs w:val="24"/>
              </w:rPr>
            </w:pPr>
            <w:r>
              <w:rPr>
                <w:sz w:val="24"/>
                <w:szCs w:val="24"/>
              </w:rPr>
              <w:t>本项目主要生产设备见下表。</w:t>
            </w:r>
          </w:p>
          <w:p>
            <w:pPr>
              <w:pStyle w:val="32"/>
              <w:jc w:val="center"/>
              <w:rPr>
                <w:sz w:val="24"/>
                <w:szCs w:val="24"/>
              </w:rPr>
            </w:pPr>
            <w:r>
              <w:rPr>
                <w:sz w:val="24"/>
                <w:szCs w:val="24"/>
              </w:rPr>
              <w:t>表3  主要生产设备一览表</w:t>
            </w:r>
          </w:p>
          <w:tbl>
            <w:tblPr>
              <w:tblStyle w:val="21"/>
              <w:tblW w:w="13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37"/>
              <w:gridCol w:w="1460"/>
              <w:gridCol w:w="2014"/>
              <w:gridCol w:w="3408"/>
              <w:gridCol w:w="1424"/>
              <w:gridCol w:w="3402"/>
              <w:gridCol w:w="1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tblHeader/>
                <w:jc w:val="center"/>
              </w:trPr>
              <w:tc>
                <w:tcPr>
                  <w:tcW w:w="737" w:type="dxa"/>
                  <w:vAlign w:val="center"/>
                </w:tcPr>
                <w:p>
                  <w:pPr>
                    <w:pStyle w:val="43"/>
                    <w:spacing w:before="36" w:line="276" w:lineRule="auto"/>
                    <w:ind w:left="-69" w:right="-61"/>
                    <w:rPr>
                      <w:rFonts w:ascii="Times New Roman" w:hAnsi="Times New Roman"/>
                      <w:b/>
                      <w:bCs/>
                    </w:rPr>
                  </w:pPr>
                  <w:r>
                    <w:rPr>
                      <w:rFonts w:ascii="Times New Roman" w:hAnsi="Times New Roman"/>
                      <w:b/>
                      <w:bCs/>
                    </w:rPr>
                    <w:t>序号</w:t>
                  </w:r>
                </w:p>
              </w:tc>
              <w:tc>
                <w:tcPr>
                  <w:tcW w:w="1460" w:type="dxa"/>
                  <w:vAlign w:val="center"/>
                </w:tcPr>
                <w:p>
                  <w:pPr>
                    <w:pStyle w:val="43"/>
                    <w:spacing w:before="36" w:line="276" w:lineRule="auto"/>
                    <w:ind w:left="-69" w:right="-61"/>
                    <w:rPr>
                      <w:rFonts w:ascii="Times New Roman" w:hAnsi="Times New Roman"/>
                      <w:b/>
                      <w:bCs/>
                    </w:rPr>
                  </w:pPr>
                  <w:r>
                    <w:rPr>
                      <w:rFonts w:ascii="Times New Roman" w:hAnsi="Times New Roman"/>
                      <w:b/>
                      <w:bCs/>
                    </w:rPr>
                    <w:t>设备</w:t>
                  </w:r>
                </w:p>
              </w:tc>
              <w:tc>
                <w:tcPr>
                  <w:tcW w:w="2014" w:type="dxa"/>
                  <w:vAlign w:val="center"/>
                </w:tcPr>
                <w:p>
                  <w:pPr>
                    <w:pStyle w:val="43"/>
                    <w:spacing w:before="36" w:line="276" w:lineRule="auto"/>
                    <w:ind w:left="-69" w:right="-61"/>
                    <w:rPr>
                      <w:rFonts w:ascii="Times New Roman" w:hAnsi="Times New Roman"/>
                      <w:b/>
                      <w:bCs/>
                    </w:rPr>
                  </w:pPr>
                  <w:r>
                    <w:rPr>
                      <w:rFonts w:ascii="Times New Roman" w:hAnsi="Times New Roman"/>
                      <w:b/>
                      <w:bCs/>
                    </w:rPr>
                    <w:t>变更后环评</w:t>
                  </w:r>
                </w:p>
                <w:p>
                  <w:pPr>
                    <w:pStyle w:val="43"/>
                    <w:spacing w:before="36" w:line="276" w:lineRule="auto"/>
                    <w:ind w:left="-69" w:right="-61"/>
                    <w:rPr>
                      <w:rFonts w:ascii="Times New Roman" w:hAnsi="Times New Roman"/>
                      <w:b/>
                      <w:bCs/>
                    </w:rPr>
                  </w:pPr>
                  <w:r>
                    <w:rPr>
                      <w:rFonts w:ascii="Times New Roman" w:hAnsi="Times New Roman"/>
                      <w:b/>
                      <w:bCs/>
                    </w:rPr>
                    <w:t>设计型式</w:t>
                  </w:r>
                </w:p>
              </w:tc>
              <w:tc>
                <w:tcPr>
                  <w:tcW w:w="3408" w:type="dxa"/>
                  <w:vAlign w:val="center"/>
                </w:tcPr>
                <w:p>
                  <w:pPr>
                    <w:pStyle w:val="43"/>
                    <w:spacing w:before="36" w:line="276" w:lineRule="auto"/>
                    <w:ind w:left="-69" w:right="-61"/>
                    <w:rPr>
                      <w:rFonts w:ascii="Times New Roman" w:hAnsi="Times New Roman"/>
                      <w:b/>
                      <w:bCs/>
                    </w:rPr>
                  </w:pPr>
                  <w:r>
                    <w:rPr>
                      <w:rFonts w:ascii="Times New Roman" w:hAnsi="Times New Roman"/>
                      <w:b/>
                      <w:bCs/>
                    </w:rPr>
                    <w:t>变更后环评</w:t>
                  </w:r>
                </w:p>
                <w:p>
                  <w:pPr>
                    <w:pStyle w:val="43"/>
                    <w:spacing w:before="36" w:line="276" w:lineRule="auto"/>
                    <w:ind w:left="-69" w:right="-61"/>
                    <w:rPr>
                      <w:rFonts w:ascii="Times New Roman" w:hAnsi="Times New Roman"/>
                      <w:b/>
                      <w:bCs/>
                    </w:rPr>
                  </w:pPr>
                  <w:r>
                    <w:rPr>
                      <w:rFonts w:ascii="Times New Roman" w:hAnsi="Times New Roman"/>
                      <w:b/>
                      <w:bCs/>
                    </w:rPr>
                    <w:t>规格参数</w:t>
                  </w:r>
                </w:p>
              </w:tc>
              <w:tc>
                <w:tcPr>
                  <w:tcW w:w="1424" w:type="dxa"/>
                  <w:vAlign w:val="center"/>
                </w:tcPr>
                <w:p>
                  <w:pPr>
                    <w:pStyle w:val="43"/>
                    <w:spacing w:before="36" w:line="276" w:lineRule="auto"/>
                    <w:ind w:left="-69" w:right="-61"/>
                    <w:rPr>
                      <w:rFonts w:ascii="Times New Roman" w:hAnsi="Times New Roman"/>
                      <w:b/>
                      <w:bCs/>
                    </w:rPr>
                  </w:pPr>
                  <w:r>
                    <w:rPr>
                      <w:rFonts w:ascii="Times New Roman" w:hAnsi="Times New Roman"/>
                      <w:b/>
                      <w:bCs/>
                    </w:rPr>
                    <w:t>变更后环评</w:t>
                  </w:r>
                </w:p>
                <w:p>
                  <w:pPr>
                    <w:pStyle w:val="43"/>
                    <w:spacing w:before="36" w:line="276" w:lineRule="auto"/>
                    <w:ind w:left="-69" w:right="-61"/>
                    <w:rPr>
                      <w:rFonts w:ascii="Times New Roman" w:hAnsi="Times New Roman"/>
                      <w:b/>
                      <w:bCs/>
                    </w:rPr>
                  </w:pPr>
                  <w:r>
                    <w:rPr>
                      <w:rFonts w:ascii="Times New Roman" w:hAnsi="Times New Roman"/>
                      <w:b/>
                      <w:bCs/>
                    </w:rPr>
                    <w:t>数量（台）</w:t>
                  </w:r>
                </w:p>
              </w:tc>
              <w:tc>
                <w:tcPr>
                  <w:tcW w:w="3402" w:type="dxa"/>
                  <w:vAlign w:val="center"/>
                </w:tcPr>
                <w:p>
                  <w:pPr>
                    <w:pStyle w:val="43"/>
                    <w:spacing w:before="36" w:line="276" w:lineRule="auto"/>
                    <w:ind w:left="-69" w:right="-61"/>
                    <w:rPr>
                      <w:rFonts w:ascii="Times New Roman" w:hAnsi="Times New Roman"/>
                      <w:b/>
                      <w:bCs/>
                    </w:rPr>
                  </w:pPr>
                  <w:r>
                    <w:rPr>
                      <w:rFonts w:ascii="Times New Roman" w:hAnsi="Times New Roman"/>
                      <w:b/>
                      <w:bCs/>
                    </w:rPr>
                    <w:t>实际建设情况</w:t>
                  </w:r>
                </w:p>
              </w:tc>
              <w:tc>
                <w:tcPr>
                  <w:tcW w:w="1407" w:type="dxa"/>
                  <w:vAlign w:val="center"/>
                </w:tcPr>
                <w:p>
                  <w:pPr>
                    <w:pStyle w:val="42"/>
                    <w:spacing w:line="276" w:lineRule="auto"/>
                    <w:rPr>
                      <w:b/>
                      <w:bCs/>
                      <w:szCs w:val="21"/>
                    </w:rPr>
                  </w:pPr>
                  <w:r>
                    <w:rPr>
                      <w:b/>
                      <w:bCs/>
                      <w:szCs w:val="21"/>
                    </w:rPr>
                    <w:t>与</w:t>
                  </w:r>
                  <w:r>
                    <w:rPr>
                      <w:b/>
                      <w:bCs/>
                      <w:szCs w:val="21"/>
                      <w:lang w:eastAsia="zh-CN"/>
                    </w:rPr>
                    <w:t>变更后</w:t>
                  </w:r>
                  <w:r>
                    <w:rPr>
                      <w:b/>
                      <w:bCs/>
                      <w:szCs w:val="21"/>
                    </w:rPr>
                    <w:t>环评</w:t>
                  </w:r>
                </w:p>
                <w:p>
                  <w:pPr>
                    <w:pStyle w:val="43"/>
                    <w:spacing w:before="36" w:line="276" w:lineRule="auto"/>
                    <w:ind w:left="-69" w:right="-61"/>
                    <w:rPr>
                      <w:rFonts w:ascii="Times New Roman" w:hAnsi="Times New Roman"/>
                      <w:b/>
                      <w:bCs/>
                    </w:rPr>
                  </w:pPr>
                  <w:r>
                    <w:rPr>
                      <w:rFonts w:ascii="Times New Roman" w:hAnsi="Times New Roman"/>
                      <w:b/>
                      <w:bCs/>
                    </w:rPr>
                    <w:t>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1</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汽轮机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亚临界超高温空冷</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C80-16.67/4.15</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1</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亚临界超高温空冷；</w:t>
                  </w:r>
                </w:p>
                <w:p>
                  <w:pPr>
                    <w:pStyle w:val="43"/>
                    <w:spacing w:before="36" w:line="276" w:lineRule="auto"/>
                    <w:ind w:left="0" w:leftChars="0" w:right="-61" w:firstLine="0"/>
                    <w:rPr>
                      <w:rFonts w:ascii="Times New Roman" w:hAnsi="Times New Roman"/>
                    </w:rPr>
                  </w:pPr>
                  <w:r>
                    <w:rPr>
                      <w:rFonts w:ascii="Times New Roman" w:hAnsi="Times New Roman"/>
                    </w:rPr>
                    <w:t>C80-16.67/4.15；1台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发电机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空冷发电机</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功率 85MW，功率因素0.8</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空冷发电机；</w:t>
                  </w:r>
                </w:p>
                <w:p>
                  <w:pPr>
                    <w:pStyle w:val="9"/>
                    <w:spacing w:line="276"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功率 85MW，功率因素0.8；2台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3</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凝结水泵</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立式泵</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流量180t/h，扬程250m</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立式泵；</w:t>
                  </w:r>
                </w:p>
                <w:p>
                  <w:pPr>
                    <w:pStyle w:val="9"/>
                    <w:spacing w:line="276"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流量180t/h，扬程250m；2台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4</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电动机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变频电机</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功率：220kW，电压：380V，</w:t>
                  </w:r>
                </w:p>
                <w:p>
                  <w:pPr>
                    <w:pStyle w:val="43"/>
                    <w:spacing w:before="36" w:line="276" w:lineRule="auto"/>
                    <w:ind w:left="-69" w:right="-61"/>
                    <w:rPr>
                      <w:rFonts w:ascii="Times New Roman" w:hAnsi="Times New Roman"/>
                    </w:rPr>
                  </w:pPr>
                  <w:r>
                    <w:rPr>
                      <w:rFonts w:ascii="Times New Roman" w:hAnsi="Times New Roman"/>
                    </w:rPr>
                    <w:t>转速：1450r/min</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变频电机；</w:t>
                  </w:r>
                </w:p>
                <w:p>
                  <w:pPr>
                    <w:pStyle w:val="43"/>
                    <w:spacing w:before="36" w:line="276" w:lineRule="auto"/>
                    <w:ind w:left="-69" w:right="-61"/>
                    <w:rPr>
                      <w:rFonts w:ascii="Times New Roman" w:hAnsi="Times New Roman"/>
                    </w:rPr>
                  </w:pPr>
                  <w:r>
                    <w:rPr>
                      <w:rFonts w:ascii="Times New Roman" w:hAnsi="Times New Roman"/>
                    </w:rPr>
                    <w:t>功率：220kW，电压：380V，转速：1450r/min；2台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5</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给水泵</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多级卧式轴流泵</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流量 310t/h，扬程2350m</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多级卧式轴流泵；</w:t>
                  </w:r>
                </w:p>
                <w:p>
                  <w:pPr>
                    <w:pStyle w:val="9"/>
                    <w:spacing w:line="276"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流量 310t/h，扬程2350m；2台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6</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电动机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变频电机</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功率：3150kW，电压：10kV</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变频电机；</w:t>
                  </w:r>
                </w:p>
                <w:p>
                  <w:pPr>
                    <w:pStyle w:val="43"/>
                    <w:spacing w:before="36" w:line="276" w:lineRule="auto"/>
                    <w:ind w:left="0" w:leftChars="0" w:right="-61" w:firstLine="0"/>
                    <w:rPr>
                      <w:rFonts w:ascii="Times New Roman" w:hAnsi="Times New Roman"/>
                    </w:rPr>
                  </w:pPr>
                  <w:r>
                    <w:rPr>
                      <w:rFonts w:ascii="Times New Roman" w:hAnsi="Times New Roman"/>
                    </w:rPr>
                    <w:t>功率：3150kW，电压：10kV；2台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7</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真空泵</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水环式真空泵</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2.5kPa，转速740rpm</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水环式真空泵；</w:t>
                  </w:r>
                </w:p>
                <w:p>
                  <w:pPr>
                    <w:pStyle w:val="43"/>
                    <w:spacing w:before="36" w:line="276" w:lineRule="auto"/>
                    <w:ind w:left="-69" w:right="-61"/>
                    <w:rPr>
                      <w:rFonts w:ascii="Times New Roman" w:hAnsi="Times New Roman"/>
                    </w:rPr>
                  </w:pPr>
                  <w:r>
                    <w:rPr>
                      <w:rFonts w:ascii="Times New Roman" w:hAnsi="Times New Roman"/>
                    </w:rPr>
                    <w:t>2.5kPa，转速740rpm；2台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8</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电动机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异步电机</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功率：75kW，电压：380V，</w:t>
                  </w:r>
                </w:p>
                <w:p>
                  <w:pPr>
                    <w:pStyle w:val="43"/>
                    <w:spacing w:before="36" w:line="276" w:lineRule="auto"/>
                    <w:ind w:left="-69" w:right="-61"/>
                    <w:rPr>
                      <w:rFonts w:ascii="Times New Roman" w:hAnsi="Times New Roman"/>
                    </w:rPr>
                  </w:pPr>
                  <w:r>
                    <w:rPr>
                      <w:rFonts w:ascii="Times New Roman" w:hAnsi="Times New Roman"/>
                    </w:rPr>
                    <w:t>转速：1450rpm</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异步电机；</w:t>
                  </w:r>
                </w:p>
                <w:p>
                  <w:pPr>
                    <w:pStyle w:val="43"/>
                    <w:spacing w:before="36" w:line="276" w:lineRule="auto"/>
                    <w:ind w:left="0" w:leftChars="0" w:right="-61" w:firstLine="0"/>
                    <w:rPr>
                      <w:rFonts w:ascii="Times New Roman" w:hAnsi="Times New Roman"/>
                    </w:rPr>
                  </w:pPr>
                  <w:r>
                    <w:rPr>
                      <w:rFonts w:ascii="Times New Roman" w:hAnsi="Times New Roman"/>
                    </w:rPr>
                    <w:t>功率：75kW，电压：380V，转速：1450rpm；2台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9</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空冷风机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轴流式</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9</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9台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10</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电动机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变频电机</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功率：160kW，电压：380V，</w:t>
                  </w:r>
                </w:p>
                <w:p>
                  <w:pPr>
                    <w:pStyle w:val="43"/>
                    <w:spacing w:before="36" w:line="276" w:lineRule="auto"/>
                    <w:ind w:left="-69" w:right="-61"/>
                    <w:rPr>
                      <w:rFonts w:ascii="Times New Roman" w:hAnsi="Times New Roman"/>
                    </w:rPr>
                  </w:pPr>
                  <w:r>
                    <w:rPr>
                      <w:rFonts w:ascii="Times New Roman" w:hAnsi="Times New Roman"/>
                    </w:rPr>
                    <w:t>转速：990r/min</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9</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变频电机；</w:t>
                  </w:r>
                </w:p>
                <w:p>
                  <w:pPr>
                    <w:pStyle w:val="43"/>
                    <w:spacing w:before="36" w:line="276" w:lineRule="auto"/>
                    <w:ind w:left="0" w:leftChars="0" w:right="-61" w:firstLine="0"/>
                    <w:rPr>
                      <w:rFonts w:ascii="Times New Roman" w:hAnsi="Times New Roman"/>
                    </w:rPr>
                  </w:pPr>
                  <w:r>
                    <w:rPr>
                      <w:rFonts w:ascii="Times New Roman" w:hAnsi="Times New Roman"/>
                    </w:rPr>
                    <w:t>功率：160kW，电压：380V，转速：990r/min；9台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11</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送风机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离心式</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流量：130000m³/h，全压5600Pa</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离心式；</w:t>
                  </w:r>
                </w:p>
                <w:p>
                  <w:pPr>
                    <w:pStyle w:val="43"/>
                    <w:spacing w:before="36" w:line="276" w:lineRule="auto"/>
                    <w:ind w:left="0" w:leftChars="0" w:right="-61" w:firstLine="0"/>
                    <w:rPr>
                      <w:rFonts w:ascii="Times New Roman" w:hAnsi="Times New Roman"/>
                    </w:rPr>
                  </w:pPr>
                  <w:r>
                    <w:rPr>
                      <w:rFonts w:ascii="Times New Roman" w:hAnsi="Times New Roman"/>
                    </w:rPr>
                    <w:t>流量：130000m³/h，全压5600Pa；2台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12</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电动机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变频电机</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功率：280kW，电压：10KV，</w:t>
                  </w:r>
                </w:p>
                <w:p>
                  <w:pPr>
                    <w:pStyle w:val="43"/>
                    <w:spacing w:before="36" w:line="276" w:lineRule="auto"/>
                    <w:ind w:left="-69" w:right="-61"/>
                    <w:rPr>
                      <w:rFonts w:ascii="Times New Roman" w:hAnsi="Times New Roman"/>
                    </w:rPr>
                  </w:pPr>
                  <w:r>
                    <w:rPr>
                      <w:rFonts w:ascii="Times New Roman" w:hAnsi="Times New Roman"/>
                    </w:rPr>
                    <w:t>转速：1450r/min</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变频电机；</w:t>
                  </w:r>
                </w:p>
                <w:p>
                  <w:pPr>
                    <w:pStyle w:val="43"/>
                    <w:spacing w:before="36" w:line="276" w:lineRule="auto"/>
                    <w:ind w:left="0" w:leftChars="0" w:right="-61" w:firstLine="0"/>
                    <w:rPr>
                      <w:rFonts w:ascii="Times New Roman" w:hAnsi="Times New Roman"/>
                    </w:rPr>
                  </w:pPr>
                  <w:r>
                    <w:rPr>
                      <w:rFonts w:ascii="Times New Roman" w:hAnsi="Times New Roman"/>
                    </w:rPr>
                    <w:t>功率：280kW，电压：10KV，转速：1450r/min；2台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13</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引风机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离心式</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流量：458900m³/h，全压7150Pa</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离心式；</w:t>
                  </w:r>
                </w:p>
                <w:p>
                  <w:pPr>
                    <w:pStyle w:val="9"/>
                    <w:spacing w:line="276" w:lineRule="auto"/>
                    <w:ind w:firstLine="0"/>
                    <w:jc w:val="center"/>
                    <w:rPr>
                      <w:rFonts w:ascii="Times New Roman" w:hAnsi="Times New Roman" w:eastAsia="宋体" w:cs="Times New Roman"/>
                      <w:sz w:val="21"/>
                      <w:szCs w:val="21"/>
                    </w:rPr>
                  </w:pPr>
                  <w:r>
                    <w:rPr>
                      <w:rFonts w:ascii="Times New Roman" w:hAnsi="Times New Roman" w:eastAsia="宋体" w:cs="Times New Roman"/>
                      <w:sz w:val="21"/>
                      <w:szCs w:val="21"/>
                    </w:rPr>
                    <w:t>流量：458900m³/h，全压7150Pa；2台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14</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电动机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变频电机</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功率：1258kW，电压：10KV，</w:t>
                  </w:r>
                </w:p>
                <w:p>
                  <w:pPr>
                    <w:pStyle w:val="43"/>
                    <w:spacing w:before="36" w:line="276" w:lineRule="auto"/>
                    <w:ind w:left="-69" w:right="-61"/>
                    <w:rPr>
                      <w:rFonts w:ascii="Times New Roman" w:hAnsi="Times New Roman"/>
                    </w:rPr>
                  </w:pPr>
                  <w:r>
                    <w:rPr>
                      <w:rFonts w:ascii="Times New Roman" w:hAnsi="Times New Roman"/>
                    </w:rPr>
                    <w:t>转速：980r/min</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2</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变频电机；</w:t>
                  </w:r>
                </w:p>
                <w:p>
                  <w:pPr>
                    <w:pStyle w:val="43"/>
                    <w:spacing w:before="36" w:line="276" w:lineRule="auto"/>
                    <w:ind w:left="0" w:leftChars="0" w:right="-61" w:firstLine="0"/>
                    <w:rPr>
                      <w:rFonts w:ascii="Times New Roman" w:hAnsi="Times New Roman"/>
                    </w:rPr>
                  </w:pPr>
                  <w:r>
                    <w:rPr>
                      <w:rFonts w:ascii="Times New Roman" w:hAnsi="Times New Roman"/>
                    </w:rPr>
                    <w:t>功率：1258kW，电压：10KV，转速：980r/min；2台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15</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脱硫循环泵</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离心式</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流量：5000 m³/h</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3</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离心式；</w:t>
                  </w:r>
                </w:p>
                <w:p>
                  <w:pPr>
                    <w:pStyle w:val="43"/>
                    <w:spacing w:before="36" w:line="276" w:lineRule="auto"/>
                    <w:ind w:left="0" w:leftChars="0" w:right="-61" w:firstLine="0"/>
                    <w:rPr>
                      <w:rFonts w:ascii="Times New Roman" w:hAnsi="Times New Roman"/>
                    </w:rPr>
                  </w:pPr>
                  <w:r>
                    <w:rPr>
                      <w:rFonts w:ascii="Times New Roman" w:hAnsi="Times New Roman"/>
                    </w:rPr>
                    <w:t>流量：5000 m³/h；3台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0" w:hRule="atLeast"/>
                <w:jc w:val="center"/>
              </w:trPr>
              <w:tc>
                <w:tcPr>
                  <w:tcW w:w="737" w:type="dxa"/>
                  <w:vAlign w:val="center"/>
                </w:tcPr>
                <w:p>
                  <w:pPr>
                    <w:pStyle w:val="43"/>
                    <w:spacing w:before="36" w:line="276" w:lineRule="auto"/>
                    <w:ind w:left="-69" w:right="-61"/>
                    <w:rPr>
                      <w:rFonts w:ascii="Times New Roman" w:hAnsi="Times New Roman"/>
                    </w:rPr>
                  </w:pPr>
                  <w:r>
                    <w:rPr>
                      <w:rFonts w:ascii="Times New Roman" w:hAnsi="Times New Roman"/>
                    </w:rPr>
                    <w:t>16</w:t>
                  </w:r>
                </w:p>
              </w:tc>
              <w:tc>
                <w:tcPr>
                  <w:tcW w:w="1460" w:type="dxa"/>
                  <w:vAlign w:val="center"/>
                </w:tcPr>
                <w:p>
                  <w:pPr>
                    <w:pStyle w:val="43"/>
                    <w:spacing w:before="36" w:line="276" w:lineRule="auto"/>
                    <w:ind w:left="-69" w:right="-61"/>
                    <w:rPr>
                      <w:rFonts w:ascii="Times New Roman" w:hAnsi="Times New Roman"/>
                    </w:rPr>
                  </w:pPr>
                  <w:r>
                    <w:rPr>
                      <w:rFonts w:ascii="Times New Roman" w:hAnsi="Times New Roman"/>
                    </w:rPr>
                    <w:t>电动机</w:t>
                  </w:r>
                </w:p>
              </w:tc>
              <w:tc>
                <w:tcPr>
                  <w:tcW w:w="2014" w:type="dxa"/>
                  <w:vAlign w:val="center"/>
                </w:tcPr>
                <w:p>
                  <w:pPr>
                    <w:pStyle w:val="43"/>
                    <w:spacing w:before="36" w:line="276" w:lineRule="auto"/>
                    <w:ind w:left="-69" w:right="-61"/>
                    <w:rPr>
                      <w:rFonts w:ascii="Times New Roman" w:hAnsi="Times New Roman"/>
                    </w:rPr>
                  </w:pPr>
                  <w:r>
                    <w:rPr>
                      <w:rFonts w:ascii="Times New Roman" w:hAnsi="Times New Roman"/>
                    </w:rPr>
                    <w:t>变频电机</w:t>
                  </w:r>
                </w:p>
              </w:tc>
              <w:tc>
                <w:tcPr>
                  <w:tcW w:w="3408" w:type="dxa"/>
                  <w:vAlign w:val="center"/>
                </w:tcPr>
                <w:p>
                  <w:pPr>
                    <w:pStyle w:val="43"/>
                    <w:spacing w:before="36" w:line="276" w:lineRule="auto"/>
                    <w:ind w:left="-69" w:right="-61"/>
                    <w:rPr>
                      <w:rFonts w:ascii="Times New Roman" w:hAnsi="Times New Roman"/>
                    </w:rPr>
                  </w:pPr>
                  <w:r>
                    <w:rPr>
                      <w:rFonts w:ascii="Times New Roman" w:hAnsi="Times New Roman"/>
                    </w:rPr>
                    <w:t>功率：450W</w:t>
                  </w:r>
                </w:p>
              </w:tc>
              <w:tc>
                <w:tcPr>
                  <w:tcW w:w="1424" w:type="dxa"/>
                  <w:vAlign w:val="center"/>
                </w:tcPr>
                <w:p>
                  <w:pPr>
                    <w:pStyle w:val="43"/>
                    <w:spacing w:before="36" w:line="276" w:lineRule="auto"/>
                    <w:ind w:left="-69" w:right="-61"/>
                    <w:rPr>
                      <w:rFonts w:ascii="Times New Roman" w:hAnsi="Times New Roman"/>
                    </w:rPr>
                  </w:pPr>
                  <w:r>
                    <w:rPr>
                      <w:rFonts w:ascii="Times New Roman" w:hAnsi="Times New Roman"/>
                    </w:rPr>
                    <w:t>3</w:t>
                  </w:r>
                </w:p>
              </w:tc>
              <w:tc>
                <w:tcPr>
                  <w:tcW w:w="3402" w:type="dxa"/>
                  <w:vAlign w:val="center"/>
                </w:tcPr>
                <w:p>
                  <w:pPr>
                    <w:pStyle w:val="43"/>
                    <w:spacing w:before="36" w:line="276" w:lineRule="auto"/>
                    <w:ind w:left="0" w:leftChars="0" w:right="-61" w:firstLine="0"/>
                    <w:rPr>
                      <w:rFonts w:ascii="Times New Roman" w:hAnsi="Times New Roman"/>
                    </w:rPr>
                  </w:pPr>
                  <w:r>
                    <w:rPr>
                      <w:rFonts w:ascii="Times New Roman" w:hAnsi="Times New Roman"/>
                    </w:rPr>
                    <w:t>变频电机；</w:t>
                  </w:r>
                </w:p>
                <w:p>
                  <w:pPr>
                    <w:pStyle w:val="43"/>
                    <w:spacing w:before="36" w:line="276" w:lineRule="auto"/>
                    <w:ind w:left="0" w:leftChars="0" w:right="-61" w:firstLine="0"/>
                    <w:rPr>
                      <w:rFonts w:ascii="Times New Roman" w:hAnsi="Times New Roman"/>
                    </w:rPr>
                  </w:pPr>
                  <w:r>
                    <w:rPr>
                      <w:rFonts w:ascii="Times New Roman" w:hAnsi="Times New Roman"/>
                    </w:rPr>
                    <w:t>功率：450W；3台</w:t>
                  </w:r>
                </w:p>
              </w:tc>
              <w:tc>
                <w:tcPr>
                  <w:tcW w:w="1407" w:type="dxa"/>
                  <w:vAlign w:val="center"/>
                </w:tcPr>
                <w:p>
                  <w:pPr>
                    <w:pStyle w:val="43"/>
                    <w:spacing w:before="36" w:line="276" w:lineRule="auto"/>
                    <w:ind w:left="-69" w:right="-61"/>
                    <w:rPr>
                      <w:rFonts w:ascii="Times New Roman" w:hAnsi="Times New Roman"/>
                    </w:rPr>
                  </w:pPr>
                  <w:r>
                    <w:rPr>
                      <w:rFonts w:ascii="Times New Roman" w:hAnsi="Times New Roman"/>
                    </w:rPr>
                    <w:t>一致</w:t>
                  </w:r>
                </w:p>
              </w:tc>
            </w:tr>
          </w:tbl>
          <w:p>
            <w:pPr>
              <w:pStyle w:val="2"/>
              <w:spacing w:before="120"/>
              <w:rPr>
                <w:rFonts w:ascii="Times New Roman" w:hAnsi="Times New Roman" w:cs="Times New Roman"/>
              </w:rPr>
            </w:pPr>
          </w:p>
        </w:tc>
      </w:tr>
    </w:tbl>
    <w:p>
      <w:pPr>
        <w:pStyle w:val="2"/>
        <w:spacing w:before="120"/>
        <w:rPr>
          <w:rFonts w:ascii="Times New Roman" w:hAnsi="Times New Roman" w:cs="Times New Roman"/>
        </w:rPr>
        <w:sectPr>
          <w:pgSz w:w="16838" w:h="11906" w:orient="landscape"/>
          <w:pgMar w:top="1800" w:right="1440" w:bottom="1800" w:left="1440" w:header="708" w:footer="708" w:gutter="0"/>
          <w:cols w:space="720" w:num="1"/>
          <w:docGrid w:linePitch="360" w:charSpace="0"/>
        </w:sectPr>
      </w:pPr>
    </w:p>
    <w:tbl>
      <w:tblPr>
        <w:tblStyle w:val="21"/>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2"/>
              <w:ind w:firstLine="480" w:firstLineChars="200"/>
              <w:rPr>
                <w:sz w:val="24"/>
                <w:szCs w:val="24"/>
              </w:rPr>
            </w:pPr>
            <w:r>
              <w:rPr>
                <w:sz w:val="24"/>
                <w:szCs w:val="24"/>
              </w:rPr>
              <w:t>本项目燃气锅炉主要技术条件如下表所示。</w:t>
            </w:r>
          </w:p>
          <w:p>
            <w:pPr>
              <w:pStyle w:val="32"/>
              <w:jc w:val="center"/>
              <w:rPr>
                <w:sz w:val="24"/>
                <w:szCs w:val="24"/>
              </w:rPr>
            </w:pPr>
            <w:r>
              <w:rPr>
                <w:sz w:val="24"/>
                <w:szCs w:val="24"/>
              </w:rPr>
              <w:t>表4  燃气锅炉主要技术条件一览表</w:t>
            </w:r>
          </w:p>
          <w:tbl>
            <w:tblPr>
              <w:tblStyle w:val="21"/>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9"/>
              <w:gridCol w:w="3428"/>
              <w:gridCol w:w="3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b/>
                      <w:bCs/>
                    </w:rPr>
                  </w:pPr>
                  <w:r>
                    <w:rPr>
                      <w:rFonts w:ascii="Times New Roman" w:hAnsi="Times New Roman" w:cs="Times New Roman"/>
                      <w:b/>
                      <w:bCs/>
                    </w:rPr>
                    <w:t>技术条件种类</w:t>
                  </w:r>
                </w:p>
              </w:tc>
              <w:tc>
                <w:tcPr>
                  <w:tcW w:w="3428" w:type="dxa"/>
                  <w:vAlign w:val="center"/>
                </w:tcPr>
                <w:p>
                  <w:pPr>
                    <w:spacing w:line="276" w:lineRule="auto"/>
                    <w:jc w:val="center"/>
                    <w:rPr>
                      <w:rFonts w:ascii="Times New Roman" w:hAnsi="Times New Roman" w:cs="Times New Roman"/>
                      <w:b/>
                      <w:bCs/>
                    </w:rPr>
                  </w:pPr>
                  <w:r>
                    <w:rPr>
                      <w:rFonts w:ascii="Times New Roman" w:hAnsi="Times New Roman" w:cs="Times New Roman"/>
                      <w:b/>
                      <w:bCs/>
                    </w:rPr>
                    <w:t>环评参数</w:t>
                  </w:r>
                </w:p>
              </w:tc>
              <w:tc>
                <w:tcPr>
                  <w:tcW w:w="3428" w:type="dxa"/>
                  <w:vAlign w:val="center"/>
                </w:tcPr>
                <w:p>
                  <w:pPr>
                    <w:spacing w:line="276" w:lineRule="auto"/>
                    <w:jc w:val="center"/>
                    <w:rPr>
                      <w:rFonts w:ascii="Times New Roman" w:hAnsi="Times New Roman" w:cs="Times New Roman"/>
                      <w:b/>
                      <w:bCs/>
                    </w:rPr>
                  </w:pPr>
                  <w:r>
                    <w:rPr>
                      <w:rFonts w:ascii="Times New Roman" w:hAnsi="Times New Roman" w:cs="Times New Roman"/>
                      <w:b/>
                      <w:bCs/>
                    </w:rPr>
                    <w:t>实际参数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型号</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超高温亚临界、中间一次再热、平衡通风、单汽包、自然循环汽包炉</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超高温亚临界、中间一次再热、平衡通风、单汽包、自然循环汽包炉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数量</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1台</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蒸 发 量</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260t/h</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260t/h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过热蒸汽压力</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17.5MPa.g</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17.5MPa.g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过热蒸汽温度</w:t>
                  </w:r>
                </w:p>
              </w:tc>
              <w:tc>
                <w:tcPr>
                  <w:tcW w:w="3428" w:type="dxa"/>
                  <w:vAlign w:val="center"/>
                </w:tcPr>
                <w:p>
                  <w:pPr>
                    <w:pStyle w:val="3"/>
                    <w:spacing w:before="120" w:line="276" w:lineRule="auto"/>
                    <w:rPr>
                      <w:rFonts w:ascii="Times New Roman" w:hAnsi="Times New Roman" w:eastAsia="宋体" w:cs="Times New Roman"/>
                    </w:rPr>
                  </w:pPr>
                  <w:r>
                    <w:rPr>
                      <w:rFonts w:ascii="Times New Roman" w:hAnsi="Times New Roman" w:eastAsia="宋体" w:cs="Times New Roman"/>
                    </w:rPr>
                    <w:t>570℃</w:t>
                  </w:r>
                </w:p>
              </w:tc>
              <w:tc>
                <w:tcPr>
                  <w:tcW w:w="3428" w:type="dxa"/>
                  <w:vAlign w:val="center"/>
                </w:tcPr>
                <w:p>
                  <w:pPr>
                    <w:pStyle w:val="3"/>
                    <w:spacing w:before="120" w:line="276" w:lineRule="auto"/>
                    <w:rPr>
                      <w:rFonts w:ascii="Times New Roman" w:hAnsi="Times New Roman" w:eastAsia="宋体" w:cs="Times New Roman"/>
                    </w:rPr>
                  </w:pPr>
                  <w:r>
                    <w:rPr>
                      <w:rFonts w:ascii="Times New Roman" w:hAnsi="Times New Roman" w:eastAsia="宋体" w:cs="Times New Roman"/>
                    </w:rPr>
                    <w:t>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再热蒸汽流量</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215 t/h</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215 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再热蒸汽温度</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570℃</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给水温度</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260℃</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热风温度</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245.4℃</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245.4℃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排烟温度</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150℃</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预热器进口风温</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锅炉效率</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90%</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点火燃料</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焦炉煤气</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焦炉煤气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布置方式</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设置紧身封闭</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设置紧身封闭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最低长期稳燃负荷</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≤30% BMCR</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≤30% BMCR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设计工况燃料</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100%高炉煤气</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100%高炉煤气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校核工况1燃料</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70%高炉煤气+30%转炉煤气</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70%高炉煤气+30%转炉煤气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rPr>
                  </w:pPr>
                  <w:r>
                    <w:rPr>
                      <w:rFonts w:ascii="Times New Roman" w:hAnsi="Times New Roman" w:cs="Times New Roman"/>
                    </w:rPr>
                    <w:t>校核工况2燃料</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70%高炉煤气+30%焦炉煤气</w:t>
                  </w:r>
                </w:p>
              </w:tc>
              <w:tc>
                <w:tcPr>
                  <w:tcW w:w="3428" w:type="dxa"/>
                  <w:vAlign w:val="center"/>
                </w:tcPr>
                <w:p>
                  <w:pPr>
                    <w:spacing w:line="276" w:lineRule="auto"/>
                    <w:jc w:val="center"/>
                    <w:rPr>
                      <w:rFonts w:ascii="Times New Roman" w:hAnsi="Times New Roman" w:cs="Times New Roman"/>
                    </w:rPr>
                  </w:pPr>
                  <w:r>
                    <w:rPr>
                      <w:rFonts w:ascii="Times New Roman" w:hAnsi="Times New Roman" w:cs="Times New Roman"/>
                    </w:rPr>
                    <w:t>70%高炉煤气+30%焦炉煤气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89" w:type="dxa"/>
                  <w:vAlign w:val="center"/>
                </w:tcPr>
                <w:p>
                  <w:pPr>
                    <w:spacing w:line="276" w:lineRule="auto"/>
                    <w:jc w:val="center"/>
                    <w:rPr>
                      <w:rFonts w:ascii="Times New Roman" w:hAnsi="Times New Roman" w:cs="Times New Roman"/>
                      <w:snapToGrid w:val="0"/>
                    </w:rPr>
                  </w:pPr>
                  <w:r>
                    <w:rPr>
                      <w:rFonts w:ascii="Times New Roman" w:hAnsi="Times New Roman" w:cs="Times New Roman"/>
                      <w:snapToGrid w:val="0"/>
                    </w:rPr>
                    <w:t>耗气量</w:t>
                  </w:r>
                </w:p>
                <w:p>
                  <w:pPr>
                    <w:spacing w:line="276" w:lineRule="auto"/>
                    <w:jc w:val="center"/>
                    <w:rPr>
                      <w:rFonts w:ascii="Times New Roman" w:hAnsi="Times New Roman" w:cs="Times New Roman"/>
                    </w:rPr>
                  </w:pPr>
                  <w:r>
                    <w:rPr>
                      <w:rFonts w:ascii="Times New Roman" w:hAnsi="Times New Roman" w:cs="Times New Roman"/>
                      <w:snapToGrid w:val="0"/>
                    </w:rPr>
                    <w:t>（折合高炉煤气）</w:t>
                  </w:r>
                </w:p>
              </w:tc>
              <w:tc>
                <w:tcPr>
                  <w:tcW w:w="3428" w:type="dxa"/>
                  <w:vAlign w:val="center"/>
                </w:tcPr>
                <w:p>
                  <w:pPr>
                    <w:pStyle w:val="3"/>
                    <w:spacing w:before="120" w:line="276" w:lineRule="auto"/>
                    <w:rPr>
                      <w:rFonts w:ascii="Times New Roman" w:hAnsi="Times New Roman" w:eastAsia="宋体" w:cs="Times New Roman"/>
                      <w:snapToGrid w:val="0"/>
                    </w:rPr>
                  </w:pPr>
                  <w:r>
                    <w:rPr>
                      <w:rFonts w:ascii="Times New Roman" w:hAnsi="Times New Roman" w:eastAsia="宋体" w:cs="Times New Roman"/>
                      <w:snapToGrid w:val="0"/>
                    </w:rPr>
                    <w:t>23万m</w:t>
                  </w:r>
                  <w:r>
                    <w:rPr>
                      <w:rFonts w:ascii="Times New Roman" w:hAnsi="Times New Roman" w:eastAsia="宋体" w:cs="Times New Roman"/>
                      <w:snapToGrid w:val="0"/>
                      <w:vertAlign w:val="superscript"/>
                    </w:rPr>
                    <w:t>3</w:t>
                  </w:r>
                  <w:r>
                    <w:rPr>
                      <w:rFonts w:ascii="Times New Roman" w:hAnsi="Times New Roman" w:eastAsia="宋体" w:cs="Times New Roman"/>
                      <w:snapToGrid w:val="0"/>
                    </w:rPr>
                    <w:t>/h</w:t>
                  </w:r>
                </w:p>
              </w:tc>
              <w:tc>
                <w:tcPr>
                  <w:tcW w:w="3428" w:type="dxa"/>
                  <w:vAlign w:val="center"/>
                </w:tcPr>
                <w:p>
                  <w:pPr>
                    <w:pStyle w:val="3"/>
                    <w:spacing w:before="120" w:line="276" w:lineRule="auto"/>
                    <w:rPr>
                      <w:rFonts w:ascii="Times New Roman" w:hAnsi="Times New Roman" w:eastAsia="宋体" w:cs="Times New Roman"/>
                      <w:snapToGrid w:val="0"/>
                    </w:rPr>
                  </w:pPr>
                  <w:r>
                    <w:rPr>
                      <w:rFonts w:ascii="Times New Roman" w:hAnsi="Times New Roman" w:eastAsia="宋体" w:cs="Times New Roman"/>
                      <w:snapToGrid w:val="0"/>
                    </w:rPr>
                    <w:t>23万m</w:t>
                  </w:r>
                  <w:r>
                    <w:rPr>
                      <w:rFonts w:ascii="Times New Roman" w:hAnsi="Times New Roman" w:eastAsia="宋体" w:cs="Times New Roman"/>
                      <w:snapToGrid w:val="0"/>
                      <w:vertAlign w:val="superscript"/>
                    </w:rPr>
                    <w:t>3</w:t>
                  </w:r>
                  <w:r>
                    <w:rPr>
                      <w:rFonts w:ascii="Times New Roman" w:hAnsi="Times New Roman" w:eastAsia="宋体" w:cs="Times New Roman"/>
                      <w:snapToGrid w:val="0"/>
                    </w:rPr>
                    <w:t>/h</w:t>
                  </w:r>
                </w:p>
              </w:tc>
            </w:tr>
          </w:tbl>
          <w:p>
            <w:pPr>
              <w:pStyle w:val="32"/>
              <w:ind w:firstLine="480" w:firstLineChars="200"/>
              <w:rPr>
                <w:sz w:val="24"/>
                <w:szCs w:val="24"/>
              </w:rPr>
            </w:pPr>
          </w:p>
          <w:p>
            <w:pPr>
              <w:pStyle w:val="32"/>
              <w:ind w:firstLine="480" w:firstLineChars="200"/>
              <w:rPr>
                <w:sz w:val="24"/>
                <w:szCs w:val="24"/>
              </w:rPr>
            </w:pPr>
            <w:r>
              <w:rPr>
                <w:sz w:val="24"/>
                <w:szCs w:val="24"/>
              </w:rPr>
              <w:t>本项目汽轮机主要技术条件如下表所示。</w:t>
            </w:r>
          </w:p>
          <w:p>
            <w:pPr>
              <w:pStyle w:val="32"/>
              <w:jc w:val="center"/>
              <w:rPr>
                <w:sz w:val="24"/>
                <w:szCs w:val="24"/>
              </w:rPr>
            </w:pPr>
            <w:r>
              <w:rPr>
                <w:sz w:val="24"/>
                <w:szCs w:val="24"/>
              </w:rPr>
              <w:t>表5  汽轮机主要技术条件一览表</w:t>
            </w:r>
          </w:p>
          <w:tbl>
            <w:tblPr>
              <w:tblStyle w:val="21"/>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7"/>
              <w:gridCol w:w="3404"/>
              <w:gridCol w:w="3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b/>
                      <w:bCs/>
                    </w:rPr>
                    <w:t>技术条件种类</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b/>
                      <w:bCs/>
                    </w:rPr>
                    <w:t>环评参数</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b/>
                      <w:bCs/>
                    </w:rPr>
                    <w:t>实际参数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型号</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C80-16.67/4.15型</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C80-16.67/4.15型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型式</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超高温亚临界直接空冷抽凝式</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超高温亚临界直接空冷抽凝式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额定功率</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80MW</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80MW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额定转速</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3000r/min</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3000r/min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主汽门前蒸汽压力</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16.67MPa.a</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16.67MPa.a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主汽门前蒸汽温度</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566℃</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566℃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汽轮机进汽量</w:t>
                  </w:r>
                </w:p>
                <w:p>
                  <w:pPr>
                    <w:spacing w:line="276" w:lineRule="auto"/>
                    <w:jc w:val="center"/>
                    <w:rPr>
                      <w:rFonts w:ascii="Times New Roman" w:hAnsi="Times New Roman" w:cs="Times New Roman"/>
                    </w:rPr>
                  </w:pPr>
                  <w:r>
                    <w:rPr>
                      <w:rFonts w:ascii="Times New Roman" w:hAnsi="Times New Roman" w:cs="Times New Roman"/>
                    </w:rPr>
                    <w:t>（纯凝/额定/最大）</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245/264/280 t/h</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245/264/280 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排汽压力</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15kPa.a</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15kPa.a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抽汽量（额定）</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50t/h</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50t/h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抽汽量（最大）</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100t/h</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100t/h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给水温度（额定）</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274℃</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转子旋转方向</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从汽轮机端向发电机端看为顺时针方向</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从汽轮机端向发电机端看为顺时针方向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加热器台数</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3高加+1除氧器+4低加</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3高加+1除氧器+4低加</w:t>
                  </w:r>
                </w:p>
              </w:tc>
            </w:tr>
          </w:tbl>
          <w:p>
            <w:pPr>
              <w:pStyle w:val="32"/>
              <w:ind w:firstLine="480" w:firstLineChars="200"/>
              <w:rPr>
                <w:sz w:val="24"/>
                <w:szCs w:val="24"/>
              </w:rPr>
            </w:pPr>
          </w:p>
          <w:p>
            <w:pPr>
              <w:pStyle w:val="32"/>
              <w:ind w:firstLine="480" w:firstLineChars="200"/>
              <w:rPr>
                <w:sz w:val="24"/>
                <w:szCs w:val="24"/>
              </w:rPr>
            </w:pPr>
            <w:r>
              <w:rPr>
                <w:sz w:val="24"/>
                <w:szCs w:val="24"/>
              </w:rPr>
              <w:t>本项目发电机主要技术条件如下表所示。</w:t>
            </w:r>
          </w:p>
          <w:p>
            <w:pPr>
              <w:pStyle w:val="32"/>
              <w:jc w:val="center"/>
              <w:rPr>
                <w:sz w:val="24"/>
                <w:szCs w:val="24"/>
              </w:rPr>
            </w:pPr>
            <w:r>
              <w:rPr>
                <w:sz w:val="24"/>
                <w:szCs w:val="24"/>
              </w:rPr>
              <w:t>表6  发电机主要技术条件一览表</w:t>
            </w:r>
          </w:p>
          <w:tbl>
            <w:tblPr>
              <w:tblStyle w:val="21"/>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7"/>
              <w:gridCol w:w="3404"/>
              <w:gridCol w:w="3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b/>
                      <w:bCs/>
                    </w:rPr>
                    <w:t>技术条件种类</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b/>
                      <w:bCs/>
                    </w:rPr>
                    <w:t>环评参数</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b/>
                      <w:bCs/>
                    </w:rPr>
                    <w:t>实际参数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型号</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QFW-85-2C-10.5型</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QFW-85-2C-10.5型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功率</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85MW</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85MW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功率因数</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0.8</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电压</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10500V</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10500V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转速</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3000r/min</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3000r/min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转向</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从汽机端看，顺时针</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从汽机端看，顺时针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967" w:type="dxa"/>
                  <w:vAlign w:val="center"/>
                </w:tcPr>
                <w:p>
                  <w:pPr>
                    <w:spacing w:line="276" w:lineRule="auto"/>
                    <w:jc w:val="center"/>
                    <w:rPr>
                      <w:rFonts w:ascii="Times New Roman" w:hAnsi="Times New Roman" w:cs="Times New Roman"/>
                    </w:rPr>
                  </w:pPr>
                  <w:r>
                    <w:rPr>
                      <w:rFonts w:ascii="Times New Roman" w:hAnsi="Times New Roman" w:cs="Times New Roman"/>
                    </w:rPr>
                    <w:t>冷却方式</w:t>
                  </w:r>
                </w:p>
              </w:tc>
              <w:tc>
                <w:tcPr>
                  <w:tcW w:w="3404" w:type="dxa"/>
                  <w:vAlign w:val="center"/>
                </w:tcPr>
                <w:p>
                  <w:pPr>
                    <w:spacing w:line="276" w:lineRule="auto"/>
                    <w:jc w:val="center"/>
                    <w:rPr>
                      <w:rFonts w:ascii="Times New Roman" w:hAnsi="Times New Roman" w:cs="Times New Roman"/>
                    </w:rPr>
                  </w:pPr>
                  <w:r>
                    <w:rPr>
                      <w:rFonts w:ascii="Times New Roman" w:hAnsi="Times New Roman" w:cs="Times New Roman"/>
                    </w:rPr>
                    <w:t>空气内冷</w:t>
                  </w:r>
                </w:p>
              </w:tc>
              <w:tc>
                <w:tcPr>
                  <w:tcW w:w="3474" w:type="dxa"/>
                  <w:vAlign w:val="center"/>
                </w:tcPr>
                <w:p>
                  <w:pPr>
                    <w:spacing w:line="276" w:lineRule="auto"/>
                    <w:jc w:val="center"/>
                    <w:rPr>
                      <w:rFonts w:ascii="Times New Roman" w:hAnsi="Times New Roman" w:cs="Times New Roman"/>
                    </w:rPr>
                  </w:pPr>
                  <w:r>
                    <w:rPr>
                      <w:rFonts w:ascii="Times New Roman" w:hAnsi="Times New Roman" w:cs="Times New Roman"/>
                    </w:rPr>
                    <w:t>空气内冷</w:t>
                  </w:r>
                </w:p>
              </w:tc>
            </w:tr>
          </w:tbl>
          <w:p>
            <w:pPr>
              <w:pStyle w:val="32"/>
              <w:rPr>
                <w:b/>
                <w:bCs/>
                <w:sz w:val="24"/>
                <w:szCs w:val="24"/>
              </w:rPr>
            </w:pPr>
            <w:r>
              <w:rPr>
                <w:b/>
                <w:bCs/>
                <w:sz w:val="24"/>
                <w:szCs w:val="24"/>
              </w:rPr>
              <w:t>5、项目变动情况</w:t>
            </w:r>
          </w:p>
          <w:p>
            <w:pPr>
              <w:pStyle w:val="32"/>
              <w:ind w:firstLine="480" w:firstLineChars="200"/>
              <w:rPr>
                <w:sz w:val="24"/>
                <w:szCs w:val="24"/>
              </w:rPr>
            </w:pPr>
            <w:r>
              <w:rPr>
                <w:sz w:val="24"/>
                <w:szCs w:val="24"/>
              </w:rPr>
              <w:t>本项目变更内容为由2台240 t/h高温高压煤气锅炉+2台12MW背压机组，变更为1×260t/h亚临界超高温煤气锅炉+1×80MW亚临界超高温直接空冷抽汽凝汽式汽轮发电机组，并同步建设锅炉烟气脱硫脱硝设施。</w:t>
            </w:r>
          </w:p>
          <w:p>
            <w:pPr>
              <w:pStyle w:val="32"/>
              <w:ind w:firstLine="480" w:firstLineChars="200"/>
              <w:rPr>
                <w:sz w:val="24"/>
                <w:szCs w:val="24"/>
              </w:rPr>
            </w:pPr>
            <w:r>
              <w:rPr>
                <w:sz w:val="24"/>
                <w:szCs w:val="24"/>
              </w:rPr>
              <w:t>本项目变更后于2019年7月12日取得了太原市工业和信息化局关于《山西太钢不锈钢股份有限公司煤气锅炉升级改造项目核准证》，并于2019年8月19日收到太原市环境保护局尖草坪分局《关于对山西太钢不锈钢股份有限公司煤气锅炉升级改造项目变更环评报告申请的复函》。</w:t>
            </w:r>
          </w:p>
          <w:p>
            <w:pPr>
              <w:pStyle w:val="32"/>
              <w:ind w:firstLine="480" w:firstLineChars="200"/>
              <w:rPr>
                <w:sz w:val="24"/>
                <w:szCs w:val="24"/>
              </w:rPr>
            </w:pPr>
            <w:r>
              <w:rPr>
                <w:sz w:val="24"/>
                <w:szCs w:val="24"/>
              </w:rPr>
              <w:t>根据《关于印发环评管理中部分行业建设项目重大变动清单的通知》（环办〔2015〕52号），本项目变更内容与附件中《火电建设项目重大变动清单（试行）》的对比分析见下表。</w:t>
            </w:r>
          </w:p>
          <w:p>
            <w:pPr>
              <w:pStyle w:val="32"/>
              <w:ind w:leftChars="-6" w:hanging="12" w:hangingChars="5"/>
              <w:jc w:val="center"/>
              <w:rPr>
                <w:sz w:val="24"/>
                <w:szCs w:val="24"/>
              </w:rPr>
            </w:pPr>
          </w:p>
          <w:p>
            <w:pPr>
              <w:pStyle w:val="32"/>
              <w:ind w:leftChars="-6" w:hanging="12" w:hangingChars="5"/>
              <w:jc w:val="center"/>
              <w:rPr>
                <w:sz w:val="24"/>
                <w:szCs w:val="24"/>
              </w:rPr>
            </w:pPr>
          </w:p>
          <w:p>
            <w:pPr>
              <w:pStyle w:val="32"/>
              <w:ind w:leftChars="-6" w:hanging="12" w:hangingChars="5"/>
              <w:jc w:val="center"/>
              <w:rPr>
                <w:sz w:val="24"/>
                <w:szCs w:val="24"/>
              </w:rPr>
            </w:pPr>
            <w:r>
              <w:rPr>
                <w:sz w:val="24"/>
                <w:szCs w:val="24"/>
              </w:rPr>
              <w:t>表7  本项目与重大变动清单对比分析</w:t>
            </w:r>
          </w:p>
          <w:tbl>
            <w:tblPr>
              <w:tblStyle w:val="21"/>
              <w:tblW w:w="87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252"/>
              <w:gridCol w:w="3552"/>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7" w:type="dxa"/>
                  <w:vAlign w:val="center"/>
                </w:tcPr>
                <w:p>
                  <w:pPr>
                    <w:spacing w:line="276" w:lineRule="auto"/>
                    <w:jc w:val="center"/>
                    <w:rPr>
                      <w:rFonts w:ascii="Times New Roman" w:hAnsi="Times New Roman" w:cs="Times New Roman"/>
                      <w:b/>
                      <w:bCs/>
                    </w:rPr>
                  </w:pPr>
                  <w:r>
                    <w:rPr>
                      <w:rFonts w:ascii="Times New Roman" w:hAnsi="Times New Roman" w:cs="Times New Roman"/>
                      <w:b/>
                      <w:bCs/>
                    </w:rPr>
                    <w:t>内容</w:t>
                  </w:r>
                </w:p>
              </w:tc>
              <w:tc>
                <w:tcPr>
                  <w:tcW w:w="3252" w:type="dxa"/>
                  <w:vAlign w:val="center"/>
                </w:tcPr>
                <w:p>
                  <w:pPr>
                    <w:spacing w:line="276" w:lineRule="auto"/>
                    <w:jc w:val="center"/>
                    <w:rPr>
                      <w:rFonts w:ascii="Times New Roman" w:hAnsi="Times New Roman" w:cs="Times New Roman"/>
                      <w:b/>
                      <w:bCs/>
                    </w:rPr>
                  </w:pPr>
                  <w:r>
                    <w:rPr>
                      <w:rFonts w:ascii="Times New Roman" w:hAnsi="Times New Roman" w:cs="Times New Roman"/>
                      <w:b/>
                      <w:bCs/>
                    </w:rPr>
                    <w:t>火电建设项目重大变动清单</w:t>
                  </w:r>
                </w:p>
                <w:p>
                  <w:pPr>
                    <w:spacing w:line="276" w:lineRule="auto"/>
                    <w:jc w:val="center"/>
                    <w:rPr>
                      <w:rFonts w:ascii="Times New Roman" w:hAnsi="Times New Roman" w:cs="Times New Roman"/>
                      <w:b/>
                      <w:bCs/>
                    </w:rPr>
                  </w:pPr>
                  <w:r>
                    <w:rPr>
                      <w:rFonts w:ascii="Times New Roman" w:hAnsi="Times New Roman" w:cs="Times New Roman"/>
                      <w:b/>
                      <w:bCs/>
                    </w:rPr>
                    <w:t>（试行）</w:t>
                  </w:r>
                </w:p>
              </w:tc>
              <w:tc>
                <w:tcPr>
                  <w:tcW w:w="3552" w:type="dxa"/>
                  <w:vAlign w:val="center"/>
                </w:tcPr>
                <w:p>
                  <w:pPr>
                    <w:spacing w:line="276" w:lineRule="auto"/>
                    <w:jc w:val="center"/>
                    <w:rPr>
                      <w:rFonts w:ascii="Times New Roman" w:hAnsi="Times New Roman" w:cs="Times New Roman"/>
                      <w:b/>
                      <w:bCs/>
                    </w:rPr>
                  </w:pPr>
                  <w:r>
                    <w:rPr>
                      <w:rFonts w:ascii="Times New Roman" w:hAnsi="Times New Roman" w:cs="Times New Roman"/>
                      <w:b/>
                      <w:bCs/>
                    </w:rPr>
                    <w:t>本项目变更情况</w:t>
                  </w:r>
                </w:p>
              </w:tc>
              <w:tc>
                <w:tcPr>
                  <w:tcW w:w="1145" w:type="dxa"/>
                  <w:vAlign w:val="center"/>
                </w:tcPr>
                <w:p>
                  <w:pPr>
                    <w:spacing w:line="276" w:lineRule="auto"/>
                    <w:jc w:val="center"/>
                    <w:rPr>
                      <w:rFonts w:ascii="Times New Roman" w:hAnsi="Times New Roman" w:cs="Times New Roman"/>
                      <w:b/>
                      <w:bCs/>
                    </w:rPr>
                  </w:pPr>
                  <w:r>
                    <w:rPr>
                      <w:rFonts w:ascii="Times New Roman" w:hAnsi="Times New Roman" w:cs="Times New Roman"/>
                      <w:b/>
                      <w:bCs/>
                    </w:rPr>
                    <w:t>是否属于重大变更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7" w:type="dxa"/>
                  <w:vAlign w:val="center"/>
                </w:tcPr>
                <w:p>
                  <w:pPr>
                    <w:spacing w:line="276" w:lineRule="auto"/>
                    <w:jc w:val="center"/>
                    <w:rPr>
                      <w:rFonts w:ascii="Times New Roman" w:hAnsi="Times New Roman" w:cs="Times New Roman"/>
                    </w:rPr>
                  </w:pPr>
                  <w:r>
                    <w:rPr>
                      <w:rFonts w:ascii="Times New Roman" w:hAnsi="Times New Roman" w:cs="Times New Roman"/>
                    </w:rPr>
                    <w:t>性质</w:t>
                  </w:r>
                </w:p>
              </w:tc>
              <w:tc>
                <w:tcPr>
                  <w:tcW w:w="3252" w:type="dxa"/>
                  <w:vAlign w:val="center"/>
                </w:tcPr>
                <w:p>
                  <w:pPr>
                    <w:spacing w:line="276" w:lineRule="auto"/>
                    <w:jc w:val="both"/>
                    <w:rPr>
                      <w:rFonts w:ascii="Times New Roman" w:hAnsi="Times New Roman" w:cs="Times New Roman"/>
                    </w:rPr>
                  </w:pPr>
                  <w:r>
                    <w:rPr>
                      <w:rFonts w:ascii="Times New Roman" w:hAnsi="Times New Roman" w:cs="Times New Roman"/>
                    </w:rPr>
                    <w:t>1.由热电联产机组、矸石综合利用机组变为普通发电机组，或由普通发电机组变为矸石综合利用机组。</w:t>
                  </w:r>
                </w:p>
                <w:p>
                  <w:pPr>
                    <w:spacing w:line="276" w:lineRule="auto"/>
                    <w:jc w:val="both"/>
                    <w:rPr>
                      <w:rFonts w:ascii="Times New Roman" w:hAnsi="Times New Roman" w:cs="Times New Roman"/>
                    </w:rPr>
                  </w:pPr>
                  <w:r>
                    <w:rPr>
                      <w:rFonts w:ascii="Times New Roman" w:hAnsi="Times New Roman" w:cs="Times New Roman"/>
                    </w:rPr>
                    <w:t>2.热电联产机组供热替代量减少 10%及以上。</w:t>
                  </w:r>
                </w:p>
              </w:tc>
              <w:tc>
                <w:tcPr>
                  <w:tcW w:w="3552" w:type="dxa"/>
                  <w:vAlign w:val="center"/>
                </w:tcPr>
                <w:p>
                  <w:pPr>
                    <w:spacing w:line="276" w:lineRule="auto"/>
                    <w:jc w:val="both"/>
                    <w:rPr>
                      <w:rFonts w:ascii="Times New Roman" w:hAnsi="Times New Roman" w:cs="Times New Roman"/>
                    </w:rPr>
                  </w:pPr>
                  <w:r>
                    <w:rPr>
                      <w:rFonts w:ascii="Times New Roman" w:hAnsi="Times New Roman" w:cs="Times New Roman"/>
                    </w:rPr>
                    <w:t>对照《建设项目环境影响评价分类管理名录》（2018年修正版），本项目变更前后均属于“88综合利用发电”中“单纯利用余热、余压、 余气（含煤层气）发电”。</w:t>
                  </w:r>
                </w:p>
              </w:tc>
              <w:tc>
                <w:tcPr>
                  <w:tcW w:w="1145" w:type="dxa"/>
                  <w:vAlign w:val="center"/>
                </w:tcPr>
                <w:p>
                  <w:pPr>
                    <w:spacing w:line="276" w:lineRule="auto"/>
                    <w:jc w:val="center"/>
                    <w:rPr>
                      <w:rFonts w:ascii="Times New Roman" w:hAnsi="Times New Roman" w:cs="Times New Roman"/>
                    </w:rPr>
                  </w:pPr>
                  <w:r>
                    <w:rPr>
                      <w:rFonts w:ascii="Times New Roman" w:hAnsi="Times New Roman"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7" w:type="dxa"/>
                  <w:vAlign w:val="center"/>
                </w:tcPr>
                <w:p>
                  <w:pPr>
                    <w:spacing w:line="276" w:lineRule="auto"/>
                    <w:jc w:val="center"/>
                    <w:rPr>
                      <w:rFonts w:ascii="Times New Roman" w:hAnsi="Times New Roman" w:cs="Times New Roman"/>
                    </w:rPr>
                  </w:pPr>
                  <w:r>
                    <w:rPr>
                      <w:rFonts w:ascii="Times New Roman" w:hAnsi="Times New Roman" w:cs="Times New Roman"/>
                    </w:rPr>
                    <w:t>规模</w:t>
                  </w:r>
                </w:p>
              </w:tc>
              <w:tc>
                <w:tcPr>
                  <w:tcW w:w="3252" w:type="dxa"/>
                  <w:vAlign w:val="center"/>
                </w:tcPr>
                <w:p>
                  <w:pPr>
                    <w:spacing w:line="276" w:lineRule="auto"/>
                    <w:jc w:val="both"/>
                    <w:rPr>
                      <w:rFonts w:ascii="Times New Roman" w:hAnsi="Times New Roman" w:cs="Times New Roman"/>
                    </w:rPr>
                  </w:pPr>
                  <w:r>
                    <w:rPr>
                      <w:rFonts w:ascii="Times New Roman" w:hAnsi="Times New Roman" w:cs="Times New Roman"/>
                    </w:rPr>
                    <w:t>3.单机装机规模变化后超越同等级规模。</w:t>
                  </w:r>
                </w:p>
                <w:p>
                  <w:pPr>
                    <w:spacing w:line="276" w:lineRule="auto"/>
                    <w:jc w:val="both"/>
                    <w:rPr>
                      <w:rFonts w:ascii="Times New Roman" w:hAnsi="Times New Roman" w:cs="Times New Roman"/>
                    </w:rPr>
                  </w:pPr>
                  <w:r>
                    <w:rPr>
                      <w:rFonts w:ascii="Times New Roman" w:hAnsi="Times New Roman" w:cs="Times New Roman"/>
                    </w:rPr>
                    <w:t>4.锅炉容量变化后超越同等级规模。</w:t>
                  </w:r>
                </w:p>
              </w:tc>
              <w:tc>
                <w:tcPr>
                  <w:tcW w:w="3552" w:type="dxa"/>
                  <w:vAlign w:val="center"/>
                </w:tcPr>
                <w:p>
                  <w:pPr>
                    <w:spacing w:line="276" w:lineRule="auto"/>
                    <w:jc w:val="both"/>
                    <w:rPr>
                      <w:rFonts w:ascii="Times New Roman" w:hAnsi="Times New Roman" w:cs="Times New Roman"/>
                    </w:rPr>
                  </w:pPr>
                  <w:r>
                    <w:rPr>
                      <w:rFonts w:ascii="Times New Roman" w:hAnsi="Times New Roman" w:cs="Times New Roman"/>
                    </w:rPr>
                    <w:t>由2台240 t/h高温高压煤气锅炉+2台12MW背压机组；变更为1×260t/h亚临界超高温煤气锅炉+1×80MW亚临界超高温直接空冷抽汽凝汽式汽轮发电机组，单机装机规模和锅炉容量变化均未超越同级规模。</w:t>
                  </w:r>
                </w:p>
              </w:tc>
              <w:tc>
                <w:tcPr>
                  <w:tcW w:w="1145" w:type="dxa"/>
                  <w:vAlign w:val="center"/>
                </w:tcPr>
                <w:p>
                  <w:pPr>
                    <w:spacing w:line="276" w:lineRule="auto"/>
                    <w:jc w:val="center"/>
                    <w:rPr>
                      <w:rFonts w:ascii="Times New Roman" w:hAnsi="Times New Roman" w:cs="Times New Roman"/>
                    </w:rPr>
                  </w:pPr>
                  <w:r>
                    <w:rPr>
                      <w:rFonts w:ascii="Times New Roman" w:hAnsi="Times New Roman"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7" w:type="dxa"/>
                  <w:vAlign w:val="center"/>
                </w:tcPr>
                <w:p>
                  <w:pPr>
                    <w:spacing w:line="276" w:lineRule="auto"/>
                    <w:jc w:val="center"/>
                    <w:rPr>
                      <w:rFonts w:ascii="Times New Roman" w:hAnsi="Times New Roman" w:cs="Times New Roman"/>
                    </w:rPr>
                  </w:pPr>
                  <w:r>
                    <w:rPr>
                      <w:rFonts w:ascii="Times New Roman" w:hAnsi="Times New Roman" w:cs="Times New Roman"/>
                    </w:rPr>
                    <w:t>地点</w:t>
                  </w:r>
                </w:p>
              </w:tc>
              <w:tc>
                <w:tcPr>
                  <w:tcW w:w="3252" w:type="dxa"/>
                  <w:vAlign w:val="center"/>
                </w:tcPr>
                <w:p>
                  <w:pPr>
                    <w:spacing w:line="276" w:lineRule="auto"/>
                    <w:jc w:val="both"/>
                    <w:rPr>
                      <w:rFonts w:ascii="Times New Roman" w:hAnsi="Times New Roman" w:cs="Times New Roman"/>
                    </w:rPr>
                  </w:pPr>
                  <w:r>
                    <w:rPr>
                      <w:rFonts w:ascii="Times New Roman" w:hAnsi="Times New Roman" w:cs="Times New Roman"/>
                    </w:rPr>
                    <w:t>5.电厂（含配套灰场）重新选址；在原厂址（含配套灰场）或附近调整（包括总平面布置发生变化）导致不利环境影响加重。</w:t>
                  </w:r>
                </w:p>
              </w:tc>
              <w:tc>
                <w:tcPr>
                  <w:tcW w:w="3552" w:type="dxa"/>
                  <w:vAlign w:val="center"/>
                </w:tcPr>
                <w:p>
                  <w:pPr>
                    <w:spacing w:line="276" w:lineRule="auto"/>
                    <w:jc w:val="both"/>
                    <w:rPr>
                      <w:rFonts w:ascii="Times New Roman" w:hAnsi="Times New Roman" w:cs="Times New Roman"/>
                    </w:rPr>
                  </w:pPr>
                  <w:r>
                    <w:rPr>
                      <w:rFonts w:ascii="Times New Roman" w:hAnsi="Times New Roman" w:cs="Times New Roman"/>
                    </w:rPr>
                    <w:t>本项目建设地点位于太钢厂区内，变更后占地面积略有减少，选址位置不变，具体见附图2。</w:t>
                  </w:r>
                </w:p>
                <w:p>
                  <w:pPr>
                    <w:spacing w:line="276" w:lineRule="auto"/>
                    <w:jc w:val="both"/>
                    <w:rPr>
                      <w:rFonts w:ascii="Times New Roman" w:hAnsi="Times New Roman" w:cs="Times New Roman"/>
                    </w:rPr>
                  </w:pPr>
                  <w:r>
                    <w:rPr>
                      <w:rFonts w:ascii="Times New Roman" w:hAnsi="Times New Roman" w:cs="Times New Roman"/>
                    </w:rPr>
                    <w:t>本项目变更后可利用煤气量大幅度减少，锅炉容量由2台240t/h变更为1台260t/h ，且增加了脱硫脱硝设施，</w:t>
                  </w:r>
                  <w:r>
                    <w:rPr>
                      <w:rFonts w:ascii="Times New Roman" w:hAnsi="Times New Roman" w:cs="Times New Roman"/>
                      <w:bCs/>
                    </w:rPr>
                    <w:t>变更后削减污染物排放量为颗粒物</w:t>
                  </w:r>
                  <w:r>
                    <w:rPr>
                      <w:rFonts w:ascii="Times New Roman" w:hAnsi="Times New Roman" w:cs="Times New Roman"/>
                    </w:rPr>
                    <w:t>7.35</w:t>
                  </w:r>
                  <w:r>
                    <w:rPr>
                      <w:rFonts w:ascii="Times New Roman" w:hAnsi="Times New Roman" w:cs="Times New Roman"/>
                      <w:bCs/>
                    </w:rPr>
                    <w:t>t/a、SO</w:t>
                  </w:r>
                  <w:r>
                    <w:rPr>
                      <w:rFonts w:ascii="Times New Roman" w:hAnsi="Times New Roman" w:cs="Times New Roman"/>
                      <w:bCs/>
                      <w:vertAlign w:val="subscript"/>
                    </w:rPr>
                    <w:t>2</w:t>
                  </w:r>
                  <w:r>
                    <w:rPr>
                      <w:rFonts w:ascii="Times New Roman" w:hAnsi="Times New Roman" w:cs="Times New Roman"/>
                      <w:bCs/>
                    </w:rPr>
                    <w:t>57.62 t/a、NO</w:t>
                  </w:r>
                  <w:r>
                    <w:rPr>
                      <w:rFonts w:ascii="Times New Roman" w:hAnsi="Times New Roman" w:cs="Times New Roman"/>
                      <w:bCs/>
                      <w:vertAlign w:val="subscript"/>
                    </w:rPr>
                    <w:t>2</w:t>
                  </w:r>
                  <w:r>
                    <w:rPr>
                      <w:rFonts w:ascii="Times New Roman" w:hAnsi="Times New Roman" w:cs="Times New Roman"/>
                      <w:bCs/>
                    </w:rPr>
                    <w:t xml:space="preserve"> 85.82t/a，有利于区域环境改善。</w:t>
                  </w:r>
                </w:p>
              </w:tc>
              <w:tc>
                <w:tcPr>
                  <w:tcW w:w="1145" w:type="dxa"/>
                  <w:vAlign w:val="center"/>
                </w:tcPr>
                <w:p>
                  <w:pPr>
                    <w:spacing w:line="276" w:lineRule="auto"/>
                    <w:jc w:val="center"/>
                    <w:rPr>
                      <w:rFonts w:ascii="Times New Roman" w:hAnsi="Times New Roman" w:cs="Times New Roman"/>
                    </w:rPr>
                  </w:pPr>
                  <w:r>
                    <w:rPr>
                      <w:rFonts w:ascii="Times New Roman" w:hAnsi="Times New Roman"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7" w:type="dxa"/>
                  <w:vAlign w:val="center"/>
                </w:tcPr>
                <w:p>
                  <w:pPr>
                    <w:spacing w:line="276" w:lineRule="auto"/>
                    <w:jc w:val="center"/>
                    <w:rPr>
                      <w:rFonts w:ascii="Times New Roman" w:hAnsi="Times New Roman" w:cs="Times New Roman"/>
                    </w:rPr>
                  </w:pPr>
                  <w:r>
                    <w:rPr>
                      <w:rFonts w:ascii="Times New Roman" w:hAnsi="Times New Roman" w:cs="Times New Roman"/>
                    </w:rPr>
                    <w:t>生产工艺</w:t>
                  </w:r>
                </w:p>
              </w:tc>
              <w:tc>
                <w:tcPr>
                  <w:tcW w:w="3252" w:type="dxa"/>
                  <w:vAlign w:val="center"/>
                </w:tcPr>
                <w:p>
                  <w:pPr>
                    <w:spacing w:line="276" w:lineRule="auto"/>
                    <w:jc w:val="both"/>
                    <w:rPr>
                      <w:rFonts w:ascii="Times New Roman" w:hAnsi="Times New Roman" w:cs="Times New Roman"/>
                    </w:rPr>
                  </w:pPr>
                  <w:r>
                    <w:rPr>
                      <w:rFonts w:ascii="Times New Roman" w:hAnsi="Times New Roman" w:cs="Times New Roman"/>
                    </w:rPr>
                    <w:t>6.锅炉类型变化后污染物排放量增加。</w:t>
                  </w:r>
                </w:p>
                <w:p>
                  <w:pPr>
                    <w:spacing w:line="276" w:lineRule="auto"/>
                    <w:jc w:val="both"/>
                    <w:rPr>
                      <w:rFonts w:ascii="Times New Roman" w:hAnsi="Times New Roman" w:cs="Times New Roman"/>
                    </w:rPr>
                  </w:pPr>
                  <w:r>
                    <w:rPr>
                      <w:rFonts w:ascii="Times New Roman" w:hAnsi="Times New Roman" w:cs="Times New Roman"/>
                    </w:rPr>
                    <w:t>7.冷却方式变化。</w:t>
                  </w:r>
                </w:p>
                <w:p>
                  <w:pPr>
                    <w:spacing w:line="276" w:lineRule="auto"/>
                    <w:jc w:val="both"/>
                    <w:rPr>
                      <w:rFonts w:ascii="Times New Roman" w:hAnsi="Times New Roman" w:cs="Times New Roman"/>
                    </w:rPr>
                  </w:pPr>
                  <w:r>
                    <w:rPr>
                      <w:rFonts w:ascii="Times New Roman" w:hAnsi="Times New Roman" w:cs="Times New Roman"/>
                    </w:rPr>
                    <w:t>8.排烟形式变化（包括排烟方式变化、排烟冷却塔直径变大等）或排烟高度降低。</w:t>
                  </w:r>
                </w:p>
              </w:tc>
              <w:tc>
                <w:tcPr>
                  <w:tcW w:w="3552" w:type="dxa"/>
                  <w:vAlign w:val="center"/>
                </w:tcPr>
                <w:p>
                  <w:pPr>
                    <w:spacing w:before="25" w:line="276" w:lineRule="auto"/>
                    <w:jc w:val="both"/>
                    <w:rPr>
                      <w:rFonts w:ascii="Times New Roman" w:hAnsi="Times New Roman" w:cs="Times New Roman"/>
                      <w:bCs/>
                    </w:rPr>
                  </w:pPr>
                  <w:r>
                    <w:rPr>
                      <w:rFonts w:ascii="Times New Roman" w:hAnsi="Times New Roman" w:cs="Times New Roman"/>
                      <w:bCs/>
                    </w:rPr>
                    <w:t>本项目变更后大气污染物排放量减少，削减量为颗粒物</w:t>
                  </w:r>
                  <w:r>
                    <w:rPr>
                      <w:rFonts w:ascii="Times New Roman" w:hAnsi="Times New Roman" w:cs="Times New Roman"/>
                    </w:rPr>
                    <w:t>7.35</w:t>
                  </w:r>
                  <w:r>
                    <w:rPr>
                      <w:rFonts w:ascii="Times New Roman" w:hAnsi="Times New Roman" w:cs="Times New Roman"/>
                      <w:bCs/>
                    </w:rPr>
                    <w:t>t/a、SO</w:t>
                  </w:r>
                  <w:r>
                    <w:rPr>
                      <w:rFonts w:ascii="Times New Roman" w:hAnsi="Times New Roman" w:cs="Times New Roman"/>
                      <w:bCs/>
                      <w:vertAlign w:val="subscript"/>
                    </w:rPr>
                    <w:t>2</w:t>
                  </w:r>
                  <w:r>
                    <w:rPr>
                      <w:rFonts w:ascii="Times New Roman" w:hAnsi="Times New Roman" w:cs="Times New Roman"/>
                      <w:bCs/>
                    </w:rPr>
                    <w:t>57.62 t/a、NO</w:t>
                  </w:r>
                  <w:r>
                    <w:rPr>
                      <w:rFonts w:ascii="Times New Roman" w:hAnsi="Times New Roman" w:cs="Times New Roman"/>
                      <w:bCs/>
                      <w:vertAlign w:val="subscript"/>
                    </w:rPr>
                    <w:t>2</w:t>
                  </w:r>
                  <w:r>
                    <w:rPr>
                      <w:rFonts w:ascii="Times New Roman" w:hAnsi="Times New Roman" w:cs="Times New Roman"/>
                      <w:bCs/>
                    </w:rPr>
                    <w:t xml:space="preserve"> 85.82t/a。</w:t>
                  </w:r>
                </w:p>
                <w:p>
                  <w:pPr>
                    <w:spacing w:before="25" w:line="276" w:lineRule="auto"/>
                    <w:jc w:val="both"/>
                    <w:rPr>
                      <w:rFonts w:ascii="Times New Roman" w:hAnsi="Times New Roman" w:cs="Times New Roman"/>
                    </w:rPr>
                  </w:pPr>
                  <w:r>
                    <w:rPr>
                      <w:rFonts w:ascii="Times New Roman" w:hAnsi="Times New Roman" w:cs="Times New Roman"/>
                      <w:bCs/>
                    </w:rPr>
                    <w:t>根据可研，本</w:t>
                  </w:r>
                  <w:r>
                    <w:rPr>
                      <w:rFonts w:ascii="Times New Roman" w:hAnsi="Times New Roman" w:cs="Times New Roman"/>
                    </w:rPr>
                    <w:t>项目变更前后冷却方式不变，均为直接空冷。</w:t>
                  </w:r>
                </w:p>
                <w:p>
                  <w:pPr>
                    <w:spacing w:before="25" w:line="276" w:lineRule="auto"/>
                    <w:jc w:val="both"/>
                    <w:rPr>
                      <w:rFonts w:ascii="Times New Roman" w:hAnsi="Times New Roman" w:cs="Times New Roman"/>
                    </w:rPr>
                  </w:pPr>
                  <w:r>
                    <w:rPr>
                      <w:rFonts w:ascii="Times New Roman" w:hAnsi="Times New Roman" w:cs="Times New Roman"/>
                      <w:bCs/>
                    </w:rPr>
                    <w:t>本</w:t>
                  </w:r>
                  <w:r>
                    <w:rPr>
                      <w:rFonts w:ascii="Times New Roman" w:hAnsi="Times New Roman" w:cs="Times New Roman"/>
                    </w:rPr>
                    <w:t>项目变更前后排烟形式不变，均为烟囱排放，变更前烟囱利旧，两台锅炉合用1座烟囱；变更后新建1座烟囱高度为60m。</w:t>
                  </w:r>
                </w:p>
              </w:tc>
              <w:tc>
                <w:tcPr>
                  <w:tcW w:w="1145" w:type="dxa"/>
                  <w:vAlign w:val="center"/>
                </w:tcPr>
                <w:p>
                  <w:pPr>
                    <w:spacing w:line="276" w:lineRule="auto"/>
                    <w:jc w:val="center"/>
                    <w:rPr>
                      <w:rFonts w:ascii="Times New Roman" w:hAnsi="Times New Roman" w:cs="Times New Roman"/>
                    </w:rPr>
                  </w:pPr>
                  <w:r>
                    <w:rPr>
                      <w:rFonts w:ascii="Times New Roman" w:hAnsi="Times New Roman" w:cs="Times New Roma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17" w:type="dxa"/>
                  <w:vAlign w:val="center"/>
                </w:tcPr>
                <w:p>
                  <w:pPr>
                    <w:spacing w:line="276" w:lineRule="auto"/>
                    <w:jc w:val="center"/>
                    <w:rPr>
                      <w:rFonts w:ascii="Times New Roman" w:hAnsi="Times New Roman" w:cs="Times New Roman"/>
                    </w:rPr>
                  </w:pPr>
                  <w:r>
                    <w:rPr>
                      <w:rFonts w:ascii="Times New Roman" w:hAnsi="Times New Roman" w:cs="Times New Roman"/>
                    </w:rPr>
                    <w:t>环境保护措施</w:t>
                  </w:r>
                </w:p>
              </w:tc>
              <w:tc>
                <w:tcPr>
                  <w:tcW w:w="3252" w:type="dxa"/>
                  <w:vAlign w:val="center"/>
                </w:tcPr>
                <w:p>
                  <w:pPr>
                    <w:spacing w:line="276" w:lineRule="auto"/>
                    <w:jc w:val="both"/>
                    <w:rPr>
                      <w:rFonts w:ascii="Times New Roman" w:hAnsi="Times New Roman" w:cs="Times New Roman"/>
                    </w:rPr>
                  </w:pPr>
                  <w:r>
                    <w:rPr>
                      <w:rFonts w:ascii="Times New Roman" w:hAnsi="Times New Roman" w:cs="Times New Roman"/>
                    </w:rPr>
                    <w:t>9.烟气处理措施变化导致废气排放浓度（排放量）增加或环境风险增大。</w:t>
                  </w:r>
                </w:p>
                <w:p>
                  <w:pPr>
                    <w:spacing w:line="276" w:lineRule="auto"/>
                    <w:jc w:val="both"/>
                    <w:rPr>
                      <w:rFonts w:ascii="Times New Roman" w:hAnsi="Times New Roman" w:cs="Times New Roman"/>
                    </w:rPr>
                  </w:pPr>
                  <w:r>
                    <w:rPr>
                      <w:rFonts w:ascii="Times New Roman" w:hAnsi="Times New Roman" w:cs="Times New Roman"/>
                    </w:rPr>
                    <w:t>10.降噪措施发生变化，导致厂界噪声排放增加（声环境评价范围内无环境敏感点的项目除外）。</w:t>
                  </w:r>
                </w:p>
              </w:tc>
              <w:tc>
                <w:tcPr>
                  <w:tcW w:w="3552" w:type="dxa"/>
                  <w:vAlign w:val="center"/>
                </w:tcPr>
                <w:p>
                  <w:pPr>
                    <w:spacing w:line="276" w:lineRule="auto"/>
                    <w:jc w:val="both"/>
                    <w:rPr>
                      <w:rFonts w:ascii="Times New Roman" w:hAnsi="Times New Roman" w:cs="Times New Roman"/>
                    </w:rPr>
                  </w:pPr>
                  <w:r>
                    <w:rPr>
                      <w:rFonts w:ascii="Times New Roman" w:hAnsi="Times New Roman" w:cs="Times New Roman"/>
                    </w:rPr>
                    <w:t>本项目变更后增加了脱硫脱硝设施，废气按照新的超低排放标准控制，废气污染物浓度和排放量均降低。变更后可利用煤气量减少，环境风险也相应减小。</w:t>
                  </w:r>
                </w:p>
                <w:p>
                  <w:pPr>
                    <w:spacing w:line="276" w:lineRule="auto"/>
                    <w:jc w:val="both"/>
                    <w:rPr>
                      <w:rFonts w:ascii="Times New Roman" w:hAnsi="Times New Roman" w:cs="Times New Roman"/>
                    </w:rPr>
                  </w:pPr>
                  <w:r>
                    <w:rPr>
                      <w:rFonts w:ascii="Times New Roman" w:hAnsi="Times New Roman" w:cs="Times New Roman"/>
                    </w:rPr>
                    <w:t>本项目变更后降噪措施不变化，生产设备略有减少，噪声污染源相应减少，厂界噪声排放减小，且本项目声环境评价范围内无环境敏感点。</w:t>
                  </w:r>
                </w:p>
              </w:tc>
              <w:tc>
                <w:tcPr>
                  <w:tcW w:w="1145" w:type="dxa"/>
                  <w:vAlign w:val="center"/>
                </w:tcPr>
                <w:p>
                  <w:pPr>
                    <w:spacing w:line="276" w:lineRule="auto"/>
                    <w:jc w:val="center"/>
                    <w:rPr>
                      <w:rFonts w:ascii="Times New Roman" w:hAnsi="Times New Roman" w:cs="Times New Roman"/>
                    </w:rPr>
                  </w:pPr>
                  <w:r>
                    <w:rPr>
                      <w:rFonts w:ascii="Times New Roman" w:hAnsi="Times New Roman" w:cs="Times New Roman"/>
                    </w:rPr>
                    <w:t>否</w:t>
                  </w:r>
                </w:p>
              </w:tc>
            </w:tr>
          </w:tbl>
          <w:p>
            <w:pPr>
              <w:pStyle w:val="32"/>
              <w:ind w:firstLine="480" w:firstLineChars="200"/>
              <w:rPr>
                <w:sz w:val="24"/>
                <w:szCs w:val="24"/>
              </w:rPr>
            </w:pPr>
          </w:p>
          <w:p>
            <w:pPr>
              <w:pStyle w:val="32"/>
              <w:ind w:firstLine="480" w:firstLineChars="200"/>
              <w:rPr>
                <w:sz w:val="24"/>
                <w:szCs w:val="24"/>
              </w:rPr>
            </w:pPr>
            <w:r>
              <w:rPr>
                <w:sz w:val="24"/>
                <w:szCs w:val="24"/>
              </w:rPr>
              <w:t>根据《关于印发环评管理中部分行业建设项目重大变动清单的通知》（环办〔2015〕52号）中附件《火电建设项目重大变动清单（试行）》对比结果，本项目变更内容不属于重大变更。</w:t>
            </w:r>
          </w:p>
          <w:p>
            <w:pPr>
              <w:pStyle w:val="32"/>
              <w:ind w:firstLine="480" w:firstLineChars="200"/>
              <w:rPr>
                <w:sz w:val="24"/>
                <w:szCs w:val="24"/>
              </w:rPr>
            </w:pPr>
            <w:r>
              <w:rPr>
                <w:sz w:val="24"/>
                <w:szCs w:val="24"/>
              </w:rPr>
              <w:t>本项目变更的主要目的是适应太钢厂区富余煤气量变化情况、最新的环保政策及超低排放标准要求。本项目变更后能削减污染物排放总量，对区域环境的影响有一定的改善作用。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2"/>
              <w:rPr>
                <w:b/>
                <w:bCs/>
                <w:sz w:val="24"/>
                <w:szCs w:val="24"/>
              </w:rPr>
            </w:pPr>
            <w:r>
              <w:rPr>
                <w:b/>
                <w:bCs/>
                <w:sz w:val="24"/>
                <w:szCs w:val="24"/>
              </w:rPr>
              <w:t>原辅材料消耗及水用量：</w:t>
            </w:r>
          </w:p>
          <w:p>
            <w:pPr>
              <w:pStyle w:val="32"/>
              <w:rPr>
                <w:b/>
                <w:bCs/>
                <w:sz w:val="24"/>
                <w:szCs w:val="24"/>
              </w:rPr>
            </w:pPr>
            <w:r>
              <w:rPr>
                <w:b/>
                <w:bCs/>
                <w:sz w:val="24"/>
                <w:szCs w:val="24"/>
              </w:rPr>
              <w:t>1、原辅材料消耗</w:t>
            </w:r>
          </w:p>
          <w:p>
            <w:pPr>
              <w:pStyle w:val="32"/>
              <w:ind w:firstLine="480" w:firstLineChars="200"/>
              <w:rPr>
                <w:sz w:val="24"/>
                <w:szCs w:val="24"/>
              </w:rPr>
            </w:pPr>
            <w:r>
              <w:rPr>
                <w:sz w:val="24"/>
                <w:szCs w:val="24"/>
              </w:rPr>
              <w:t>锅炉脱硫脱硝所需石灰石粉、尿素耗量较小，全部从市场采购。成品石灰石粉采用罐车运输方式运送到厂区后，用运送罐车自带的气力卸灰装置直接卸到石灰石粉储仓。本项目原辅材料使用情况见下表。</w:t>
            </w:r>
          </w:p>
          <w:p>
            <w:pPr>
              <w:pStyle w:val="32"/>
              <w:jc w:val="center"/>
              <w:rPr>
                <w:sz w:val="24"/>
                <w:szCs w:val="24"/>
              </w:rPr>
            </w:pPr>
            <w:r>
              <w:rPr>
                <w:sz w:val="24"/>
                <w:szCs w:val="24"/>
              </w:rPr>
              <w:t>表</w:t>
            </w:r>
            <w:r>
              <w:rPr>
                <w:rFonts w:hint="eastAsia"/>
                <w:sz w:val="24"/>
                <w:szCs w:val="24"/>
              </w:rPr>
              <w:t>8</w:t>
            </w:r>
            <w:r>
              <w:rPr>
                <w:sz w:val="24"/>
                <w:szCs w:val="24"/>
              </w:rPr>
              <w:t xml:space="preserve">  原辅材料消耗一览表</w:t>
            </w:r>
          </w:p>
          <w:tbl>
            <w:tblPr>
              <w:tblStyle w:val="21"/>
              <w:tblW w:w="8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111"/>
              <w:gridCol w:w="1287"/>
              <w:gridCol w:w="1156"/>
              <w:gridCol w:w="1282"/>
              <w:gridCol w:w="1541"/>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Align w:val="center"/>
                </w:tcPr>
                <w:p>
                  <w:pPr>
                    <w:pStyle w:val="42"/>
                    <w:spacing w:line="276" w:lineRule="auto"/>
                    <w:rPr>
                      <w:b/>
                      <w:bCs/>
                      <w:szCs w:val="21"/>
                    </w:rPr>
                  </w:pPr>
                  <w:r>
                    <w:rPr>
                      <w:b/>
                      <w:bCs/>
                      <w:szCs w:val="21"/>
                    </w:rPr>
                    <w:t>序号</w:t>
                  </w:r>
                </w:p>
              </w:tc>
              <w:tc>
                <w:tcPr>
                  <w:tcW w:w="2398" w:type="dxa"/>
                  <w:gridSpan w:val="2"/>
                  <w:vAlign w:val="center"/>
                </w:tcPr>
                <w:p>
                  <w:pPr>
                    <w:pStyle w:val="42"/>
                    <w:spacing w:line="276" w:lineRule="auto"/>
                    <w:rPr>
                      <w:b/>
                      <w:bCs/>
                      <w:szCs w:val="21"/>
                    </w:rPr>
                  </w:pPr>
                  <w:r>
                    <w:rPr>
                      <w:b/>
                      <w:bCs/>
                      <w:szCs w:val="21"/>
                    </w:rPr>
                    <w:t>项目</w:t>
                  </w:r>
                </w:p>
              </w:tc>
              <w:tc>
                <w:tcPr>
                  <w:tcW w:w="1156" w:type="dxa"/>
                  <w:vAlign w:val="center"/>
                </w:tcPr>
                <w:p>
                  <w:pPr>
                    <w:pStyle w:val="42"/>
                    <w:spacing w:line="276" w:lineRule="auto"/>
                    <w:rPr>
                      <w:b/>
                      <w:bCs/>
                      <w:szCs w:val="21"/>
                    </w:rPr>
                  </w:pPr>
                  <w:r>
                    <w:rPr>
                      <w:b/>
                      <w:bCs/>
                      <w:szCs w:val="21"/>
                    </w:rPr>
                    <w:t>单位</w:t>
                  </w:r>
                </w:p>
              </w:tc>
              <w:tc>
                <w:tcPr>
                  <w:tcW w:w="1282" w:type="dxa"/>
                  <w:vAlign w:val="center"/>
                </w:tcPr>
                <w:p>
                  <w:pPr>
                    <w:pStyle w:val="42"/>
                    <w:spacing w:line="276" w:lineRule="auto"/>
                    <w:rPr>
                      <w:b/>
                      <w:bCs/>
                      <w:szCs w:val="21"/>
                    </w:rPr>
                  </w:pPr>
                  <w:r>
                    <w:rPr>
                      <w:b/>
                      <w:bCs/>
                      <w:szCs w:val="21"/>
                      <w:lang w:eastAsia="zh-CN"/>
                    </w:rPr>
                    <w:t>设计消耗量</w:t>
                  </w:r>
                </w:p>
              </w:tc>
              <w:tc>
                <w:tcPr>
                  <w:tcW w:w="1541" w:type="dxa"/>
                  <w:vAlign w:val="top"/>
                </w:tcPr>
                <w:p>
                  <w:pPr>
                    <w:pStyle w:val="42"/>
                    <w:spacing w:line="276" w:lineRule="auto"/>
                    <w:rPr>
                      <w:b/>
                      <w:bCs/>
                      <w:szCs w:val="21"/>
                    </w:rPr>
                  </w:pPr>
                  <w:r>
                    <w:rPr>
                      <w:b/>
                      <w:bCs/>
                      <w:szCs w:val="21"/>
                      <w:lang w:eastAsia="zh-CN"/>
                    </w:rPr>
                    <w:t>实际消耗量</w:t>
                  </w:r>
                </w:p>
              </w:tc>
              <w:tc>
                <w:tcPr>
                  <w:tcW w:w="1541" w:type="dxa"/>
                  <w:vAlign w:val="center"/>
                </w:tcPr>
                <w:p>
                  <w:pPr>
                    <w:pStyle w:val="42"/>
                    <w:spacing w:line="276" w:lineRule="auto"/>
                    <w:rPr>
                      <w:b/>
                      <w:bCs/>
                      <w:szCs w:val="21"/>
                    </w:rPr>
                  </w:pPr>
                  <w:r>
                    <w:rPr>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Align w:val="center"/>
                </w:tcPr>
                <w:p>
                  <w:pPr>
                    <w:pStyle w:val="42"/>
                    <w:spacing w:line="276" w:lineRule="auto"/>
                    <w:rPr>
                      <w:szCs w:val="21"/>
                    </w:rPr>
                  </w:pPr>
                  <w:r>
                    <w:rPr>
                      <w:szCs w:val="21"/>
                    </w:rPr>
                    <w:t>1</w:t>
                  </w:r>
                </w:p>
              </w:tc>
              <w:tc>
                <w:tcPr>
                  <w:tcW w:w="2398" w:type="dxa"/>
                  <w:gridSpan w:val="2"/>
                  <w:vAlign w:val="center"/>
                </w:tcPr>
                <w:p>
                  <w:pPr>
                    <w:pStyle w:val="42"/>
                    <w:spacing w:line="276" w:lineRule="auto"/>
                    <w:rPr>
                      <w:snapToGrid w:val="0"/>
                      <w:szCs w:val="21"/>
                    </w:rPr>
                  </w:pPr>
                  <w:r>
                    <w:rPr>
                      <w:snapToGrid w:val="0"/>
                      <w:szCs w:val="21"/>
                    </w:rPr>
                    <w:t>尿素</w:t>
                  </w:r>
                </w:p>
              </w:tc>
              <w:tc>
                <w:tcPr>
                  <w:tcW w:w="1156" w:type="dxa"/>
                  <w:vAlign w:val="center"/>
                </w:tcPr>
                <w:p>
                  <w:pPr>
                    <w:pStyle w:val="42"/>
                    <w:spacing w:line="276" w:lineRule="auto"/>
                    <w:rPr>
                      <w:snapToGrid w:val="0"/>
                      <w:szCs w:val="21"/>
                    </w:rPr>
                  </w:pPr>
                  <w:r>
                    <w:rPr>
                      <w:snapToGrid w:val="0"/>
                      <w:szCs w:val="21"/>
                    </w:rPr>
                    <w:t>t/a</w:t>
                  </w:r>
                </w:p>
              </w:tc>
              <w:tc>
                <w:tcPr>
                  <w:tcW w:w="1282" w:type="dxa"/>
                  <w:vAlign w:val="center"/>
                </w:tcPr>
                <w:p>
                  <w:pPr>
                    <w:pStyle w:val="42"/>
                    <w:spacing w:line="276" w:lineRule="auto"/>
                    <w:rPr>
                      <w:snapToGrid w:val="0"/>
                      <w:szCs w:val="21"/>
                    </w:rPr>
                  </w:pPr>
                  <w:r>
                    <w:rPr>
                      <w:snapToGrid w:val="0"/>
                      <w:szCs w:val="21"/>
                    </w:rPr>
                    <w:t>856.8</w:t>
                  </w:r>
                </w:p>
              </w:tc>
              <w:tc>
                <w:tcPr>
                  <w:tcW w:w="1541" w:type="dxa"/>
                  <w:vAlign w:val="center"/>
                </w:tcPr>
                <w:p>
                  <w:pPr>
                    <w:pStyle w:val="42"/>
                    <w:spacing w:line="276" w:lineRule="auto"/>
                    <w:rPr>
                      <w:snapToGrid w:val="0"/>
                      <w:szCs w:val="21"/>
                    </w:rPr>
                  </w:pPr>
                  <w:r>
                    <w:rPr>
                      <w:snapToGrid w:val="0"/>
                      <w:szCs w:val="21"/>
                    </w:rPr>
                    <w:t>856.8</w:t>
                  </w:r>
                </w:p>
              </w:tc>
              <w:tc>
                <w:tcPr>
                  <w:tcW w:w="1541" w:type="dxa"/>
                  <w:vAlign w:val="center"/>
                </w:tcPr>
                <w:p>
                  <w:pPr>
                    <w:pStyle w:val="42"/>
                    <w:spacing w:line="276" w:lineRule="auto"/>
                    <w:rPr>
                      <w:snapToGrid w:val="0"/>
                      <w:szCs w:val="21"/>
                    </w:rPr>
                  </w:pPr>
                  <w:r>
                    <w:rPr>
                      <w:snapToGrid w:val="0"/>
                      <w:szCs w:val="21"/>
                    </w:rPr>
                    <w:t>市场采购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Align w:val="center"/>
                </w:tcPr>
                <w:p>
                  <w:pPr>
                    <w:pStyle w:val="42"/>
                    <w:spacing w:line="276" w:lineRule="auto"/>
                    <w:rPr>
                      <w:szCs w:val="21"/>
                    </w:rPr>
                  </w:pPr>
                  <w:r>
                    <w:rPr>
                      <w:szCs w:val="21"/>
                    </w:rPr>
                    <w:t>2</w:t>
                  </w:r>
                </w:p>
              </w:tc>
              <w:tc>
                <w:tcPr>
                  <w:tcW w:w="2398" w:type="dxa"/>
                  <w:gridSpan w:val="2"/>
                  <w:vAlign w:val="center"/>
                </w:tcPr>
                <w:p>
                  <w:pPr>
                    <w:pStyle w:val="42"/>
                    <w:spacing w:line="276" w:lineRule="auto"/>
                    <w:rPr>
                      <w:snapToGrid w:val="0"/>
                      <w:szCs w:val="21"/>
                    </w:rPr>
                  </w:pPr>
                  <w:r>
                    <w:rPr>
                      <w:snapToGrid w:val="0"/>
                      <w:szCs w:val="21"/>
                    </w:rPr>
                    <w:t>石灰石</w:t>
                  </w:r>
                </w:p>
              </w:tc>
              <w:tc>
                <w:tcPr>
                  <w:tcW w:w="1156" w:type="dxa"/>
                  <w:vAlign w:val="center"/>
                </w:tcPr>
                <w:p>
                  <w:pPr>
                    <w:pStyle w:val="42"/>
                    <w:spacing w:line="276" w:lineRule="auto"/>
                    <w:rPr>
                      <w:snapToGrid w:val="0"/>
                      <w:szCs w:val="21"/>
                    </w:rPr>
                  </w:pPr>
                  <w:r>
                    <w:rPr>
                      <w:snapToGrid w:val="0"/>
                      <w:szCs w:val="21"/>
                    </w:rPr>
                    <w:t>t/a</w:t>
                  </w:r>
                </w:p>
              </w:tc>
              <w:tc>
                <w:tcPr>
                  <w:tcW w:w="1282" w:type="dxa"/>
                  <w:vAlign w:val="center"/>
                </w:tcPr>
                <w:p>
                  <w:pPr>
                    <w:pStyle w:val="42"/>
                    <w:spacing w:line="276" w:lineRule="auto"/>
                    <w:rPr>
                      <w:snapToGrid w:val="0"/>
                      <w:szCs w:val="21"/>
                    </w:rPr>
                  </w:pPr>
                  <w:r>
                    <w:rPr>
                      <w:snapToGrid w:val="0"/>
                      <w:szCs w:val="21"/>
                    </w:rPr>
                    <w:t>1296</w:t>
                  </w:r>
                </w:p>
              </w:tc>
              <w:tc>
                <w:tcPr>
                  <w:tcW w:w="1541" w:type="dxa"/>
                  <w:vAlign w:val="center"/>
                </w:tcPr>
                <w:p>
                  <w:pPr>
                    <w:pStyle w:val="42"/>
                    <w:spacing w:line="276" w:lineRule="auto"/>
                    <w:rPr>
                      <w:snapToGrid w:val="0"/>
                      <w:szCs w:val="21"/>
                    </w:rPr>
                  </w:pPr>
                  <w:r>
                    <w:rPr>
                      <w:snapToGrid w:val="0"/>
                      <w:szCs w:val="21"/>
                    </w:rPr>
                    <w:t>1296</w:t>
                  </w:r>
                </w:p>
              </w:tc>
              <w:tc>
                <w:tcPr>
                  <w:tcW w:w="1541" w:type="dxa"/>
                  <w:vAlign w:val="center"/>
                </w:tcPr>
                <w:p>
                  <w:pPr>
                    <w:pStyle w:val="42"/>
                    <w:spacing w:line="276" w:lineRule="auto"/>
                    <w:rPr>
                      <w:snapToGrid w:val="0"/>
                      <w:szCs w:val="21"/>
                    </w:rPr>
                  </w:pPr>
                  <w:r>
                    <w:rPr>
                      <w:snapToGrid w:val="0"/>
                      <w:szCs w:val="21"/>
                    </w:rPr>
                    <w:t>市场采购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Merge w:val="restart"/>
                  <w:vAlign w:val="center"/>
                </w:tcPr>
                <w:p>
                  <w:pPr>
                    <w:pStyle w:val="42"/>
                    <w:spacing w:line="276" w:lineRule="auto"/>
                    <w:rPr>
                      <w:szCs w:val="21"/>
                    </w:rPr>
                  </w:pPr>
                  <w:r>
                    <w:rPr>
                      <w:szCs w:val="21"/>
                    </w:rPr>
                    <w:t>3</w:t>
                  </w:r>
                </w:p>
              </w:tc>
              <w:tc>
                <w:tcPr>
                  <w:tcW w:w="1111" w:type="dxa"/>
                  <w:vMerge w:val="restart"/>
                  <w:vAlign w:val="center"/>
                </w:tcPr>
                <w:p>
                  <w:pPr>
                    <w:pStyle w:val="42"/>
                    <w:spacing w:line="276" w:lineRule="auto"/>
                    <w:rPr>
                      <w:szCs w:val="21"/>
                    </w:rPr>
                  </w:pPr>
                  <w:r>
                    <w:rPr>
                      <w:szCs w:val="21"/>
                    </w:rPr>
                    <w:t>高炉煤气</w:t>
                  </w:r>
                </w:p>
              </w:tc>
              <w:tc>
                <w:tcPr>
                  <w:tcW w:w="1287" w:type="dxa"/>
                  <w:vAlign w:val="center"/>
                </w:tcPr>
                <w:p>
                  <w:pPr>
                    <w:pStyle w:val="42"/>
                    <w:spacing w:line="276" w:lineRule="auto"/>
                    <w:rPr>
                      <w:szCs w:val="21"/>
                    </w:rPr>
                  </w:pPr>
                  <w:r>
                    <w:rPr>
                      <w:szCs w:val="21"/>
                    </w:rPr>
                    <w:t>设计工况</w:t>
                  </w:r>
                </w:p>
              </w:tc>
              <w:tc>
                <w:tcPr>
                  <w:tcW w:w="1156" w:type="dxa"/>
                  <w:vMerge w:val="restart"/>
                  <w:vAlign w:val="center"/>
                </w:tcPr>
                <w:p>
                  <w:pPr>
                    <w:pStyle w:val="42"/>
                    <w:spacing w:line="276" w:lineRule="auto"/>
                    <w:rPr>
                      <w:szCs w:val="21"/>
                    </w:rPr>
                  </w:pPr>
                  <w:r>
                    <w:rPr>
                      <w:szCs w:val="21"/>
                    </w:rPr>
                    <w:t>10</w:t>
                  </w:r>
                  <w:r>
                    <w:rPr>
                      <w:szCs w:val="21"/>
                      <w:vertAlign w:val="superscript"/>
                    </w:rPr>
                    <w:t>4</w:t>
                  </w:r>
                  <w:r>
                    <w:rPr>
                      <w:szCs w:val="21"/>
                    </w:rPr>
                    <w:t>m</w:t>
                  </w:r>
                  <w:r>
                    <w:rPr>
                      <w:szCs w:val="21"/>
                      <w:vertAlign w:val="superscript"/>
                    </w:rPr>
                    <w:t>3</w:t>
                  </w:r>
                  <w:r>
                    <w:rPr>
                      <w:snapToGrid w:val="0"/>
                      <w:szCs w:val="21"/>
                    </w:rPr>
                    <w:t>/a</w:t>
                  </w:r>
                </w:p>
              </w:tc>
              <w:tc>
                <w:tcPr>
                  <w:tcW w:w="1282" w:type="dxa"/>
                  <w:vAlign w:val="center"/>
                </w:tcPr>
                <w:p>
                  <w:pPr>
                    <w:pStyle w:val="42"/>
                    <w:spacing w:line="276" w:lineRule="auto"/>
                    <w:rPr>
                      <w:szCs w:val="21"/>
                    </w:rPr>
                  </w:pPr>
                  <w:r>
                    <w:rPr>
                      <w:szCs w:val="21"/>
                    </w:rPr>
                    <w:t>165600</w:t>
                  </w:r>
                </w:p>
              </w:tc>
              <w:tc>
                <w:tcPr>
                  <w:tcW w:w="1541" w:type="dxa"/>
                  <w:vAlign w:val="center"/>
                </w:tcPr>
                <w:p>
                  <w:pPr>
                    <w:pStyle w:val="42"/>
                    <w:spacing w:line="276" w:lineRule="auto"/>
                    <w:rPr>
                      <w:szCs w:val="21"/>
                    </w:rPr>
                  </w:pPr>
                  <w:r>
                    <w:rPr>
                      <w:szCs w:val="21"/>
                    </w:rPr>
                    <w:t>165600</w:t>
                  </w:r>
                </w:p>
              </w:tc>
              <w:tc>
                <w:tcPr>
                  <w:tcW w:w="1541" w:type="dxa"/>
                  <w:vMerge w:val="restart"/>
                  <w:vAlign w:val="center"/>
                </w:tcPr>
                <w:p>
                  <w:pPr>
                    <w:pStyle w:val="42"/>
                    <w:spacing w:line="276" w:lineRule="auto"/>
                    <w:rPr>
                      <w:szCs w:val="21"/>
                    </w:rPr>
                  </w:pPr>
                  <w:r>
                    <w:rPr>
                      <w:szCs w:val="21"/>
                    </w:rPr>
                    <w:t>依托厂区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Merge w:val="continue"/>
                  <w:vAlign w:val="center"/>
                </w:tcPr>
                <w:p>
                  <w:pPr>
                    <w:pStyle w:val="42"/>
                    <w:spacing w:line="276" w:lineRule="auto"/>
                    <w:rPr>
                      <w:szCs w:val="21"/>
                    </w:rPr>
                  </w:pPr>
                </w:p>
              </w:tc>
              <w:tc>
                <w:tcPr>
                  <w:tcW w:w="1111" w:type="dxa"/>
                  <w:vMerge w:val="continue"/>
                  <w:vAlign w:val="center"/>
                </w:tcPr>
                <w:p>
                  <w:pPr>
                    <w:pStyle w:val="42"/>
                    <w:spacing w:line="276" w:lineRule="auto"/>
                    <w:rPr>
                      <w:szCs w:val="21"/>
                    </w:rPr>
                  </w:pPr>
                </w:p>
              </w:tc>
              <w:tc>
                <w:tcPr>
                  <w:tcW w:w="1287" w:type="dxa"/>
                  <w:vAlign w:val="center"/>
                </w:tcPr>
                <w:p>
                  <w:pPr>
                    <w:pStyle w:val="42"/>
                    <w:spacing w:line="276" w:lineRule="auto"/>
                    <w:rPr>
                      <w:szCs w:val="21"/>
                    </w:rPr>
                  </w:pPr>
                  <w:r>
                    <w:rPr>
                      <w:szCs w:val="21"/>
                    </w:rPr>
                    <w:t>校核工况1</w:t>
                  </w:r>
                </w:p>
              </w:tc>
              <w:tc>
                <w:tcPr>
                  <w:tcW w:w="1156" w:type="dxa"/>
                  <w:vMerge w:val="continue"/>
                  <w:vAlign w:val="center"/>
                </w:tcPr>
                <w:p>
                  <w:pPr>
                    <w:pStyle w:val="42"/>
                    <w:spacing w:line="276" w:lineRule="auto"/>
                    <w:rPr>
                      <w:szCs w:val="21"/>
                    </w:rPr>
                  </w:pPr>
                </w:p>
              </w:tc>
              <w:tc>
                <w:tcPr>
                  <w:tcW w:w="1282" w:type="dxa"/>
                  <w:vAlign w:val="center"/>
                </w:tcPr>
                <w:p>
                  <w:pPr>
                    <w:pStyle w:val="42"/>
                    <w:spacing w:line="276" w:lineRule="auto"/>
                    <w:rPr>
                      <w:szCs w:val="21"/>
                    </w:rPr>
                  </w:pPr>
                  <w:r>
                    <w:rPr>
                      <w:szCs w:val="21"/>
                    </w:rPr>
                    <w:t>115920</w:t>
                  </w:r>
                </w:p>
              </w:tc>
              <w:tc>
                <w:tcPr>
                  <w:tcW w:w="1541" w:type="dxa"/>
                  <w:vAlign w:val="center"/>
                </w:tcPr>
                <w:p>
                  <w:pPr>
                    <w:pStyle w:val="42"/>
                    <w:spacing w:line="276" w:lineRule="auto"/>
                    <w:rPr>
                      <w:szCs w:val="21"/>
                    </w:rPr>
                  </w:pPr>
                  <w:r>
                    <w:rPr>
                      <w:szCs w:val="21"/>
                    </w:rPr>
                    <w:t>115920</w:t>
                  </w:r>
                </w:p>
              </w:tc>
              <w:tc>
                <w:tcPr>
                  <w:tcW w:w="1541" w:type="dxa"/>
                  <w:vMerge w:val="continue"/>
                  <w:vAlign w:val="center"/>
                </w:tcPr>
                <w:p>
                  <w:pPr>
                    <w:pStyle w:val="42"/>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Merge w:val="continue"/>
                  <w:vAlign w:val="center"/>
                </w:tcPr>
                <w:p>
                  <w:pPr>
                    <w:pStyle w:val="42"/>
                    <w:spacing w:line="276" w:lineRule="auto"/>
                    <w:rPr>
                      <w:szCs w:val="21"/>
                    </w:rPr>
                  </w:pPr>
                </w:p>
              </w:tc>
              <w:tc>
                <w:tcPr>
                  <w:tcW w:w="1111" w:type="dxa"/>
                  <w:vMerge w:val="continue"/>
                  <w:vAlign w:val="center"/>
                </w:tcPr>
                <w:p>
                  <w:pPr>
                    <w:pStyle w:val="42"/>
                    <w:spacing w:line="276" w:lineRule="auto"/>
                    <w:rPr>
                      <w:szCs w:val="21"/>
                    </w:rPr>
                  </w:pPr>
                </w:p>
              </w:tc>
              <w:tc>
                <w:tcPr>
                  <w:tcW w:w="1287" w:type="dxa"/>
                  <w:vAlign w:val="center"/>
                </w:tcPr>
                <w:p>
                  <w:pPr>
                    <w:pStyle w:val="42"/>
                    <w:spacing w:line="276" w:lineRule="auto"/>
                    <w:rPr>
                      <w:szCs w:val="21"/>
                    </w:rPr>
                  </w:pPr>
                  <w:r>
                    <w:rPr>
                      <w:szCs w:val="21"/>
                    </w:rPr>
                    <w:t>校核工况2</w:t>
                  </w:r>
                </w:p>
              </w:tc>
              <w:tc>
                <w:tcPr>
                  <w:tcW w:w="1156" w:type="dxa"/>
                  <w:vMerge w:val="continue"/>
                  <w:vAlign w:val="center"/>
                </w:tcPr>
                <w:p>
                  <w:pPr>
                    <w:pStyle w:val="42"/>
                    <w:spacing w:line="276" w:lineRule="auto"/>
                    <w:rPr>
                      <w:szCs w:val="21"/>
                    </w:rPr>
                  </w:pPr>
                </w:p>
              </w:tc>
              <w:tc>
                <w:tcPr>
                  <w:tcW w:w="1282" w:type="dxa"/>
                  <w:vAlign w:val="center"/>
                </w:tcPr>
                <w:p>
                  <w:pPr>
                    <w:pStyle w:val="42"/>
                    <w:spacing w:line="276" w:lineRule="auto"/>
                    <w:rPr>
                      <w:szCs w:val="21"/>
                    </w:rPr>
                  </w:pPr>
                  <w:r>
                    <w:rPr>
                      <w:szCs w:val="21"/>
                    </w:rPr>
                    <w:t>115920</w:t>
                  </w:r>
                </w:p>
              </w:tc>
              <w:tc>
                <w:tcPr>
                  <w:tcW w:w="1541" w:type="dxa"/>
                  <w:vAlign w:val="center"/>
                </w:tcPr>
                <w:p>
                  <w:pPr>
                    <w:pStyle w:val="42"/>
                    <w:spacing w:line="276" w:lineRule="auto"/>
                    <w:rPr>
                      <w:szCs w:val="21"/>
                    </w:rPr>
                  </w:pPr>
                  <w:r>
                    <w:rPr>
                      <w:szCs w:val="21"/>
                    </w:rPr>
                    <w:t>115920</w:t>
                  </w:r>
                </w:p>
              </w:tc>
              <w:tc>
                <w:tcPr>
                  <w:tcW w:w="1541" w:type="dxa"/>
                  <w:vMerge w:val="continue"/>
                  <w:vAlign w:val="center"/>
                </w:tcPr>
                <w:p>
                  <w:pPr>
                    <w:pStyle w:val="42"/>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Merge w:val="restart"/>
                  <w:vAlign w:val="center"/>
                </w:tcPr>
                <w:p>
                  <w:pPr>
                    <w:pStyle w:val="42"/>
                    <w:spacing w:line="276" w:lineRule="auto"/>
                    <w:rPr>
                      <w:szCs w:val="21"/>
                    </w:rPr>
                  </w:pPr>
                  <w:r>
                    <w:rPr>
                      <w:szCs w:val="21"/>
                    </w:rPr>
                    <w:t>4</w:t>
                  </w:r>
                </w:p>
              </w:tc>
              <w:tc>
                <w:tcPr>
                  <w:tcW w:w="1111" w:type="dxa"/>
                  <w:vMerge w:val="restart"/>
                  <w:vAlign w:val="center"/>
                </w:tcPr>
                <w:p>
                  <w:pPr>
                    <w:pStyle w:val="42"/>
                    <w:spacing w:line="276" w:lineRule="auto"/>
                    <w:rPr>
                      <w:szCs w:val="21"/>
                    </w:rPr>
                  </w:pPr>
                  <w:r>
                    <w:rPr>
                      <w:szCs w:val="21"/>
                    </w:rPr>
                    <w:t>转炉煤气</w:t>
                  </w:r>
                </w:p>
              </w:tc>
              <w:tc>
                <w:tcPr>
                  <w:tcW w:w="1287" w:type="dxa"/>
                  <w:vAlign w:val="center"/>
                </w:tcPr>
                <w:p>
                  <w:pPr>
                    <w:pStyle w:val="42"/>
                    <w:spacing w:line="276" w:lineRule="auto"/>
                    <w:rPr>
                      <w:szCs w:val="21"/>
                    </w:rPr>
                  </w:pPr>
                  <w:r>
                    <w:rPr>
                      <w:szCs w:val="21"/>
                    </w:rPr>
                    <w:t>设计工况</w:t>
                  </w:r>
                </w:p>
              </w:tc>
              <w:tc>
                <w:tcPr>
                  <w:tcW w:w="1156" w:type="dxa"/>
                  <w:vMerge w:val="restart"/>
                  <w:vAlign w:val="center"/>
                </w:tcPr>
                <w:p>
                  <w:pPr>
                    <w:pStyle w:val="42"/>
                    <w:spacing w:line="276" w:lineRule="auto"/>
                    <w:rPr>
                      <w:szCs w:val="21"/>
                    </w:rPr>
                  </w:pPr>
                  <w:r>
                    <w:rPr>
                      <w:szCs w:val="21"/>
                    </w:rPr>
                    <w:t>10</w:t>
                  </w:r>
                  <w:r>
                    <w:rPr>
                      <w:szCs w:val="21"/>
                      <w:vertAlign w:val="superscript"/>
                    </w:rPr>
                    <w:t>4</w:t>
                  </w:r>
                  <w:r>
                    <w:rPr>
                      <w:szCs w:val="21"/>
                    </w:rPr>
                    <w:t>m</w:t>
                  </w:r>
                  <w:r>
                    <w:rPr>
                      <w:szCs w:val="21"/>
                      <w:vertAlign w:val="superscript"/>
                    </w:rPr>
                    <w:t>3</w:t>
                  </w:r>
                  <w:r>
                    <w:rPr>
                      <w:snapToGrid w:val="0"/>
                      <w:szCs w:val="21"/>
                    </w:rPr>
                    <w:t>/a</w:t>
                  </w:r>
                </w:p>
              </w:tc>
              <w:tc>
                <w:tcPr>
                  <w:tcW w:w="1282" w:type="dxa"/>
                  <w:vAlign w:val="center"/>
                </w:tcPr>
                <w:p>
                  <w:pPr>
                    <w:pStyle w:val="42"/>
                    <w:spacing w:line="276" w:lineRule="auto"/>
                    <w:rPr>
                      <w:szCs w:val="21"/>
                    </w:rPr>
                  </w:pPr>
                  <w:r>
                    <w:rPr>
                      <w:szCs w:val="21"/>
                    </w:rPr>
                    <w:t>0</w:t>
                  </w:r>
                </w:p>
              </w:tc>
              <w:tc>
                <w:tcPr>
                  <w:tcW w:w="1541" w:type="dxa"/>
                  <w:vAlign w:val="center"/>
                </w:tcPr>
                <w:p>
                  <w:pPr>
                    <w:pStyle w:val="42"/>
                    <w:spacing w:line="276" w:lineRule="auto"/>
                    <w:rPr>
                      <w:szCs w:val="21"/>
                    </w:rPr>
                  </w:pPr>
                  <w:r>
                    <w:rPr>
                      <w:szCs w:val="21"/>
                    </w:rPr>
                    <w:t>0</w:t>
                  </w:r>
                </w:p>
              </w:tc>
              <w:tc>
                <w:tcPr>
                  <w:tcW w:w="1541" w:type="dxa"/>
                  <w:vMerge w:val="restart"/>
                  <w:vAlign w:val="center"/>
                </w:tcPr>
                <w:p>
                  <w:pPr>
                    <w:pStyle w:val="42"/>
                    <w:spacing w:line="276" w:lineRule="auto"/>
                    <w:rPr>
                      <w:szCs w:val="21"/>
                    </w:rPr>
                  </w:pPr>
                  <w:r>
                    <w:rPr>
                      <w:szCs w:val="21"/>
                    </w:rPr>
                    <w:t>依托厂区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Merge w:val="continue"/>
                  <w:vAlign w:val="center"/>
                </w:tcPr>
                <w:p>
                  <w:pPr>
                    <w:pStyle w:val="42"/>
                    <w:spacing w:line="276" w:lineRule="auto"/>
                    <w:rPr>
                      <w:szCs w:val="21"/>
                    </w:rPr>
                  </w:pPr>
                </w:p>
              </w:tc>
              <w:tc>
                <w:tcPr>
                  <w:tcW w:w="1111" w:type="dxa"/>
                  <w:vMerge w:val="continue"/>
                  <w:vAlign w:val="center"/>
                </w:tcPr>
                <w:p>
                  <w:pPr>
                    <w:pStyle w:val="42"/>
                    <w:spacing w:line="276" w:lineRule="auto"/>
                    <w:rPr>
                      <w:szCs w:val="21"/>
                    </w:rPr>
                  </w:pPr>
                </w:p>
              </w:tc>
              <w:tc>
                <w:tcPr>
                  <w:tcW w:w="1287" w:type="dxa"/>
                  <w:vAlign w:val="center"/>
                </w:tcPr>
                <w:p>
                  <w:pPr>
                    <w:pStyle w:val="42"/>
                    <w:spacing w:line="276" w:lineRule="auto"/>
                    <w:rPr>
                      <w:szCs w:val="21"/>
                    </w:rPr>
                  </w:pPr>
                  <w:r>
                    <w:rPr>
                      <w:szCs w:val="21"/>
                    </w:rPr>
                    <w:t>校核工况1</w:t>
                  </w:r>
                </w:p>
              </w:tc>
              <w:tc>
                <w:tcPr>
                  <w:tcW w:w="1156" w:type="dxa"/>
                  <w:vMerge w:val="continue"/>
                  <w:vAlign w:val="center"/>
                </w:tcPr>
                <w:p>
                  <w:pPr>
                    <w:pStyle w:val="42"/>
                    <w:spacing w:line="276" w:lineRule="auto"/>
                    <w:rPr>
                      <w:szCs w:val="21"/>
                    </w:rPr>
                  </w:pPr>
                </w:p>
              </w:tc>
              <w:tc>
                <w:tcPr>
                  <w:tcW w:w="1282" w:type="dxa"/>
                  <w:vAlign w:val="center"/>
                </w:tcPr>
                <w:p>
                  <w:pPr>
                    <w:pStyle w:val="42"/>
                    <w:spacing w:line="276" w:lineRule="auto"/>
                    <w:rPr>
                      <w:szCs w:val="21"/>
                    </w:rPr>
                  </w:pPr>
                  <w:r>
                    <w:rPr>
                      <w:szCs w:val="21"/>
                    </w:rPr>
                    <w:t>22320</w:t>
                  </w:r>
                </w:p>
              </w:tc>
              <w:tc>
                <w:tcPr>
                  <w:tcW w:w="1541" w:type="dxa"/>
                  <w:vAlign w:val="center"/>
                </w:tcPr>
                <w:p>
                  <w:pPr>
                    <w:pStyle w:val="42"/>
                    <w:spacing w:line="276" w:lineRule="auto"/>
                    <w:rPr>
                      <w:szCs w:val="21"/>
                    </w:rPr>
                  </w:pPr>
                  <w:r>
                    <w:rPr>
                      <w:szCs w:val="21"/>
                    </w:rPr>
                    <w:t>22320</w:t>
                  </w:r>
                </w:p>
              </w:tc>
              <w:tc>
                <w:tcPr>
                  <w:tcW w:w="1541" w:type="dxa"/>
                  <w:vMerge w:val="continue"/>
                  <w:vAlign w:val="center"/>
                </w:tcPr>
                <w:p>
                  <w:pPr>
                    <w:pStyle w:val="42"/>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Merge w:val="continue"/>
                  <w:vAlign w:val="center"/>
                </w:tcPr>
                <w:p>
                  <w:pPr>
                    <w:pStyle w:val="42"/>
                    <w:spacing w:line="276" w:lineRule="auto"/>
                    <w:rPr>
                      <w:szCs w:val="21"/>
                    </w:rPr>
                  </w:pPr>
                </w:p>
              </w:tc>
              <w:tc>
                <w:tcPr>
                  <w:tcW w:w="1111" w:type="dxa"/>
                  <w:vMerge w:val="continue"/>
                  <w:vAlign w:val="center"/>
                </w:tcPr>
                <w:p>
                  <w:pPr>
                    <w:pStyle w:val="42"/>
                    <w:spacing w:line="276" w:lineRule="auto"/>
                    <w:rPr>
                      <w:szCs w:val="21"/>
                    </w:rPr>
                  </w:pPr>
                </w:p>
              </w:tc>
              <w:tc>
                <w:tcPr>
                  <w:tcW w:w="1287" w:type="dxa"/>
                  <w:vAlign w:val="center"/>
                </w:tcPr>
                <w:p>
                  <w:pPr>
                    <w:pStyle w:val="42"/>
                    <w:spacing w:line="276" w:lineRule="auto"/>
                    <w:rPr>
                      <w:szCs w:val="21"/>
                    </w:rPr>
                  </w:pPr>
                  <w:r>
                    <w:rPr>
                      <w:szCs w:val="21"/>
                    </w:rPr>
                    <w:t>校核工况2</w:t>
                  </w:r>
                </w:p>
              </w:tc>
              <w:tc>
                <w:tcPr>
                  <w:tcW w:w="1156" w:type="dxa"/>
                  <w:vMerge w:val="continue"/>
                  <w:vAlign w:val="center"/>
                </w:tcPr>
                <w:p>
                  <w:pPr>
                    <w:pStyle w:val="42"/>
                    <w:spacing w:line="276" w:lineRule="auto"/>
                    <w:rPr>
                      <w:szCs w:val="21"/>
                    </w:rPr>
                  </w:pPr>
                </w:p>
              </w:tc>
              <w:tc>
                <w:tcPr>
                  <w:tcW w:w="1282" w:type="dxa"/>
                  <w:vAlign w:val="center"/>
                </w:tcPr>
                <w:p>
                  <w:pPr>
                    <w:pStyle w:val="42"/>
                    <w:spacing w:line="276" w:lineRule="auto"/>
                    <w:rPr>
                      <w:szCs w:val="21"/>
                    </w:rPr>
                  </w:pPr>
                  <w:r>
                    <w:rPr>
                      <w:szCs w:val="21"/>
                    </w:rPr>
                    <w:t>0</w:t>
                  </w:r>
                </w:p>
              </w:tc>
              <w:tc>
                <w:tcPr>
                  <w:tcW w:w="1541" w:type="dxa"/>
                  <w:vAlign w:val="center"/>
                </w:tcPr>
                <w:p>
                  <w:pPr>
                    <w:pStyle w:val="42"/>
                    <w:spacing w:line="276" w:lineRule="auto"/>
                    <w:rPr>
                      <w:szCs w:val="21"/>
                    </w:rPr>
                  </w:pPr>
                  <w:r>
                    <w:rPr>
                      <w:szCs w:val="21"/>
                    </w:rPr>
                    <w:t>0</w:t>
                  </w:r>
                </w:p>
              </w:tc>
              <w:tc>
                <w:tcPr>
                  <w:tcW w:w="1541" w:type="dxa"/>
                  <w:vMerge w:val="continue"/>
                  <w:vAlign w:val="center"/>
                </w:tcPr>
                <w:p>
                  <w:pPr>
                    <w:pStyle w:val="42"/>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Merge w:val="restart"/>
                  <w:vAlign w:val="center"/>
                </w:tcPr>
                <w:p>
                  <w:pPr>
                    <w:pStyle w:val="42"/>
                    <w:spacing w:line="276" w:lineRule="auto"/>
                    <w:rPr>
                      <w:szCs w:val="21"/>
                    </w:rPr>
                  </w:pPr>
                  <w:r>
                    <w:rPr>
                      <w:szCs w:val="21"/>
                    </w:rPr>
                    <w:t>5</w:t>
                  </w:r>
                </w:p>
              </w:tc>
              <w:tc>
                <w:tcPr>
                  <w:tcW w:w="1111" w:type="dxa"/>
                  <w:vMerge w:val="restart"/>
                  <w:vAlign w:val="center"/>
                </w:tcPr>
                <w:p>
                  <w:pPr>
                    <w:pStyle w:val="42"/>
                    <w:spacing w:line="276" w:lineRule="auto"/>
                    <w:rPr>
                      <w:szCs w:val="21"/>
                    </w:rPr>
                  </w:pPr>
                  <w:r>
                    <w:rPr>
                      <w:szCs w:val="21"/>
                    </w:rPr>
                    <w:t>焦炉煤气</w:t>
                  </w:r>
                </w:p>
              </w:tc>
              <w:tc>
                <w:tcPr>
                  <w:tcW w:w="1287" w:type="dxa"/>
                  <w:vAlign w:val="center"/>
                </w:tcPr>
                <w:p>
                  <w:pPr>
                    <w:pStyle w:val="42"/>
                    <w:spacing w:line="276" w:lineRule="auto"/>
                    <w:rPr>
                      <w:szCs w:val="21"/>
                    </w:rPr>
                  </w:pPr>
                  <w:r>
                    <w:rPr>
                      <w:szCs w:val="21"/>
                    </w:rPr>
                    <w:t>设计工况</w:t>
                  </w:r>
                </w:p>
              </w:tc>
              <w:tc>
                <w:tcPr>
                  <w:tcW w:w="1156" w:type="dxa"/>
                  <w:vMerge w:val="restart"/>
                  <w:vAlign w:val="center"/>
                </w:tcPr>
                <w:p>
                  <w:pPr>
                    <w:pStyle w:val="42"/>
                    <w:spacing w:line="276" w:lineRule="auto"/>
                    <w:rPr>
                      <w:szCs w:val="21"/>
                    </w:rPr>
                  </w:pPr>
                  <w:r>
                    <w:rPr>
                      <w:szCs w:val="21"/>
                    </w:rPr>
                    <w:t>10</w:t>
                  </w:r>
                  <w:r>
                    <w:rPr>
                      <w:szCs w:val="21"/>
                      <w:vertAlign w:val="superscript"/>
                    </w:rPr>
                    <w:t>4</w:t>
                  </w:r>
                  <w:r>
                    <w:rPr>
                      <w:szCs w:val="21"/>
                    </w:rPr>
                    <w:t>m</w:t>
                  </w:r>
                  <w:r>
                    <w:rPr>
                      <w:szCs w:val="21"/>
                      <w:vertAlign w:val="superscript"/>
                    </w:rPr>
                    <w:t>3</w:t>
                  </w:r>
                  <w:r>
                    <w:rPr>
                      <w:snapToGrid w:val="0"/>
                      <w:szCs w:val="21"/>
                    </w:rPr>
                    <w:t>/a</w:t>
                  </w:r>
                </w:p>
              </w:tc>
              <w:tc>
                <w:tcPr>
                  <w:tcW w:w="1282" w:type="dxa"/>
                  <w:vAlign w:val="center"/>
                </w:tcPr>
                <w:p>
                  <w:pPr>
                    <w:pStyle w:val="42"/>
                    <w:spacing w:line="276" w:lineRule="auto"/>
                    <w:rPr>
                      <w:szCs w:val="21"/>
                    </w:rPr>
                  </w:pPr>
                  <w:r>
                    <w:rPr>
                      <w:szCs w:val="21"/>
                    </w:rPr>
                    <w:t>0</w:t>
                  </w:r>
                </w:p>
              </w:tc>
              <w:tc>
                <w:tcPr>
                  <w:tcW w:w="1541" w:type="dxa"/>
                  <w:vAlign w:val="center"/>
                </w:tcPr>
                <w:p>
                  <w:pPr>
                    <w:pStyle w:val="42"/>
                    <w:spacing w:line="276" w:lineRule="auto"/>
                    <w:rPr>
                      <w:szCs w:val="21"/>
                    </w:rPr>
                  </w:pPr>
                  <w:r>
                    <w:rPr>
                      <w:szCs w:val="21"/>
                    </w:rPr>
                    <w:t>0</w:t>
                  </w:r>
                </w:p>
              </w:tc>
              <w:tc>
                <w:tcPr>
                  <w:tcW w:w="1541" w:type="dxa"/>
                  <w:vMerge w:val="restart"/>
                  <w:vAlign w:val="center"/>
                </w:tcPr>
                <w:p>
                  <w:pPr>
                    <w:pStyle w:val="42"/>
                    <w:spacing w:line="276" w:lineRule="auto"/>
                    <w:rPr>
                      <w:szCs w:val="21"/>
                    </w:rPr>
                  </w:pPr>
                  <w:r>
                    <w:rPr>
                      <w:szCs w:val="21"/>
                    </w:rPr>
                    <w:t>依托厂区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Merge w:val="continue"/>
                  <w:vAlign w:val="center"/>
                </w:tcPr>
                <w:p>
                  <w:pPr>
                    <w:pStyle w:val="42"/>
                    <w:spacing w:line="276" w:lineRule="auto"/>
                    <w:rPr>
                      <w:szCs w:val="21"/>
                    </w:rPr>
                  </w:pPr>
                </w:p>
              </w:tc>
              <w:tc>
                <w:tcPr>
                  <w:tcW w:w="1111" w:type="dxa"/>
                  <w:vMerge w:val="continue"/>
                  <w:vAlign w:val="center"/>
                </w:tcPr>
                <w:p>
                  <w:pPr>
                    <w:pStyle w:val="42"/>
                    <w:spacing w:line="276" w:lineRule="auto"/>
                    <w:rPr>
                      <w:szCs w:val="21"/>
                    </w:rPr>
                  </w:pPr>
                </w:p>
              </w:tc>
              <w:tc>
                <w:tcPr>
                  <w:tcW w:w="1287" w:type="dxa"/>
                  <w:vAlign w:val="center"/>
                </w:tcPr>
                <w:p>
                  <w:pPr>
                    <w:pStyle w:val="42"/>
                    <w:spacing w:line="276" w:lineRule="auto"/>
                    <w:rPr>
                      <w:szCs w:val="21"/>
                    </w:rPr>
                  </w:pPr>
                  <w:r>
                    <w:rPr>
                      <w:szCs w:val="21"/>
                    </w:rPr>
                    <w:t>校核工况1</w:t>
                  </w:r>
                </w:p>
              </w:tc>
              <w:tc>
                <w:tcPr>
                  <w:tcW w:w="1156" w:type="dxa"/>
                  <w:vMerge w:val="continue"/>
                  <w:vAlign w:val="center"/>
                </w:tcPr>
                <w:p>
                  <w:pPr>
                    <w:pStyle w:val="42"/>
                    <w:spacing w:line="276" w:lineRule="auto"/>
                    <w:rPr>
                      <w:szCs w:val="21"/>
                    </w:rPr>
                  </w:pPr>
                </w:p>
              </w:tc>
              <w:tc>
                <w:tcPr>
                  <w:tcW w:w="1282" w:type="dxa"/>
                  <w:vAlign w:val="center"/>
                </w:tcPr>
                <w:p>
                  <w:pPr>
                    <w:pStyle w:val="42"/>
                    <w:spacing w:line="276" w:lineRule="auto"/>
                    <w:rPr>
                      <w:szCs w:val="21"/>
                    </w:rPr>
                  </w:pPr>
                  <w:r>
                    <w:rPr>
                      <w:szCs w:val="21"/>
                    </w:rPr>
                    <w:t>0</w:t>
                  </w:r>
                </w:p>
              </w:tc>
              <w:tc>
                <w:tcPr>
                  <w:tcW w:w="1541" w:type="dxa"/>
                  <w:vAlign w:val="center"/>
                </w:tcPr>
                <w:p>
                  <w:pPr>
                    <w:pStyle w:val="42"/>
                    <w:spacing w:line="276" w:lineRule="auto"/>
                    <w:rPr>
                      <w:szCs w:val="21"/>
                    </w:rPr>
                  </w:pPr>
                  <w:r>
                    <w:rPr>
                      <w:szCs w:val="21"/>
                    </w:rPr>
                    <w:t>0</w:t>
                  </w:r>
                </w:p>
              </w:tc>
              <w:tc>
                <w:tcPr>
                  <w:tcW w:w="1541" w:type="dxa"/>
                  <w:vMerge w:val="continue"/>
                  <w:vAlign w:val="center"/>
                </w:tcPr>
                <w:p>
                  <w:pPr>
                    <w:pStyle w:val="42"/>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Merge w:val="continue"/>
                  <w:vAlign w:val="center"/>
                </w:tcPr>
                <w:p>
                  <w:pPr>
                    <w:pStyle w:val="42"/>
                    <w:spacing w:line="276" w:lineRule="auto"/>
                    <w:rPr>
                      <w:szCs w:val="21"/>
                    </w:rPr>
                  </w:pPr>
                </w:p>
              </w:tc>
              <w:tc>
                <w:tcPr>
                  <w:tcW w:w="1111" w:type="dxa"/>
                  <w:vMerge w:val="continue"/>
                  <w:vAlign w:val="center"/>
                </w:tcPr>
                <w:p>
                  <w:pPr>
                    <w:pStyle w:val="42"/>
                    <w:spacing w:line="276" w:lineRule="auto"/>
                    <w:rPr>
                      <w:szCs w:val="21"/>
                    </w:rPr>
                  </w:pPr>
                </w:p>
              </w:tc>
              <w:tc>
                <w:tcPr>
                  <w:tcW w:w="1287" w:type="dxa"/>
                  <w:vAlign w:val="center"/>
                </w:tcPr>
                <w:p>
                  <w:pPr>
                    <w:pStyle w:val="42"/>
                    <w:spacing w:line="276" w:lineRule="auto"/>
                    <w:rPr>
                      <w:szCs w:val="21"/>
                    </w:rPr>
                  </w:pPr>
                  <w:r>
                    <w:rPr>
                      <w:szCs w:val="21"/>
                    </w:rPr>
                    <w:t>校核工况2</w:t>
                  </w:r>
                </w:p>
              </w:tc>
              <w:tc>
                <w:tcPr>
                  <w:tcW w:w="1156" w:type="dxa"/>
                  <w:vMerge w:val="continue"/>
                  <w:vAlign w:val="center"/>
                </w:tcPr>
                <w:p>
                  <w:pPr>
                    <w:pStyle w:val="42"/>
                    <w:spacing w:line="276" w:lineRule="auto"/>
                    <w:rPr>
                      <w:szCs w:val="21"/>
                    </w:rPr>
                  </w:pPr>
                </w:p>
              </w:tc>
              <w:tc>
                <w:tcPr>
                  <w:tcW w:w="1282" w:type="dxa"/>
                  <w:vAlign w:val="center"/>
                </w:tcPr>
                <w:p>
                  <w:pPr>
                    <w:pStyle w:val="42"/>
                    <w:spacing w:line="276" w:lineRule="auto"/>
                    <w:rPr>
                      <w:szCs w:val="21"/>
                    </w:rPr>
                  </w:pPr>
                  <w:r>
                    <w:rPr>
                      <w:szCs w:val="21"/>
                    </w:rPr>
                    <w:t>9899</w:t>
                  </w:r>
                </w:p>
              </w:tc>
              <w:tc>
                <w:tcPr>
                  <w:tcW w:w="1541" w:type="dxa"/>
                  <w:vAlign w:val="center"/>
                </w:tcPr>
                <w:p>
                  <w:pPr>
                    <w:pStyle w:val="42"/>
                    <w:spacing w:line="276" w:lineRule="auto"/>
                    <w:rPr>
                      <w:szCs w:val="21"/>
                    </w:rPr>
                  </w:pPr>
                  <w:r>
                    <w:rPr>
                      <w:szCs w:val="21"/>
                    </w:rPr>
                    <w:t>9899</w:t>
                  </w:r>
                </w:p>
              </w:tc>
              <w:tc>
                <w:tcPr>
                  <w:tcW w:w="1541" w:type="dxa"/>
                  <w:vMerge w:val="continue"/>
                  <w:vAlign w:val="center"/>
                </w:tcPr>
                <w:p>
                  <w:pPr>
                    <w:pStyle w:val="42"/>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Align w:val="center"/>
                </w:tcPr>
                <w:p>
                  <w:pPr>
                    <w:pStyle w:val="42"/>
                    <w:spacing w:line="276" w:lineRule="auto"/>
                    <w:rPr>
                      <w:szCs w:val="21"/>
                    </w:rPr>
                  </w:pPr>
                  <w:r>
                    <w:rPr>
                      <w:szCs w:val="21"/>
                    </w:rPr>
                    <w:t>6</w:t>
                  </w:r>
                </w:p>
              </w:tc>
              <w:tc>
                <w:tcPr>
                  <w:tcW w:w="2398" w:type="dxa"/>
                  <w:gridSpan w:val="2"/>
                  <w:vAlign w:val="center"/>
                </w:tcPr>
                <w:p>
                  <w:pPr>
                    <w:pStyle w:val="42"/>
                    <w:spacing w:line="276" w:lineRule="auto"/>
                    <w:rPr>
                      <w:szCs w:val="21"/>
                    </w:rPr>
                  </w:pPr>
                  <w:r>
                    <w:rPr>
                      <w:szCs w:val="21"/>
                    </w:rPr>
                    <w:t>水</w:t>
                  </w:r>
                </w:p>
              </w:tc>
              <w:tc>
                <w:tcPr>
                  <w:tcW w:w="1156" w:type="dxa"/>
                  <w:vAlign w:val="center"/>
                </w:tcPr>
                <w:p>
                  <w:pPr>
                    <w:pStyle w:val="42"/>
                    <w:spacing w:line="276" w:lineRule="auto"/>
                    <w:rPr>
                      <w:szCs w:val="21"/>
                    </w:rPr>
                  </w:pPr>
                  <w:r>
                    <w:rPr>
                      <w:szCs w:val="21"/>
                    </w:rPr>
                    <w:t>10</w:t>
                  </w:r>
                  <w:r>
                    <w:rPr>
                      <w:szCs w:val="21"/>
                      <w:vertAlign w:val="superscript"/>
                    </w:rPr>
                    <w:t>4</w:t>
                  </w:r>
                  <w:r>
                    <w:rPr>
                      <w:szCs w:val="21"/>
                    </w:rPr>
                    <w:t>m</w:t>
                  </w:r>
                  <w:r>
                    <w:rPr>
                      <w:szCs w:val="21"/>
                      <w:vertAlign w:val="superscript"/>
                    </w:rPr>
                    <w:t>3</w:t>
                  </w:r>
                  <w:r>
                    <w:rPr>
                      <w:snapToGrid w:val="0"/>
                      <w:szCs w:val="21"/>
                    </w:rPr>
                    <w:t>/a</w:t>
                  </w:r>
                </w:p>
              </w:tc>
              <w:tc>
                <w:tcPr>
                  <w:tcW w:w="1282" w:type="dxa"/>
                  <w:vAlign w:val="center"/>
                </w:tcPr>
                <w:p>
                  <w:pPr>
                    <w:pStyle w:val="42"/>
                    <w:spacing w:line="276" w:lineRule="auto"/>
                    <w:rPr>
                      <w:szCs w:val="21"/>
                    </w:rPr>
                  </w:pPr>
                  <w:r>
                    <w:rPr>
                      <w:szCs w:val="21"/>
                    </w:rPr>
                    <w:t>201.6</w:t>
                  </w:r>
                </w:p>
              </w:tc>
              <w:tc>
                <w:tcPr>
                  <w:tcW w:w="1541" w:type="dxa"/>
                  <w:vAlign w:val="center"/>
                </w:tcPr>
                <w:p>
                  <w:pPr>
                    <w:pStyle w:val="42"/>
                    <w:spacing w:line="276" w:lineRule="auto"/>
                    <w:rPr>
                      <w:szCs w:val="21"/>
                    </w:rPr>
                  </w:pPr>
                  <w:r>
                    <w:rPr>
                      <w:szCs w:val="21"/>
                    </w:rPr>
                    <w:t>201.6</w:t>
                  </w:r>
                </w:p>
              </w:tc>
              <w:tc>
                <w:tcPr>
                  <w:tcW w:w="1541" w:type="dxa"/>
                  <w:vAlign w:val="center"/>
                </w:tcPr>
                <w:p>
                  <w:pPr>
                    <w:pStyle w:val="42"/>
                    <w:spacing w:line="276" w:lineRule="auto"/>
                    <w:rPr>
                      <w:szCs w:val="21"/>
                    </w:rPr>
                  </w:pPr>
                  <w:r>
                    <w:rPr>
                      <w:szCs w:val="21"/>
                    </w:rPr>
                    <w:t>依托厂区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Align w:val="center"/>
                </w:tcPr>
                <w:p>
                  <w:pPr>
                    <w:pStyle w:val="42"/>
                    <w:spacing w:line="276" w:lineRule="auto"/>
                    <w:rPr>
                      <w:szCs w:val="21"/>
                    </w:rPr>
                  </w:pPr>
                  <w:r>
                    <w:rPr>
                      <w:szCs w:val="21"/>
                    </w:rPr>
                    <w:t>7</w:t>
                  </w:r>
                </w:p>
              </w:tc>
              <w:tc>
                <w:tcPr>
                  <w:tcW w:w="2398" w:type="dxa"/>
                  <w:gridSpan w:val="2"/>
                  <w:vAlign w:val="center"/>
                </w:tcPr>
                <w:p>
                  <w:pPr>
                    <w:pStyle w:val="42"/>
                    <w:spacing w:line="276" w:lineRule="auto"/>
                    <w:rPr>
                      <w:szCs w:val="21"/>
                    </w:rPr>
                  </w:pPr>
                  <w:r>
                    <w:rPr>
                      <w:szCs w:val="21"/>
                    </w:rPr>
                    <w:t>氮气</w:t>
                  </w:r>
                </w:p>
              </w:tc>
              <w:tc>
                <w:tcPr>
                  <w:tcW w:w="1156" w:type="dxa"/>
                  <w:vAlign w:val="center"/>
                </w:tcPr>
                <w:p>
                  <w:pPr>
                    <w:pStyle w:val="42"/>
                    <w:spacing w:line="276" w:lineRule="auto"/>
                    <w:rPr>
                      <w:szCs w:val="21"/>
                    </w:rPr>
                  </w:pPr>
                  <w:r>
                    <w:rPr>
                      <w:szCs w:val="21"/>
                    </w:rPr>
                    <w:t>10</w:t>
                  </w:r>
                  <w:r>
                    <w:rPr>
                      <w:szCs w:val="21"/>
                      <w:vertAlign w:val="superscript"/>
                    </w:rPr>
                    <w:t>4</w:t>
                  </w:r>
                  <w:r>
                    <w:rPr>
                      <w:szCs w:val="21"/>
                    </w:rPr>
                    <w:t>m</w:t>
                  </w:r>
                  <w:r>
                    <w:rPr>
                      <w:szCs w:val="21"/>
                      <w:vertAlign w:val="superscript"/>
                    </w:rPr>
                    <w:t>3</w:t>
                  </w:r>
                  <w:r>
                    <w:rPr>
                      <w:snapToGrid w:val="0"/>
                      <w:szCs w:val="21"/>
                    </w:rPr>
                    <w:t>/a</w:t>
                  </w:r>
                </w:p>
              </w:tc>
              <w:tc>
                <w:tcPr>
                  <w:tcW w:w="1282" w:type="dxa"/>
                  <w:vAlign w:val="center"/>
                </w:tcPr>
                <w:p>
                  <w:pPr>
                    <w:pStyle w:val="42"/>
                    <w:spacing w:line="276" w:lineRule="auto"/>
                    <w:rPr>
                      <w:szCs w:val="21"/>
                    </w:rPr>
                  </w:pPr>
                  <w:r>
                    <w:rPr>
                      <w:szCs w:val="21"/>
                    </w:rPr>
                    <w:t>7.3</w:t>
                  </w:r>
                </w:p>
              </w:tc>
              <w:tc>
                <w:tcPr>
                  <w:tcW w:w="1541" w:type="dxa"/>
                  <w:vAlign w:val="center"/>
                </w:tcPr>
                <w:p>
                  <w:pPr>
                    <w:pStyle w:val="42"/>
                    <w:spacing w:line="276" w:lineRule="auto"/>
                    <w:rPr>
                      <w:szCs w:val="21"/>
                    </w:rPr>
                  </w:pPr>
                  <w:r>
                    <w:rPr>
                      <w:szCs w:val="21"/>
                    </w:rPr>
                    <w:t>7.3</w:t>
                  </w:r>
                </w:p>
              </w:tc>
              <w:tc>
                <w:tcPr>
                  <w:tcW w:w="1541" w:type="dxa"/>
                  <w:vAlign w:val="center"/>
                </w:tcPr>
                <w:p>
                  <w:pPr>
                    <w:pStyle w:val="42"/>
                    <w:spacing w:line="276" w:lineRule="auto"/>
                    <w:rPr>
                      <w:szCs w:val="21"/>
                    </w:rPr>
                  </w:pPr>
                  <w:r>
                    <w:rPr>
                      <w:szCs w:val="21"/>
                    </w:rPr>
                    <w:t>依托厂区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42" w:type="dxa"/>
                  <w:vAlign w:val="center"/>
                </w:tcPr>
                <w:p>
                  <w:pPr>
                    <w:pStyle w:val="42"/>
                    <w:spacing w:line="276" w:lineRule="auto"/>
                    <w:rPr>
                      <w:szCs w:val="21"/>
                    </w:rPr>
                  </w:pPr>
                  <w:r>
                    <w:rPr>
                      <w:szCs w:val="21"/>
                    </w:rPr>
                    <w:t>8</w:t>
                  </w:r>
                </w:p>
              </w:tc>
              <w:tc>
                <w:tcPr>
                  <w:tcW w:w="2398" w:type="dxa"/>
                  <w:gridSpan w:val="2"/>
                  <w:vAlign w:val="center"/>
                </w:tcPr>
                <w:p>
                  <w:pPr>
                    <w:pStyle w:val="42"/>
                    <w:spacing w:line="276" w:lineRule="auto"/>
                    <w:rPr>
                      <w:szCs w:val="21"/>
                    </w:rPr>
                  </w:pPr>
                  <w:r>
                    <w:rPr>
                      <w:szCs w:val="21"/>
                    </w:rPr>
                    <w:t>压缩空气</w:t>
                  </w:r>
                </w:p>
              </w:tc>
              <w:tc>
                <w:tcPr>
                  <w:tcW w:w="1156" w:type="dxa"/>
                  <w:vAlign w:val="center"/>
                </w:tcPr>
                <w:p>
                  <w:pPr>
                    <w:pStyle w:val="42"/>
                    <w:spacing w:line="276" w:lineRule="auto"/>
                    <w:rPr>
                      <w:szCs w:val="21"/>
                    </w:rPr>
                  </w:pPr>
                  <w:r>
                    <w:rPr>
                      <w:szCs w:val="21"/>
                    </w:rPr>
                    <w:t>10</w:t>
                  </w:r>
                  <w:r>
                    <w:rPr>
                      <w:szCs w:val="21"/>
                      <w:vertAlign w:val="superscript"/>
                    </w:rPr>
                    <w:t>4</w:t>
                  </w:r>
                  <w:r>
                    <w:rPr>
                      <w:szCs w:val="21"/>
                    </w:rPr>
                    <w:t>m</w:t>
                  </w:r>
                  <w:r>
                    <w:rPr>
                      <w:szCs w:val="21"/>
                      <w:vertAlign w:val="superscript"/>
                    </w:rPr>
                    <w:t>3</w:t>
                  </w:r>
                  <w:r>
                    <w:rPr>
                      <w:snapToGrid w:val="0"/>
                      <w:szCs w:val="21"/>
                    </w:rPr>
                    <w:t>/a</w:t>
                  </w:r>
                </w:p>
              </w:tc>
              <w:tc>
                <w:tcPr>
                  <w:tcW w:w="1282" w:type="dxa"/>
                  <w:vAlign w:val="center"/>
                </w:tcPr>
                <w:p>
                  <w:pPr>
                    <w:pStyle w:val="42"/>
                    <w:spacing w:line="276" w:lineRule="auto"/>
                    <w:rPr>
                      <w:szCs w:val="21"/>
                    </w:rPr>
                  </w:pPr>
                  <w:r>
                    <w:rPr>
                      <w:szCs w:val="21"/>
                    </w:rPr>
                    <w:t>14.4</w:t>
                  </w:r>
                </w:p>
              </w:tc>
              <w:tc>
                <w:tcPr>
                  <w:tcW w:w="1541" w:type="dxa"/>
                  <w:vAlign w:val="center"/>
                </w:tcPr>
                <w:p>
                  <w:pPr>
                    <w:pStyle w:val="42"/>
                    <w:spacing w:line="276" w:lineRule="auto"/>
                    <w:rPr>
                      <w:szCs w:val="21"/>
                    </w:rPr>
                  </w:pPr>
                  <w:r>
                    <w:rPr>
                      <w:szCs w:val="21"/>
                    </w:rPr>
                    <w:t>14.4</w:t>
                  </w:r>
                </w:p>
              </w:tc>
              <w:tc>
                <w:tcPr>
                  <w:tcW w:w="1541" w:type="dxa"/>
                  <w:vAlign w:val="center"/>
                </w:tcPr>
                <w:p>
                  <w:pPr>
                    <w:pStyle w:val="42"/>
                    <w:spacing w:line="276" w:lineRule="auto"/>
                    <w:rPr>
                      <w:szCs w:val="21"/>
                    </w:rPr>
                  </w:pPr>
                  <w:r>
                    <w:rPr>
                      <w:szCs w:val="21"/>
                    </w:rPr>
                    <w:t>依托厂区</w:t>
                  </w:r>
                </w:p>
              </w:tc>
            </w:tr>
          </w:tbl>
          <w:p>
            <w:pPr>
              <w:pStyle w:val="32"/>
              <w:ind w:firstLine="720" w:firstLineChars="300"/>
              <w:rPr>
                <w:sz w:val="24"/>
                <w:szCs w:val="24"/>
              </w:rPr>
            </w:pPr>
            <w:r>
              <w:rPr>
                <w:sz w:val="24"/>
                <w:szCs w:val="24"/>
              </w:rPr>
              <w:t>注：锅炉的燃烧工况：设计工况为高炉煤气100%、转炉煤气0，焦炉煤气0；校核工况1为高炉煤气70%、转炉煤气30%，焦炉煤气0；校核工况2为高炉煤气70%、转炉煤气0，焦炉煤气30%。</w:t>
            </w: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r>
              <w:rPr>
                <w:sz w:val="24"/>
                <w:szCs w:val="24"/>
              </w:rPr>
              <w:t>本项目使用的燃气锅炉燃气介质高炉煤气、转炉煤气、焦炉煤气成分见下表。</w:t>
            </w:r>
          </w:p>
          <w:p>
            <w:pPr>
              <w:pStyle w:val="32"/>
              <w:ind w:left="2" w:leftChars="-5" w:hanging="12" w:hangingChars="5"/>
              <w:jc w:val="center"/>
              <w:rPr>
                <w:sz w:val="24"/>
                <w:szCs w:val="24"/>
              </w:rPr>
            </w:pPr>
            <w:r>
              <w:rPr>
                <w:sz w:val="24"/>
                <w:szCs w:val="24"/>
              </w:rPr>
              <w:t>表</w:t>
            </w:r>
            <w:r>
              <w:rPr>
                <w:rFonts w:hint="eastAsia"/>
                <w:sz w:val="24"/>
                <w:szCs w:val="24"/>
              </w:rPr>
              <w:t>9</w:t>
            </w:r>
            <w:r>
              <w:rPr>
                <w:sz w:val="24"/>
                <w:szCs w:val="24"/>
              </w:rPr>
              <w:t xml:space="preserve">  燃气锅炉燃气介质成分参数一览表</w:t>
            </w:r>
          </w:p>
          <w:tbl>
            <w:tblPr>
              <w:tblStyle w:val="21"/>
              <w:tblW w:w="85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7"/>
              <w:gridCol w:w="1432"/>
              <w:gridCol w:w="1746"/>
              <w:gridCol w:w="1158"/>
              <w:gridCol w:w="1163"/>
              <w:gridCol w:w="11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3299" w:type="dxa"/>
                  <w:gridSpan w:val="2"/>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pStyle w:val="43"/>
                    <w:spacing w:before="36" w:line="276" w:lineRule="auto"/>
                    <w:ind w:left="-69" w:right="-61"/>
                    <w:rPr>
                      <w:rFonts w:ascii="Times New Roman" w:hAnsi="Times New Roman"/>
                      <w:b/>
                      <w:bCs/>
                    </w:rPr>
                  </w:pPr>
                  <w:r>
                    <w:rPr>
                      <w:rFonts w:ascii="Times New Roman" w:hAnsi="Times New Roman"/>
                      <w:b/>
                      <w:bCs/>
                    </w:rPr>
                    <w:t>项目</w:t>
                  </w:r>
                </w:p>
              </w:tc>
              <w:tc>
                <w:tcPr>
                  <w:tcW w:w="1746" w:type="dxa"/>
                  <w:vMerge w:val="restart"/>
                  <w:tcBorders>
                    <w:top w:val="single" w:color="auto" w:sz="4" w:space="0"/>
                    <w:left w:val="nil"/>
                    <w:bottom w:val="single" w:color="auto" w:sz="4" w:space="0"/>
                    <w:right w:val="single" w:color="auto" w:sz="4" w:space="0"/>
                  </w:tcBorders>
                  <w:shd w:val="clear" w:color="auto" w:fill="FFFFFF"/>
                  <w:vAlign w:val="center"/>
                </w:tcPr>
                <w:p>
                  <w:pPr>
                    <w:pStyle w:val="43"/>
                    <w:spacing w:before="36" w:line="276" w:lineRule="auto"/>
                    <w:ind w:left="-69" w:right="-61"/>
                    <w:rPr>
                      <w:rFonts w:ascii="Times New Roman" w:hAnsi="Times New Roman"/>
                      <w:b/>
                      <w:bCs/>
                    </w:rPr>
                  </w:pPr>
                  <w:r>
                    <w:rPr>
                      <w:rFonts w:ascii="Times New Roman" w:hAnsi="Times New Roman"/>
                      <w:b/>
                      <w:bCs/>
                    </w:rPr>
                    <w:t>单位</w:t>
                  </w:r>
                </w:p>
              </w:tc>
              <w:tc>
                <w:tcPr>
                  <w:tcW w:w="3479" w:type="dxa"/>
                  <w:gridSpan w:val="3"/>
                  <w:tcBorders>
                    <w:top w:val="single" w:color="auto" w:sz="4" w:space="0"/>
                    <w:left w:val="nil"/>
                    <w:bottom w:val="single" w:color="auto" w:sz="4" w:space="0"/>
                    <w:right w:val="single" w:color="auto" w:sz="4" w:space="0"/>
                  </w:tcBorders>
                  <w:shd w:val="clear" w:color="auto" w:fill="FFFFFF"/>
                  <w:vAlign w:val="center"/>
                </w:tcPr>
                <w:p>
                  <w:pPr>
                    <w:pStyle w:val="43"/>
                    <w:spacing w:before="36" w:line="276" w:lineRule="auto"/>
                    <w:ind w:left="-69" w:right="-61"/>
                    <w:rPr>
                      <w:rFonts w:ascii="Times New Roman" w:hAnsi="Times New Roman"/>
                      <w:b/>
                      <w:bCs/>
                    </w:rPr>
                  </w:pPr>
                  <w:r>
                    <w:rPr>
                      <w:rFonts w:ascii="Times New Roman" w:hAnsi="Times New Roman"/>
                      <w:b/>
                      <w:bCs/>
                    </w:rPr>
                    <w:t>数值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3299"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43"/>
                    <w:spacing w:before="36" w:line="276" w:lineRule="auto"/>
                    <w:ind w:left="-69" w:right="-61"/>
                    <w:rPr>
                      <w:rFonts w:ascii="Times New Roman" w:hAnsi="Times New Roman"/>
                      <w:b/>
                      <w:bCs/>
                    </w:rPr>
                  </w:pPr>
                </w:p>
              </w:tc>
              <w:tc>
                <w:tcPr>
                  <w:tcW w:w="1746" w:type="dxa"/>
                  <w:vMerge w:val="continue"/>
                  <w:tcBorders>
                    <w:top w:val="single" w:color="auto" w:sz="4" w:space="0"/>
                    <w:left w:val="nil"/>
                    <w:bottom w:val="single" w:color="auto" w:sz="4" w:space="0"/>
                    <w:right w:val="single" w:color="auto" w:sz="4" w:space="0"/>
                  </w:tcBorders>
                  <w:shd w:val="clear" w:color="auto" w:fill="auto"/>
                  <w:vAlign w:val="center"/>
                </w:tcPr>
                <w:p>
                  <w:pPr>
                    <w:pStyle w:val="43"/>
                    <w:spacing w:before="36" w:line="276" w:lineRule="auto"/>
                    <w:ind w:left="-69" w:right="-61"/>
                    <w:rPr>
                      <w:rFonts w:ascii="Times New Roman" w:hAnsi="Times New Roman"/>
                      <w:b/>
                      <w:bCs/>
                    </w:rPr>
                  </w:pPr>
                </w:p>
              </w:tc>
              <w:tc>
                <w:tcPr>
                  <w:tcW w:w="1158" w:type="dxa"/>
                  <w:tcBorders>
                    <w:top w:val="single" w:color="auto" w:sz="4" w:space="0"/>
                    <w:left w:val="nil"/>
                    <w:bottom w:val="single" w:color="auto" w:sz="4" w:space="0"/>
                    <w:right w:val="single" w:color="auto" w:sz="4" w:space="0"/>
                  </w:tcBorders>
                  <w:shd w:val="clear" w:color="auto" w:fill="FFFFFF"/>
                  <w:vAlign w:val="center"/>
                </w:tcPr>
                <w:p>
                  <w:pPr>
                    <w:pStyle w:val="43"/>
                    <w:spacing w:before="36" w:line="276" w:lineRule="auto"/>
                    <w:ind w:left="-69" w:right="-61"/>
                    <w:rPr>
                      <w:rFonts w:ascii="Times New Roman" w:hAnsi="Times New Roman"/>
                      <w:b/>
                      <w:bCs/>
                    </w:rPr>
                  </w:pPr>
                  <w:r>
                    <w:rPr>
                      <w:rFonts w:ascii="Times New Roman" w:hAnsi="Times New Roman"/>
                      <w:b/>
                      <w:bCs/>
                    </w:rPr>
                    <w:t>高炉煤气</w:t>
                  </w:r>
                </w:p>
              </w:tc>
              <w:tc>
                <w:tcPr>
                  <w:tcW w:w="1163" w:type="dxa"/>
                  <w:tcBorders>
                    <w:top w:val="single" w:color="auto" w:sz="4" w:space="0"/>
                    <w:left w:val="nil"/>
                    <w:bottom w:val="single" w:color="auto" w:sz="4" w:space="0"/>
                    <w:right w:val="single" w:color="auto" w:sz="4" w:space="0"/>
                  </w:tcBorders>
                  <w:shd w:val="clear" w:color="auto" w:fill="FFFFFF"/>
                  <w:vAlign w:val="center"/>
                </w:tcPr>
                <w:p>
                  <w:pPr>
                    <w:pStyle w:val="43"/>
                    <w:spacing w:before="36" w:line="276" w:lineRule="auto"/>
                    <w:ind w:left="-69" w:right="-61"/>
                    <w:rPr>
                      <w:rFonts w:ascii="Times New Roman" w:hAnsi="Times New Roman"/>
                      <w:b/>
                      <w:bCs/>
                    </w:rPr>
                  </w:pPr>
                  <w:r>
                    <w:rPr>
                      <w:rFonts w:ascii="Times New Roman" w:hAnsi="Times New Roman"/>
                      <w:b/>
                      <w:bCs/>
                    </w:rPr>
                    <w:t>转炉煤气</w:t>
                  </w:r>
                </w:p>
              </w:tc>
              <w:tc>
                <w:tcPr>
                  <w:tcW w:w="1158" w:type="dxa"/>
                  <w:tcBorders>
                    <w:top w:val="single" w:color="auto" w:sz="4" w:space="0"/>
                    <w:left w:val="nil"/>
                    <w:bottom w:val="single" w:color="auto" w:sz="4" w:space="0"/>
                    <w:right w:val="single" w:color="auto" w:sz="4" w:space="0"/>
                  </w:tcBorders>
                  <w:shd w:val="clear" w:color="auto" w:fill="FFFFFF"/>
                  <w:vAlign w:val="center"/>
                </w:tcPr>
                <w:p>
                  <w:pPr>
                    <w:pStyle w:val="43"/>
                    <w:spacing w:before="36" w:line="276" w:lineRule="auto"/>
                    <w:ind w:left="-69" w:right="-61"/>
                    <w:rPr>
                      <w:rFonts w:ascii="Times New Roman" w:hAnsi="Times New Roman"/>
                      <w:b/>
                      <w:bCs/>
                    </w:rPr>
                  </w:pPr>
                  <w:r>
                    <w:rPr>
                      <w:rFonts w:ascii="Times New Roman" w:hAnsi="Times New Roman"/>
                      <w:b/>
                      <w:bCs/>
                    </w:rPr>
                    <w:t>焦炉煤气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67" w:type="dxa"/>
                  <w:vMerge w:val="restart"/>
                  <w:tcBorders>
                    <w:top w:val="nil"/>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煤气成份及份额</w:t>
                  </w:r>
                </w:p>
                <w:p>
                  <w:pPr>
                    <w:pStyle w:val="43"/>
                    <w:spacing w:before="36" w:line="276" w:lineRule="auto"/>
                    <w:ind w:left="-69" w:right="-61"/>
                    <w:rPr>
                      <w:rFonts w:ascii="Times New Roman" w:hAnsi="Times New Roman"/>
                    </w:rPr>
                  </w:pPr>
                  <w:r>
                    <w:rPr>
                      <w:rFonts w:ascii="Times New Roman" w:hAnsi="Times New Roman"/>
                    </w:rPr>
                    <w:t>（干煤气）</w:t>
                  </w:r>
                </w:p>
              </w:tc>
              <w:tc>
                <w:tcPr>
                  <w:tcW w:w="1432"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N</w:t>
                  </w:r>
                  <w:r>
                    <w:rPr>
                      <w:rFonts w:ascii="Times New Roman" w:hAnsi="Times New Roman"/>
                      <w:vertAlign w:val="subscript"/>
                    </w:rPr>
                    <w:t>2</w:t>
                  </w:r>
                </w:p>
              </w:tc>
              <w:tc>
                <w:tcPr>
                  <w:tcW w:w="1746" w:type="dxa"/>
                  <w:vMerge w:val="restart"/>
                  <w:tcBorders>
                    <w:top w:val="single" w:color="auto" w:sz="4" w:space="0"/>
                    <w:left w:val="nil"/>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V%</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57.42</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20.1</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67" w:type="dxa"/>
                  <w:vMerge w:val="continue"/>
                  <w:tcBorders>
                    <w:top w:val="nil"/>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p>
              </w:tc>
              <w:tc>
                <w:tcPr>
                  <w:tcW w:w="1432"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H</w:t>
                  </w:r>
                  <w:r>
                    <w:rPr>
                      <w:rFonts w:ascii="Times New Roman" w:hAnsi="Times New Roman"/>
                      <w:vertAlign w:val="subscript"/>
                    </w:rPr>
                    <w:t>2</w:t>
                  </w:r>
                </w:p>
              </w:tc>
              <w:tc>
                <w:tcPr>
                  <w:tcW w:w="1746" w:type="dxa"/>
                  <w:vMerge w:val="continue"/>
                  <w:tcBorders>
                    <w:left w:val="nil"/>
                    <w:right w:val="single" w:color="auto" w:sz="4" w:space="0"/>
                  </w:tcBorders>
                  <w:vAlign w:val="center"/>
                </w:tcPr>
                <w:p>
                  <w:pPr>
                    <w:pStyle w:val="43"/>
                    <w:spacing w:before="36" w:line="276" w:lineRule="auto"/>
                    <w:ind w:left="-69" w:right="-61"/>
                    <w:rPr>
                      <w:rFonts w:ascii="Times New Roman" w:hAnsi="Times New Roman"/>
                    </w:rPr>
                  </w:pP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2.29</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57.98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67" w:type="dxa"/>
                  <w:vMerge w:val="continue"/>
                  <w:tcBorders>
                    <w:top w:val="nil"/>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p>
              </w:tc>
              <w:tc>
                <w:tcPr>
                  <w:tcW w:w="1432"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O</w:t>
                  </w:r>
                  <w:r>
                    <w:rPr>
                      <w:rFonts w:ascii="Times New Roman" w:hAnsi="Times New Roman"/>
                      <w:vertAlign w:val="subscript"/>
                    </w:rPr>
                    <w:t>2</w:t>
                  </w:r>
                </w:p>
              </w:tc>
              <w:tc>
                <w:tcPr>
                  <w:tcW w:w="1746" w:type="dxa"/>
                  <w:vMerge w:val="continue"/>
                  <w:tcBorders>
                    <w:left w:val="nil"/>
                    <w:right w:val="single" w:color="auto" w:sz="4" w:space="0"/>
                  </w:tcBorders>
                  <w:vAlign w:val="center"/>
                </w:tcPr>
                <w:p>
                  <w:pPr>
                    <w:pStyle w:val="43"/>
                    <w:spacing w:before="36" w:line="276" w:lineRule="auto"/>
                    <w:ind w:left="-69" w:right="-61"/>
                    <w:rPr>
                      <w:rFonts w:ascii="Times New Roman" w:hAnsi="Times New Roman"/>
                    </w:rPr>
                  </w:pP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2.06</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0.6</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1.31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67" w:type="dxa"/>
                  <w:vMerge w:val="continue"/>
                  <w:tcBorders>
                    <w:top w:val="nil"/>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p>
              </w:tc>
              <w:tc>
                <w:tcPr>
                  <w:tcW w:w="1432"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CO</w:t>
                  </w:r>
                </w:p>
              </w:tc>
              <w:tc>
                <w:tcPr>
                  <w:tcW w:w="1746" w:type="dxa"/>
                  <w:vMerge w:val="continue"/>
                  <w:tcBorders>
                    <w:left w:val="nil"/>
                    <w:right w:val="single" w:color="auto" w:sz="4" w:space="0"/>
                  </w:tcBorders>
                  <w:vAlign w:val="center"/>
                </w:tcPr>
                <w:p>
                  <w:pPr>
                    <w:pStyle w:val="43"/>
                    <w:spacing w:before="36" w:line="276" w:lineRule="auto"/>
                    <w:ind w:left="-69" w:right="-61"/>
                    <w:rPr>
                      <w:rFonts w:ascii="Times New Roman" w:hAnsi="Times New Roman"/>
                    </w:rPr>
                  </w:pP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25.59</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58</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7.98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67" w:type="dxa"/>
                  <w:vMerge w:val="continue"/>
                  <w:tcBorders>
                    <w:top w:val="nil"/>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p>
              </w:tc>
              <w:tc>
                <w:tcPr>
                  <w:tcW w:w="1432"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CO</w:t>
                  </w:r>
                  <w:r>
                    <w:rPr>
                      <w:rFonts w:ascii="Times New Roman" w:hAnsi="Times New Roman"/>
                      <w:vertAlign w:val="subscript"/>
                    </w:rPr>
                    <w:t>2</w:t>
                  </w:r>
                </w:p>
              </w:tc>
              <w:tc>
                <w:tcPr>
                  <w:tcW w:w="1746" w:type="dxa"/>
                  <w:vMerge w:val="continue"/>
                  <w:tcBorders>
                    <w:left w:val="nil"/>
                    <w:right w:val="single" w:color="auto" w:sz="4" w:space="0"/>
                  </w:tcBorders>
                  <w:vAlign w:val="center"/>
                </w:tcPr>
                <w:p>
                  <w:pPr>
                    <w:pStyle w:val="43"/>
                    <w:spacing w:before="36" w:line="276" w:lineRule="auto"/>
                    <w:ind w:left="-69" w:right="-61"/>
                    <w:rPr>
                      <w:rFonts w:ascii="Times New Roman" w:hAnsi="Times New Roman"/>
                    </w:rPr>
                  </w:pP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12.62</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20.15</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67" w:type="dxa"/>
                  <w:vMerge w:val="continue"/>
                  <w:tcBorders>
                    <w:top w:val="nil"/>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p>
              </w:tc>
              <w:tc>
                <w:tcPr>
                  <w:tcW w:w="1432"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CH</w:t>
                  </w:r>
                  <w:r>
                    <w:rPr>
                      <w:rFonts w:ascii="Times New Roman" w:hAnsi="Times New Roman"/>
                      <w:vertAlign w:val="subscript"/>
                    </w:rPr>
                    <w:t>4</w:t>
                  </w:r>
                </w:p>
              </w:tc>
              <w:tc>
                <w:tcPr>
                  <w:tcW w:w="1746" w:type="dxa"/>
                  <w:vMerge w:val="continue"/>
                  <w:tcBorders>
                    <w:left w:val="nil"/>
                    <w:right w:val="single" w:color="auto" w:sz="4" w:space="0"/>
                  </w:tcBorders>
                  <w:vAlign w:val="center"/>
                </w:tcPr>
                <w:p>
                  <w:pPr>
                    <w:pStyle w:val="43"/>
                    <w:spacing w:before="36" w:line="276" w:lineRule="auto"/>
                    <w:ind w:left="-69" w:right="-61"/>
                    <w:rPr>
                      <w:rFonts w:ascii="Times New Roman" w:hAnsi="Times New Roman"/>
                    </w:rPr>
                  </w:pP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0.02</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1.15</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22.41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67" w:type="dxa"/>
                  <w:vMerge w:val="continue"/>
                  <w:tcBorders>
                    <w:top w:val="nil"/>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p>
              </w:tc>
              <w:tc>
                <w:tcPr>
                  <w:tcW w:w="1432"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C</w:t>
                  </w:r>
                  <w:r>
                    <w:rPr>
                      <w:rFonts w:ascii="Times New Roman" w:hAnsi="Times New Roman"/>
                      <w:vertAlign w:val="subscript"/>
                    </w:rPr>
                    <w:t xml:space="preserve">m </w:t>
                  </w:r>
                  <w:r>
                    <w:rPr>
                      <w:rFonts w:ascii="Times New Roman" w:hAnsi="Times New Roman"/>
                    </w:rPr>
                    <w:t>H</w:t>
                  </w:r>
                  <w:r>
                    <w:rPr>
                      <w:rFonts w:ascii="Times New Roman" w:hAnsi="Times New Roman"/>
                      <w:vertAlign w:val="subscript"/>
                    </w:rPr>
                    <w:t>n</w:t>
                  </w:r>
                </w:p>
              </w:tc>
              <w:tc>
                <w:tcPr>
                  <w:tcW w:w="1746" w:type="dxa"/>
                  <w:vMerge w:val="continue"/>
                  <w:tcBorders>
                    <w:left w:val="nil"/>
                    <w:bottom w:val="single" w:color="auto" w:sz="8" w:space="0"/>
                    <w:right w:val="single" w:color="auto" w:sz="4" w:space="0"/>
                  </w:tcBorders>
                  <w:vAlign w:val="center"/>
                </w:tcPr>
                <w:p>
                  <w:pPr>
                    <w:pStyle w:val="43"/>
                    <w:spacing w:before="36" w:line="276" w:lineRule="auto"/>
                    <w:ind w:left="-69" w:right="-61"/>
                    <w:rPr>
                      <w:rFonts w:ascii="Times New Roman" w:hAnsi="Times New Roman"/>
                    </w:rPr>
                  </w:pPr>
                </w:p>
              </w:tc>
              <w:tc>
                <w:tcPr>
                  <w:tcW w:w="1158" w:type="dxa"/>
                  <w:tcBorders>
                    <w:top w:val="single" w:color="auto" w:sz="4" w:space="0"/>
                    <w:left w:val="nil"/>
                    <w:bottom w:val="single" w:color="auto" w:sz="8"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1867" w:type="dxa"/>
                  <w:vMerge w:val="continue"/>
                  <w:tcBorders>
                    <w:top w:val="nil"/>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p>
              </w:tc>
              <w:tc>
                <w:tcPr>
                  <w:tcW w:w="1432"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低位发热值</w:t>
                  </w:r>
                </w:p>
              </w:tc>
              <w:tc>
                <w:tcPr>
                  <w:tcW w:w="1746" w:type="dxa"/>
                  <w:tcBorders>
                    <w:top w:val="single" w:color="auto" w:sz="8"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kJ/Nm</w:t>
                  </w:r>
                  <w:r>
                    <w:rPr>
                      <w:rFonts w:ascii="Times New Roman" w:hAnsi="Times New Roman"/>
                      <w:vertAlign w:val="superscript"/>
                    </w:rPr>
                    <w:t>3</w:t>
                  </w:r>
                </w:p>
              </w:tc>
              <w:tc>
                <w:tcPr>
                  <w:tcW w:w="1158" w:type="dxa"/>
                  <w:tcBorders>
                    <w:top w:val="single" w:color="auto" w:sz="8"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3250</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7215</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16310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3299" w:type="dxa"/>
                  <w:gridSpan w:val="2"/>
                  <w:tcBorders>
                    <w:top w:val="single" w:color="auto" w:sz="4" w:space="0"/>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供气压力</w:t>
                  </w:r>
                </w:p>
              </w:tc>
              <w:tc>
                <w:tcPr>
                  <w:tcW w:w="1746"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kPa</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7~15</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7~15</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3299" w:type="dxa"/>
                  <w:gridSpan w:val="2"/>
                  <w:tcBorders>
                    <w:top w:val="single" w:color="auto" w:sz="4" w:space="0"/>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供气温度</w:t>
                  </w:r>
                </w:p>
              </w:tc>
              <w:tc>
                <w:tcPr>
                  <w:tcW w:w="1746"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~40</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~40</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atLeast"/>
                <w:jc w:val="center"/>
              </w:trPr>
              <w:tc>
                <w:tcPr>
                  <w:tcW w:w="3299" w:type="dxa"/>
                  <w:gridSpan w:val="2"/>
                  <w:tcBorders>
                    <w:top w:val="single" w:color="auto" w:sz="4" w:space="0"/>
                    <w:left w:val="single" w:color="auto" w:sz="4" w:space="0"/>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含尘量</w:t>
                  </w:r>
                </w:p>
              </w:tc>
              <w:tc>
                <w:tcPr>
                  <w:tcW w:w="1746"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mg/Nm</w:t>
                  </w:r>
                  <w:r>
                    <w:rPr>
                      <w:rFonts w:ascii="Times New Roman" w:hAnsi="Times New Roman"/>
                      <w:vertAlign w:val="superscript"/>
                    </w:rPr>
                    <w:t>3</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≤10</w:t>
                  </w:r>
                </w:p>
              </w:tc>
              <w:tc>
                <w:tcPr>
                  <w:tcW w:w="1163"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≤10</w:t>
                  </w:r>
                </w:p>
              </w:tc>
              <w:tc>
                <w:tcPr>
                  <w:tcW w:w="1158" w:type="dxa"/>
                  <w:tcBorders>
                    <w:top w:val="single" w:color="auto" w:sz="4" w:space="0"/>
                    <w:left w:val="nil"/>
                    <w:bottom w:val="single" w:color="auto" w:sz="4" w:space="0"/>
                    <w:right w:val="single" w:color="auto" w:sz="4" w:space="0"/>
                  </w:tcBorders>
                  <w:vAlign w:val="center"/>
                </w:tcPr>
                <w:p>
                  <w:pPr>
                    <w:pStyle w:val="43"/>
                    <w:spacing w:before="36" w:line="276" w:lineRule="auto"/>
                    <w:ind w:left="-69" w:right="-61"/>
                    <w:rPr>
                      <w:rFonts w:ascii="Times New Roman" w:hAnsi="Times New Roman"/>
                    </w:rPr>
                  </w:pPr>
                  <w:r>
                    <w:rPr>
                      <w:rFonts w:ascii="Times New Roman" w:hAnsi="Times New Roman"/>
                    </w:rPr>
                    <w:t>≤10</w:t>
                  </w:r>
                </w:p>
              </w:tc>
            </w:tr>
          </w:tbl>
          <w:p>
            <w:pPr>
              <w:pStyle w:val="32"/>
              <w:ind w:left="-10" w:leftChars="-5" w:firstLine="480" w:firstLineChars="200"/>
              <w:rPr>
                <w:sz w:val="24"/>
                <w:szCs w:val="24"/>
              </w:rPr>
            </w:pPr>
          </w:p>
          <w:p>
            <w:pPr>
              <w:pStyle w:val="32"/>
              <w:ind w:left="-10" w:leftChars="-5" w:firstLine="480" w:firstLineChars="200"/>
              <w:rPr>
                <w:sz w:val="24"/>
                <w:szCs w:val="24"/>
              </w:rPr>
            </w:pPr>
            <w:r>
              <w:rPr>
                <w:sz w:val="24"/>
                <w:szCs w:val="24"/>
              </w:rPr>
              <w:t>本项目使用的脱硫剂石灰石成分见下表。</w:t>
            </w:r>
          </w:p>
          <w:p>
            <w:pPr>
              <w:pStyle w:val="32"/>
              <w:jc w:val="center"/>
              <w:rPr>
                <w:sz w:val="24"/>
                <w:szCs w:val="24"/>
              </w:rPr>
            </w:pPr>
            <w:r>
              <w:rPr>
                <w:sz w:val="24"/>
                <w:szCs w:val="24"/>
              </w:rPr>
              <w:t>表</w:t>
            </w:r>
            <w:r>
              <w:rPr>
                <w:rFonts w:hint="eastAsia"/>
                <w:sz w:val="24"/>
                <w:szCs w:val="24"/>
              </w:rPr>
              <w:t>10</w:t>
            </w:r>
            <w:r>
              <w:rPr>
                <w:sz w:val="24"/>
                <w:szCs w:val="24"/>
              </w:rPr>
              <w:t xml:space="preserve">  石灰石成分一览表</w:t>
            </w:r>
          </w:p>
          <w:tbl>
            <w:tblPr>
              <w:tblStyle w:val="21"/>
              <w:tblW w:w="7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702"/>
              <w:gridCol w:w="1702"/>
              <w:gridCol w:w="1415"/>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60" w:type="dxa"/>
                  <w:vAlign w:val="center"/>
                </w:tcPr>
                <w:p>
                  <w:pPr>
                    <w:pStyle w:val="42"/>
                    <w:spacing w:line="276" w:lineRule="auto"/>
                    <w:rPr>
                      <w:szCs w:val="21"/>
                    </w:rPr>
                  </w:pPr>
                  <w:r>
                    <w:rPr>
                      <w:szCs w:val="21"/>
                    </w:rPr>
                    <w:t>成分</w:t>
                  </w:r>
                </w:p>
              </w:tc>
              <w:tc>
                <w:tcPr>
                  <w:tcW w:w="1702" w:type="dxa"/>
                  <w:vAlign w:val="center"/>
                </w:tcPr>
                <w:p>
                  <w:pPr>
                    <w:pStyle w:val="42"/>
                    <w:spacing w:line="276" w:lineRule="auto"/>
                    <w:rPr>
                      <w:szCs w:val="21"/>
                    </w:rPr>
                  </w:pPr>
                  <w:r>
                    <w:rPr>
                      <w:szCs w:val="21"/>
                    </w:rPr>
                    <w:t>CaO</w:t>
                  </w:r>
                </w:p>
              </w:tc>
              <w:tc>
                <w:tcPr>
                  <w:tcW w:w="1702" w:type="dxa"/>
                  <w:vAlign w:val="center"/>
                </w:tcPr>
                <w:p>
                  <w:pPr>
                    <w:pStyle w:val="42"/>
                    <w:spacing w:line="276" w:lineRule="auto"/>
                    <w:rPr>
                      <w:szCs w:val="21"/>
                    </w:rPr>
                  </w:pPr>
                  <w:r>
                    <w:rPr>
                      <w:szCs w:val="21"/>
                    </w:rPr>
                    <w:t>MgO</w:t>
                  </w:r>
                </w:p>
              </w:tc>
              <w:tc>
                <w:tcPr>
                  <w:tcW w:w="1415" w:type="dxa"/>
                  <w:vAlign w:val="center"/>
                </w:tcPr>
                <w:p>
                  <w:pPr>
                    <w:pStyle w:val="42"/>
                    <w:spacing w:line="276" w:lineRule="auto"/>
                    <w:rPr>
                      <w:szCs w:val="21"/>
                    </w:rPr>
                  </w:pPr>
                  <w:r>
                    <w:rPr>
                      <w:szCs w:val="21"/>
                    </w:rPr>
                    <w:t>细度</w:t>
                  </w:r>
                </w:p>
              </w:tc>
              <w:tc>
                <w:tcPr>
                  <w:tcW w:w="1560" w:type="dxa"/>
                  <w:vAlign w:val="center"/>
                </w:tcPr>
                <w:p>
                  <w:pPr>
                    <w:pStyle w:val="42"/>
                    <w:spacing w:line="276" w:lineRule="auto"/>
                    <w:rPr>
                      <w:szCs w:val="21"/>
                    </w:rPr>
                  </w:pPr>
                  <w:r>
                    <w:rPr>
                      <w:szCs w:val="21"/>
                    </w:rPr>
                    <w:t>筛余量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60" w:type="dxa"/>
                  <w:vAlign w:val="center"/>
                </w:tcPr>
                <w:p>
                  <w:pPr>
                    <w:pStyle w:val="42"/>
                    <w:spacing w:line="276" w:lineRule="auto"/>
                    <w:rPr>
                      <w:szCs w:val="21"/>
                    </w:rPr>
                  </w:pPr>
                  <w:r>
                    <w:rPr>
                      <w:szCs w:val="21"/>
                    </w:rPr>
                    <w:t>石灰石</w:t>
                  </w:r>
                </w:p>
              </w:tc>
              <w:tc>
                <w:tcPr>
                  <w:tcW w:w="1702" w:type="dxa"/>
                  <w:vAlign w:val="center"/>
                </w:tcPr>
                <w:p>
                  <w:pPr>
                    <w:pStyle w:val="42"/>
                    <w:spacing w:line="276" w:lineRule="auto"/>
                    <w:rPr>
                      <w:szCs w:val="21"/>
                    </w:rPr>
                  </w:pPr>
                  <w:r>
                    <w:rPr>
                      <w:szCs w:val="21"/>
                    </w:rPr>
                    <w:t>&gt; 50％</w:t>
                  </w:r>
                </w:p>
              </w:tc>
              <w:tc>
                <w:tcPr>
                  <w:tcW w:w="1702" w:type="dxa"/>
                  <w:vAlign w:val="center"/>
                </w:tcPr>
                <w:p>
                  <w:pPr>
                    <w:pStyle w:val="42"/>
                    <w:spacing w:line="276" w:lineRule="auto"/>
                    <w:rPr>
                      <w:szCs w:val="21"/>
                    </w:rPr>
                  </w:pPr>
                  <w:r>
                    <w:rPr>
                      <w:szCs w:val="21"/>
                    </w:rPr>
                    <w:t>≤2%</w:t>
                  </w:r>
                </w:p>
              </w:tc>
              <w:tc>
                <w:tcPr>
                  <w:tcW w:w="1415" w:type="dxa"/>
                  <w:vAlign w:val="center"/>
                </w:tcPr>
                <w:p>
                  <w:pPr>
                    <w:pStyle w:val="42"/>
                    <w:spacing w:line="276" w:lineRule="auto"/>
                    <w:rPr>
                      <w:szCs w:val="21"/>
                    </w:rPr>
                  </w:pPr>
                  <w:r>
                    <w:rPr>
                      <w:szCs w:val="21"/>
                    </w:rPr>
                    <w:t>250目</w:t>
                  </w:r>
                </w:p>
              </w:tc>
              <w:tc>
                <w:tcPr>
                  <w:tcW w:w="1560" w:type="dxa"/>
                  <w:vAlign w:val="center"/>
                </w:tcPr>
                <w:p>
                  <w:pPr>
                    <w:pStyle w:val="42"/>
                    <w:spacing w:line="276" w:lineRule="auto"/>
                    <w:rPr>
                      <w:szCs w:val="21"/>
                    </w:rPr>
                  </w:pPr>
                  <w:r>
                    <w:rPr>
                      <w:szCs w:val="21"/>
                    </w:rPr>
                    <w:t>≤5％</w:t>
                  </w:r>
                </w:p>
              </w:tc>
            </w:tr>
          </w:tbl>
          <w:p>
            <w:pPr>
              <w:pStyle w:val="32"/>
              <w:jc w:val="center"/>
              <w:rPr>
                <w:sz w:val="24"/>
                <w:szCs w:val="24"/>
              </w:rPr>
            </w:pPr>
          </w:p>
          <w:p>
            <w:pPr>
              <w:pStyle w:val="32"/>
              <w:rPr>
                <w:b/>
                <w:bCs/>
                <w:sz w:val="24"/>
                <w:szCs w:val="24"/>
              </w:rPr>
            </w:pPr>
            <w:r>
              <w:rPr>
                <w:b/>
                <w:bCs/>
                <w:sz w:val="24"/>
                <w:szCs w:val="24"/>
              </w:rPr>
              <w:t>2、水平衡</w:t>
            </w:r>
          </w:p>
          <w:p>
            <w:pPr>
              <w:pStyle w:val="32"/>
              <w:ind w:firstLine="480" w:firstLineChars="200"/>
              <w:rPr>
                <w:sz w:val="24"/>
                <w:szCs w:val="24"/>
              </w:rPr>
            </w:pPr>
            <w:r>
              <w:rPr>
                <w:sz w:val="24"/>
                <w:szCs w:val="24"/>
              </w:rPr>
              <w:t>（1）给水</w:t>
            </w:r>
          </w:p>
          <w:p>
            <w:pPr>
              <w:pStyle w:val="32"/>
              <w:ind w:firstLine="480" w:firstLineChars="200"/>
              <w:rPr>
                <w:sz w:val="24"/>
                <w:szCs w:val="24"/>
              </w:rPr>
            </w:pPr>
            <w:r>
              <w:rPr>
                <w:sz w:val="24"/>
                <w:szCs w:val="24"/>
              </w:rPr>
              <w:t>本项目总用水量为274.07m³/h，包括生产用水和生活用水，由太钢能源动力总厂统一提供。生产用水中锅炉补水为除盐水，就近从太钢除盐水管网引接。</w:t>
            </w:r>
          </w:p>
          <w:p>
            <w:pPr>
              <w:pStyle w:val="32"/>
              <w:ind w:firstLine="480" w:firstLineChars="200"/>
              <w:rPr>
                <w:sz w:val="24"/>
                <w:szCs w:val="24"/>
              </w:rPr>
            </w:pPr>
            <w:r>
              <w:rPr>
                <w:sz w:val="24"/>
                <w:szCs w:val="24"/>
              </w:rPr>
              <w:t>本项目生产总用水量为274m³/h，其中锅炉补水量254m³/h；本项目汽轮机凝汽系统采用直接空冷系统，给水泵电机、辅机设备冷却采用闭式循环系统带蒸发冷却器的二次循环冷却方案，冷却循环用水量1500m³/h，冷却循环补水量为10m³/h；主厂房辅助工艺用水量为10m³/h。</w:t>
            </w:r>
          </w:p>
          <w:p>
            <w:pPr>
              <w:pStyle w:val="32"/>
              <w:ind w:firstLine="480" w:firstLineChars="200"/>
              <w:rPr>
                <w:sz w:val="24"/>
                <w:szCs w:val="24"/>
              </w:rPr>
            </w:pPr>
            <w:r>
              <w:rPr>
                <w:sz w:val="24"/>
                <w:szCs w:val="24"/>
              </w:rPr>
              <w:t>本项目生产人员有28人，生活总用水量为0.07m³/h。</w:t>
            </w:r>
          </w:p>
          <w:p>
            <w:pPr>
              <w:pStyle w:val="32"/>
              <w:ind w:firstLine="480" w:firstLineChars="200"/>
              <w:rPr>
                <w:sz w:val="24"/>
                <w:szCs w:val="24"/>
              </w:rPr>
            </w:pPr>
            <w:r>
              <w:rPr>
                <w:sz w:val="24"/>
                <w:szCs w:val="24"/>
              </w:rPr>
              <w:t>（2）排水</w:t>
            </w:r>
          </w:p>
          <w:p>
            <w:pPr>
              <w:pStyle w:val="32"/>
              <w:ind w:firstLine="480" w:firstLineChars="200"/>
              <w:rPr>
                <w:sz w:val="24"/>
                <w:szCs w:val="24"/>
              </w:rPr>
            </w:pPr>
            <w:r>
              <w:rPr>
                <w:sz w:val="24"/>
                <w:szCs w:val="24"/>
              </w:rPr>
              <w:t>本项目总排水量为80.06m³/h。</w:t>
            </w:r>
          </w:p>
          <w:p>
            <w:pPr>
              <w:pStyle w:val="32"/>
              <w:ind w:firstLine="480" w:firstLineChars="200"/>
              <w:rPr>
                <w:sz w:val="24"/>
                <w:szCs w:val="24"/>
              </w:rPr>
            </w:pPr>
            <w:r>
              <w:rPr>
                <w:sz w:val="24"/>
                <w:szCs w:val="24"/>
              </w:rPr>
              <w:t>本项目生产废水主要有锅炉排水、主厂房辅助工艺排水。总排水量为80m³/h，其中锅炉排水76m³/h，主厂房辅助工艺排水4m³/h。汽轮机凝结水全部收集于下部凝结水箱经凝结泵送入现有凝结水处理装置，不外排。</w:t>
            </w:r>
          </w:p>
          <w:p>
            <w:pPr>
              <w:pStyle w:val="32"/>
              <w:ind w:firstLine="480" w:firstLineChars="200"/>
              <w:rPr>
                <w:sz w:val="24"/>
                <w:szCs w:val="24"/>
              </w:rPr>
            </w:pPr>
            <w:r>
              <w:rPr>
                <w:sz w:val="24"/>
                <w:szCs w:val="24"/>
              </w:rPr>
              <w:t>本项目生活污水排水量0.06m³/h。</w:t>
            </w:r>
          </w:p>
          <w:p>
            <w:pPr>
              <w:pStyle w:val="32"/>
              <w:ind w:firstLine="480" w:firstLineChars="200"/>
              <w:rPr>
                <w:sz w:val="24"/>
                <w:szCs w:val="24"/>
              </w:rPr>
            </w:pPr>
            <w:r>
              <w:rPr>
                <w:sz w:val="24"/>
                <w:szCs w:val="24"/>
              </w:rPr>
              <w:t>生产废水经收集后与生活污水排入全厂排水管网最后进入太钢污水处理厂统一处理。</w:t>
            </w:r>
          </w:p>
          <w:p>
            <w:pPr>
              <w:pStyle w:val="32"/>
              <w:ind w:firstLine="480" w:firstLineChars="200"/>
              <w:rPr>
                <w:sz w:val="24"/>
                <w:szCs w:val="24"/>
              </w:rPr>
            </w:pPr>
            <w:r>
              <w:rPr>
                <w:sz w:val="24"/>
                <w:szCs w:val="24"/>
              </w:rPr>
              <w:t>本项目水平衡图如下所示。</w:t>
            </w:r>
          </w:p>
          <w:p>
            <w:pPr>
              <w:pStyle w:val="32"/>
              <w:ind w:left="2" w:leftChars="-5" w:hanging="12" w:hangingChars="5"/>
              <w:jc w:val="center"/>
              <w:rPr>
                <w:sz w:val="24"/>
                <w:szCs w:val="24"/>
              </w:rPr>
            </w:pPr>
            <w:r>
              <w:rPr>
                <w:rFonts w:ascii="Times New Roman" w:hAnsi="Times New Roman" w:eastAsia="宋体" w:cs="Times New Roman"/>
                <w:kern w:val="2"/>
                <w:sz w:val="24"/>
                <w:szCs w:val="24"/>
                <w:lang w:val="en-US" w:eastAsia="zh-CN" w:bidi="ar-SA"/>
              </w:rPr>
              <w:pict>
                <v:group id="Group 130" o:spid="_x0000_s1029" style="height:294.15pt;width:436.15pt;rotation:0f;" coordorigin="1965,1470" coordsize="8723,5883">
                  <o:lock v:ext="edit" position="f" selection="f" grouping="f" rotation="f" cropping="f"/>
                  <v:shape id="Picture 129" o:spid="_x0000_s1030" type="#_x0000_t75" style="position:absolute;left:1965;top:1470;height:5883;width:8723;rotation:0f;" o:ole="f" fillcolor="#FFFFFF" filled="f" o:preferrelative="f" stroked="f" coordorigin="0,0" coordsize="21600,21600">
                    <v:fill on="f" color2="#FFFFFF" focus="0%"/>
                    <v:imagedata gain="65536f" blacklevel="0f" gamma="0"/>
                    <o:lock v:ext="edit" position="f" selection="f" grouping="f" rotation="f" cropping="f" text="t" aspectratio="t"/>
                  </v:shape>
                  <v:shape id="Quad Arrow 168" o:spid="_x0000_s1031" type="#_x0000_t202" style="position:absolute;left:7984;top:3711;height:434;width:794;rotation:0f;" o:ole="f" fillcolor="#FFFFFF" filled="t" o:preferrelative="t" stroked="f" coordorigin="0,0" coordsize="21600,21600">
                    <v:imagedata gain="65536f" blacklevel="0f" gamma="0"/>
                    <o:lock v:ext="edit" position="f" selection="f" grouping="f" rotation="f" cropping="f" text="f" aspectratio="f"/>
                    <v:textbox>
                      <w:txbxContent>
                        <w:p>
                          <w:pPr>
                            <w:rPr>
                              <w:rFonts w:ascii="Times New Roman" w:hAnsi="Times New Roman" w:cs="Times New Roman"/>
                            </w:rPr>
                          </w:pPr>
                          <w:r>
                            <w:rPr>
                              <w:rFonts w:hint="eastAsia" w:ascii="Times New Roman" w:hAnsi="Times New Roman" w:cs="Times New Roman"/>
                            </w:rPr>
                            <w:t>80.06</w:t>
                          </w:r>
                        </w:p>
                      </w:txbxContent>
                    </v:textbox>
                  </v:shape>
                  <v:shape id="Quad Arrow 164" o:spid="_x0000_s1032" type="#_x0000_t202" style="position:absolute;left:5510;top:6245;height:434;width:725;rotation:0f;" o:ole="f" fillcolor="#FFFFFF" filled="t" o:preferrelative="t" stroked="f" coordorigin="0,0" coordsize="21600,21600">
                    <v:imagedata gain="65536f" blacklevel="0f" gamma="0"/>
                    <o:lock v:ext="edit" position="f" selection="f" grouping="f" rotation="f" cropping="f" text="f" aspectratio="f"/>
                    <v:textbox>
                      <w:txbxContent>
                        <w:p>
                          <w:pPr>
                            <w:rPr>
                              <w:rFonts w:ascii="Times New Roman" w:hAnsi="Times New Roman" w:cs="Times New Roman"/>
                            </w:rPr>
                          </w:pPr>
                          <w:r>
                            <w:rPr>
                              <w:rFonts w:hint="eastAsia" w:ascii="Times New Roman" w:hAnsi="Times New Roman" w:cs="Times New Roman"/>
                            </w:rPr>
                            <w:t>0.01</w:t>
                          </w:r>
                        </w:p>
                      </w:txbxContent>
                    </v:textbox>
                  </v:shape>
                  <v:shape id="Quad Arrow 162" o:spid="_x0000_s1033" type="#_x0000_t202" style="position:absolute;left:6095;top:5782;height:434;width:725;rotation:0f;" o:ole="f" fillcolor="#FFFFFF" filled="t" o:preferrelative="t" stroked="f" coordorigin="0,0" coordsize="21600,21600">
                    <v:imagedata gain="65536f" blacklevel="0f" gamma="0"/>
                    <o:lock v:ext="edit" position="f" selection="f" grouping="f" rotation="f" cropping="f" text="f" aspectratio="f"/>
                    <v:textbox>
                      <w:txbxContent>
                        <w:p>
                          <w:pPr>
                            <w:rPr>
                              <w:rFonts w:ascii="Times New Roman" w:hAnsi="Times New Roman" w:cs="Times New Roman"/>
                            </w:rPr>
                          </w:pPr>
                          <w:r>
                            <w:rPr>
                              <w:rFonts w:hint="eastAsia" w:ascii="Times New Roman" w:hAnsi="Times New Roman" w:cs="Times New Roman"/>
                            </w:rPr>
                            <w:t>0.06</w:t>
                          </w:r>
                        </w:p>
                      </w:txbxContent>
                    </v:textbox>
                  </v:shape>
                  <v:shape id="Quad Arrow 161" o:spid="_x0000_s1034" type="#_x0000_t202" style="position:absolute;left:3966;top:5761;height:434;width:725;rotation:0f;" o:ole="f" fillcolor="#FFFFFF" filled="t" o:preferrelative="t" stroked="f" coordorigin="0,0" coordsize="21600,21600">
                    <v:imagedata gain="65536f" blacklevel="0f" gamma="0"/>
                    <o:lock v:ext="edit" position="f" selection="f" grouping="f" rotation="f" cropping="f" text="f" aspectratio="f"/>
                    <v:textbox>
                      <w:txbxContent>
                        <w:p>
                          <w:pPr>
                            <w:rPr>
                              <w:rFonts w:ascii="Times New Roman" w:hAnsi="Times New Roman" w:cs="Times New Roman"/>
                            </w:rPr>
                          </w:pPr>
                          <w:r>
                            <w:rPr>
                              <w:rFonts w:hint="eastAsia" w:ascii="Times New Roman" w:hAnsi="Times New Roman" w:cs="Times New Roman"/>
                            </w:rPr>
                            <w:t>0.07</w:t>
                          </w:r>
                        </w:p>
                      </w:txbxContent>
                    </v:textbox>
                  </v:shape>
                  <v:shape id="Quad Arrow 160" o:spid="_x0000_s1035" type="#_x0000_t202" style="position:absolute;left:6051;top:4895;height:434;width:643;rotation:0f;" o:ole="f" fillcolor="#FFFFFF" filled="t" o:preferrelative="t" stroked="f" coordorigin="0,0" coordsize="21600,21600">
                    <v:imagedata gain="65536f" blacklevel="0f" gamma="0"/>
                    <o:lock v:ext="edit" position="f" selection="f" grouping="f" rotation="f" cropping="f" text="f" aspectratio="f"/>
                    <v:textbox>
                      <w:txbxContent>
                        <w:p>
                          <w:pPr>
                            <w:rPr>
                              <w:rFonts w:ascii="Times New Roman" w:hAnsi="Times New Roman" w:cs="Times New Roman"/>
                            </w:rPr>
                          </w:pPr>
                          <w:r>
                            <w:rPr>
                              <w:rFonts w:hint="eastAsia" w:ascii="Times New Roman" w:hAnsi="Times New Roman" w:cs="Times New Roman"/>
                            </w:rPr>
                            <w:t>178</w:t>
                          </w:r>
                        </w:p>
                      </w:txbxContent>
                    </v:textbox>
                  </v:shape>
                  <v:shape id="Quad Arrow 158" o:spid="_x0000_s1036" type="#_x0000_t202" style="position:absolute;left:6280;top:1671;height:434;width:643;rotation:0f;" o:ole="f" fillcolor="#FFFFFF" filled="t" o:preferrelative="t" stroked="f" coordorigin="0,0" coordsize="21600,21600">
                    <v:imagedata gain="65536f" blacklevel="0f" gamma="0"/>
                    <o:lock v:ext="edit" position="f" selection="f" grouping="f" rotation="f" cropping="f" text="f" aspectratio="f"/>
                    <v:textbox>
                      <w:txbxContent>
                        <w:p>
                          <w:pPr>
                            <w:jc w:val="center"/>
                            <w:rPr>
                              <w:rFonts w:ascii="Times New Roman" w:hAnsi="Times New Roman" w:cs="Times New Roman"/>
                            </w:rPr>
                          </w:pPr>
                          <w:r>
                            <w:rPr>
                              <w:rFonts w:hint="eastAsia" w:ascii="Times New Roman" w:hAnsi="Times New Roman" w:cs="Times New Roman"/>
                            </w:rPr>
                            <w:t>178</w:t>
                          </w:r>
                        </w:p>
                      </w:txbxContent>
                    </v:textbox>
                  </v:shape>
                  <v:shape id="Quad Arrow 153" o:spid="_x0000_s1037" type="#_x0000_t202" style="position:absolute;left:7225;top:4448;height:434;width:643;rotation:0f;" o:ole="f" fillcolor="#FFFFFF" filled="t" o:preferrelative="t" stroked="f" coordorigin="0,0" coordsize="21600,21600">
                    <v:imagedata gain="65536f" blacklevel="0f" gamma="0"/>
                    <o:lock v:ext="edit" position="f" selection="f" grouping="f" rotation="f" cropping="f" text="f" aspectratio="f"/>
                    <v:textbox>
                      <w:txbxContent>
                        <w:p>
                          <w:pPr>
                            <w:jc w:val="center"/>
                            <w:rPr>
                              <w:rFonts w:ascii="Times New Roman" w:hAnsi="Times New Roman" w:cs="Times New Roman"/>
                            </w:rPr>
                          </w:pPr>
                          <w:r>
                            <w:rPr>
                              <w:rFonts w:ascii="Times New Roman" w:hAnsi="Times New Roman" w:cs="Times New Roman"/>
                            </w:rPr>
                            <w:t>4</w:t>
                          </w:r>
                        </w:p>
                      </w:txbxContent>
                    </v:textbox>
                  </v:shape>
                  <v:shape id="Quad Arrow 152" o:spid="_x0000_s1038" type="#_x0000_t202" style="position:absolute;left:3997;top:4448;height:434;width:643;rotation:0f;" o:ole="f" fillcolor="#FFFFFF" filled="t" o:preferrelative="t" stroked="f" coordorigin="0,0" coordsize="21600,21600">
                    <v:imagedata gain="65536f" blacklevel="0f" gamma="0"/>
                    <o:lock v:ext="edit" position="f" selection="f" grouping="f" rotation="f" cropping="f" text="f" aspectratio="f"/>
                    <v:textbox>
                      <w:txbxContent>
                        <w:p>
                          <w:pPr>
                            <w:jc w:val="center"/>
                            <w:rPr>
                              <w:rFonts w:ascii="Times New Roman" w:hAnsi="Times New Roman" w:cs="Times New Roman"/>
                            </w:rPr>
                          </w:pPr>
                          <w:r>
                            <w:rPr>
                              <w:rFonts w:hint="eastAsia" w:ascii="Times New Roman" w:hAnsi="Times New Roman" w:cs="Times New Roman"/>
                            </w:rPr>
                            <w:t>10</w:t>
                          </w:r>
                        </w:p>
                      </w:txbxContent>
                    </v:textbox>
                  </v:shape>
                  <v:shape id="Quad Arrow 151" o:spid="_x0000_s1039" type="#_x0000_t202" style="position:absolute;left:6076;top:3660;height:434;width:819;rotation:0f;" o:ole="f" fillcolor="#FFFFFF" filled="t" o:preferrelative="t" stroked="f" coordorigin="0,0" coordsize="21600,21600">
                    <v:imagedata gain="65536f" blacklevel="0f" gamma="0"/>
                    <o:lock v:ext="edit" position="f" selection="f" grouping="f" rotation="f" cropping="f" text="f" aspectratio="f"/>
                    <v:textbox>
                      <w:txbxContent>
                        <w:p>
                          <w:pPr>
                            <w:jc w:val="center"/>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500</w:t>
                          </w:r>
                        </w:p>
                      </w:txbxContent>
                    </v:textbox>
                  </v:shape>
                  <v:shape id="Quad Arrow 147" o:spid="_x0000_s1040" type="#_x0000_t202" style="position:absolute;left:3907;top:3067;height:434;width:643;rotation:0f;" o:ole="f" fillcolor="#FFFFFF" filled="t" o:preferrelative="t" stroked="f" coordorigin="0,0" coordsize="21600,21600">
                    <v:imagedata gain="65536f" blacklevel="0f" gamma="0"/>
                    <o:lock v:ext="edit" position="f" selection="f" grouping="f" rotation="f" cropping="f" text="f" aspectratio="f"/>
                    <v:textbox>
                      <w:txbxContent>
                        <w:p>
                          <w:pPr>
                            <w:jc w:val="center"/>
                            <w:rPr>
                              <w:rFonts w:ascii="Times New Roman" w:hAnsi="Times New Roman" w:cs="Times New Roman"/>
                            </w:rPr>
                          </w:pPr>
                          <w:r>
                            <w:rPr>
                              <w:rFonts w:hint="eastAsia" w:ascii="Times New Roman" w:hAnsi="Times New Roman" w:cs="Times New Roman"/>
                            </w:rPr>
                            <w:t>10</w:t>
                          </w:r>
                        </w:p>
                      </w:txbxContent>
                    </v:textbox>
                  </v:shape>
                  <v:shape id="Quad Arrow 146" o:spid="_x0000_s1041" type="#_x0000_t202" style="position:absolute;left:7397;top:1953;height:434;width:643;rotation:0f;" o:ole="f" fillcolor="#FFFFFF" filled="t" o:preferrelative="t" stroked="f" coordorigin="0,0" coordsize="21600,21600">
                    <v:imagedata gain="65536f" blacklevel="0f" gamma="0"/>
                    <o:lock v:ext="edit" position="f" selection="f" grouping="f" rotation="f" cropping="f" text="f" aspectratio="f"/>
                    <v:textbox>
                      <w:txbxContent>
                        <w:p>
                          <w:pPr>
                            <w:jc w:val="center"/>
                            <w:rPr>
                              <w:rFonts w:ascii="Times New Roman" w:hAnsi="Times New Roman" w:cs="Times New Roman"/>
                            </w:rPr>
                          </w:pPr>
                          <w:r>
                            <w:rPr>
                              <w:rFonts w:ascii="Times New Roman" w:hAnsi="Times New Roman" w:cs="Times New Roman"/>
                            </w:rPr>
                            <w:t>76</w:t>
                          </w:r>
                        </w:p>
                      </w:txbxContent>
                    </v:textbox>
                  </v:shape>
                  <v:shape id="Quad Arrow 145" o:spid="_x0000_s1042" type="#_x0000_t202" style="position:absolute;left:3612;top:1903;height:434;width:643;rotation:0f;" o:ole="f" fillcolor="#FFFFFF" filled="t" o:preferrelative="t" stroked="f" coordorigin="0,0" coordsize="21600,21600">
                    <v:imagedata gain="65536f" blacklevel="0f" gamma="0"/>
                    <o:lock v:ext="edit" position="f" selection="f" grouping="f" rotation="f" cropping="f" text="f" aspectratio="f"/>
                    <v:textbox>
                      <w:txbxContent>
                        <w:p>
                          <w:pPr>
                            <w:jc w:val="center"/>
                            <w:rPr>
                              <w:rFonts w:ascii="Times New Roman" w:hAnsi="Times New Roman" w:cs="Times New Roman"/>
                            </w:rPr>
                          </w:pPr>
                          <w:r>
                            <w:rPr>
                              <w:rFonts w:ascii="Times New Roman" w:hAnsi="Times New Roman" w:cs="Times New Roman"/>
                            </w:rPr>
                            <w:t>254</w:t>
                          </w:r>
                        </w:p>
                      </w:txbxContent>
                    </v:textbox>
                  </v:shape>
                  <v:shape id="Quad Arrow 144" o:spid="_x0000_s1043" type="#_x0000_t202" style="position:absolute;left:2400;top:3711;height:434;width:1417;rotation:0f;" o:ole="f" fillcolor="#FFFFFF" filled="t" o:preferrelative="t" stroked="f" coordorigin="0,0" coordsize="21600,21600">
                    <v:imagedata gain="65536f" blacklevel="0f" gamma="0"/>
                    <o:lock v:ext="edit" position="f" selection="f" grouping="f" rotation="f" cropping="f" text="f" aspectratio="f"/>
                    <v:textbox>
                      <w:txbxContent>
                        <w:p>
                          <w:pPr>
                            <w:jc w:val="center"/>
                            <w:rPr>
                              <w:rFonts w:ascii="Times New Roman" w:hAnsi="Times New Roman" w:cs="Times New Roman"/>
                            </w:rPr>
                          </w:pPr>
                          <w:r>
                            <w:rPr>
                              <w:rFonts w:ascii="Times New Roman" w:hAnsi="Times New Roman" w:cs="Times New Roman"/>
                            </w:rPr>
                            <w:t>新水 274.07</w:t>
                          </w:r>
                        </w:p>
                      </w:txbxContent>
                    </v:textbox>
                  </v:shape>
                  <v:shape id="Straight Connector 131" o:spid="_x0000_s1044" type="#_x0000_t32" style="position:absolute;left:5546;top:2295;height:2;width:567;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Quad Arrow 132" o:spid="_x0000_s1045" type="#_x0000_t202" style="position:absolute;left:6095;top:2079;height:434;width:1169;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蒸汽锅炉</w:t>
                          </w:r>
                        </w:p>
                      </w:txbxContent>
                    </v:textbox>
                  </v:shape>
                  <v:shape id="Straight Connector 133" o:spid="_x0000_s1046" type="#_x0000_t32" style="position:absolute;left:7264;top:2306;height:3;width:850;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Quad Arrow 134" o:spid="_x0000_s1047" type="#_x0000_t202" style="position:absolute;left:4255;top:2063;height:434;width:1361;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除盐水管网</w:t>
                          </w:r>
                        </w:p>
                      </w:txbxContent>
                    </v:textbox>
                  </v:shape>
                  <v:shape id="Straight Connector 135" o:spid="_x0000_s1048" type="#_x0000_t32" style="position:absolute;left:3707;top:2266;height:2;width:567;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36" o:spid="_x0000_s1049" type="#_x0000_t32" style="position:absolute;left:3721;top:3416;height:2;width:1134;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37" o:spid="_x0000_s1050" type="#_x0000_t32" style="position:absolute;left:3721;top:2255;flip:x;height:3855;width:1;rotation:0f;"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v:shape id="Quad Arrow 138" o:spid="_x0000_s1051" type="#_x0000_t202" style="position:absolute;left:4855;top:3193;height:434;width:1366;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循环冷却水</w:t>
                          </w:r>
                        </w:p>
                      </w:txbxContent>
                    </v:textbox>
                  </v:shape>
                  <v:shape id="Quad Arrow 139" o:spid="_x0000_s1052" type="#_x0000_t202" style="position:absolute;left:4864;top:4545;height:434;width:2194;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pPr>
                          <w:r>
                            <w:t>主厂房</w:t>
                          </w:r>
                          <w:r>
                            <w:rPr>
                              <w:rFonts w:hint="eastAsia"/>
                            </w:rPr>
                            <w:t>辅助工艺用水</w:t>
                          </w:r>
                        </w:p>
                      </w:txbxContent>
                    </v:textbox>
                  </v:shape>
                  <v:shape id="Straight Connector 140" o:spid="_x0000_s1053" type="#_x0000_t32" style="position:absolute;left:3730;top:4765;height:2;width:1134;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41" o:spid="_x0000_s1054" type="#_x0000_t32" style="position:absolute;left:6221;top:3414;height:2;width:964;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42" o:spid="_x0000_s1055" type="#_x0000_t32" style="position:absolute;left:7058;top:4767;height:2;width:1020;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43" o:spid="_x0000_s1056" type="#_x0000_t32" style="position:absolute;left:2596;top:4075;height:2;width:1134;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48" o:spid="_x0000_s1057" type="#_x0000_t32" style="position:absolute;left:7172;top:3414;height:567;width:1;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49" o:spid="_x0000_s1058" type="#_x0000_t32" style="position:absolute;left:5476;top:3964;flip:x;height:1;width:1701;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50" o:spid="_x0000_s1059" type="#_x0000_t32" style="position:absolute;left:5510;top:3613;flip:x y;height:354;width:1;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54" o:spid="_x0000_s1060" type="#_x0000_t32" style="position:absolute;left:3707;top:6110;height:2;width:1134;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Quad Arrow 155" o:spid="_x0000_s1061" type="#_x0000_t202" style="position:absolute;left:4841;top:5893;height:434;width:1191;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生活用水</w:t>
                          </w:r>
                        </w:p>
                      </w:txbxContent>
                    </v:textbox>
                  </v:shape>
                  <v:shape id="Straight Connector 157" o:spid="_x0000_s1062" type="#_x0000_t32" style="position:absolute;left:6680;top:1671;flip:y;height:408;width:342;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59" o:spid="_x0000_s1063" type="#_x0000_t32" style="position:absolute;left:5961;top:4979;height:333;width:409;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63" o:spid="_x0000_s1064" type="#_x0000_t32" style="position:absolute;left:5427;top:6346;height:333;width:409;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65" o:spid="_x0000_s1065" type="#_x0000_t32" style="position:absolute;left:8100;top:2321;flip:x;height:3798;width:1;rotation:0f;"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v:shape id="Straight Connector 166" o:spid="_x0000_s1066" type="#_x0000_t32" style="position:absolute;left:8100;top:4021;height:2;width:624;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Quad Arrow 167" o:spid="_x0000_s1067" type="#_x0000_t202" style="position:absolute;left:8723;top:3798;height:434;width:1814;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太钢污水处理厂</w:t>
                          </w:r>
                        </w:p>
                      </w:txbxContent>
                    </v:textbox>
                  </v:shape>
                  <v:shape id="Quad Arrow 169" o:spid="_x0000_s1068" type="#_x0000_t202" style="position:absolute;left:4443;top:6820;height:434;width:3134;rotation:0f;" o:ole="f" fillcolor="#FFFFFF" filled="t" o:preferrelative="t" stroked="f" coordorigin="0,0" coordsize="21600,21600">
                    <v:imagedata gain="65536f" blacklevel="0f" gamma="0"/>
                    <o:lock v:ext="edit" position="f" selection="f" grouping="f" rotation="f" cropping="f" text="f" aspectratio="f"/>
                    <v:textbox>
                      <w:txbxContent>
                        <w:p>
                          <w:pPr>
                            <w:jc w:val="center"/>
                            <w:rPr>
                              <w:sz w:val="24"/>
                              <w:szCs w:val="24"/>
                            </w:rPr>
                          </w:pPr>
                          <w:r>
                            <w:rPr>
                              <w:rFonts w:hint="eastAsia"/>
                              <w:sz w:val="24"/>
                              <w:szCs w:val="24"/>
                            </w:rPr>
                            <w:t>图1</w:t>
                          </w:r>
                          <w:r>
                            <w:rPr>
                              <w:sz w:val="24"/>
                              <w:szCs w:val="24"/>
                            </w:rPr>
                            <w:t xml:space="preserve">  </w:t>
                          </w:r>
                          <w:r>
                            <w:rPr>
                              <w:rFonts w:hint="eastAsia"/>
                              <w:sz w:val="24"/>
                              <w:szCs w:val="24"/>
                            </w:rPr>
                            <w:t>水平衡图</w:t>
                          </w:r>
                        </w:p>
                      </w:txbxContent>
                    </v:textbox>
                  </v:shape>
                  <v:shape id="Straight Connector 156" o:spid="_x0000_s1069" type="#_x0000_t32" style="position:absolute;left:6023;top:6127;height:2;width:2098;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Quad Arrow 172" o:spid="_x0000_s1070" type="#_x0000_t202" style="position:absolute;left:9172;top:6429;height:434;width:1380;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rPr>
                              <w:rFonts w:ascii="Times New Roman" w:hAnsi="Times New Roman" w:cs="Times New Roman"/>
                            </w:rPr>
                          </w:pPr>
                          <w:r>
                            <w:rPr>
                              <w:rFonts w:ascii="Times New Roman" w:hAnsi="Times New Roman" w:cs="Times New Roman"/>
                            </w:rPr>
                            <w:t>单位：m³/h</w:t>
                          </w:r>
                        </w:p>
                      </w:txbxContent>
                    </v:textbox>
                  </v:shape>
                  <w10:wrap type="none"/>
                  <w10:anchorlock/>
                </v:group>
              </w:pict>
            </w:r>
          </w:p>
          <w:p>
            <w:pPr>
              <w:pStyle w:val="32"/>
              <w:ind w:firstLine="56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5"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2"/>
              <w:rPr>
                <w:b/>
                <w:bCs/>
                <w:sz w:val="24"/>
                <w:szCs w:val="24"/>
              </w:rPr>
            </w:pPr>
            <w:r>
              <w:rPr>
                <w:b/>
                <w:bCs/>
                <w:sz w:val="24"/>
                <w:szCs w:val="24"/>
              </w:rPr>
              <w:t>主要工艺流程及产污环节（附处理工艺流程图，标出产污节点）</w:t>
            </w:r>
          </w:p>
          <w:p>
            <w:pPr>
              <w:pStyle w:val="32"/>
              <w:rPr>
                <w:b/>
                <w:bCs/>
                <w:sz w:val="24"/>
                <w:szCs w:val="24"/>
              </w:rPr>
            </w:pPr>
            <w:r>
              <w:rPr>
                <w:b/>
                <w:bCs/>
                <w:sz w:val="24"/>
                <w:szCs w:val="24"/>
              </w:rPr>
              <w:t>1、燃烧系统</w:t>
            </w:r>
          </w:p>
          <w:p>
            <w:pPr>
              <w:pStyle w:val="32"/>
              <w:ind w:firstLine="480" w:firstLineChars="200"/>
              <w:rPr>
                <w:sz w:val="24"/>
                <w:szCs w:val="24"/>
              </w:rPr>
            </w:pPr>
            <w:r>
              <w:rPr>
                <w:sz w:val="24"/>
                <w:szCs w:val="24"/>
              </w:rPr>
              <w:t>本项目煤气接自于厂区现有管网，煤气管道在厂区架空布置，厂区煤气管道由炉后引入锅炉房。经过流量测量装置、电动蝶阀、电动盲板阀、快速关断阀、调节阀后，分别进入燃烧器支路母管，连接燃烧器的煤气分支管道上设有一道手动蝶阀、一道快速关断阀、一道电动快速关断阀以及阻火器。接至煤气低氮燃烧器。在煤气管道高点以及容易积存煤气的部位装有放散阀。系统检修维护所有煤气管道均需要氮气吹扫，以保证管道安全。</w:t>
            </w:r>
          </w:p>
          <w:p>
            <w:pPr>
              <w:pStyle w:val="32"/>
              <w:ind w:firstLine="480" w:firstLineChars="200"/>
              <w:rPr>
                <w:sz w:val="24"/>
                <w:szCs w:val="24"/>
              </w:rPr>
            </w:pPr>
            <w:r>
              <w:rPr>
                <w:sz w:val="24"/>
                <w:szCs w:val="24"/>
              </w:rPr>
              <w:t>锅炉配备两台送风机和两台引风机。送风机布置在锅炉两侧，进风由室外吸入，经空气预热器加热后的热风通过燃烧器和煤气混合后进入炉膛燃烧。燃烧后的烟气经SCR脱硝后，经空气预热器，进入布置在炉后的二台引风机，后汇入脱硫塔进行脱硫。经脱硫塔后进入烟囱排至大气。</w:t>
            </w:r>
          </w:p>
          <w:p>
            <w:pPr>
              <w:pStyle w:val="32"/>
              <w:ind w:firstLine="480" w:firstLineChars="200"/>
              <w:rPr>
                <w:sz w:val="24"/>
                <w:szCs w:val="24"/>
              </w:rPr>
            </w:pPr>
            <w:r>
              <w:rPr>
                <w:sz w:val="24"/>
                <w:szCs w:val="24"/>
              </w:rPr>
              <w:t>锅炉采用焦炉煤气作为点火燃料，其点火的焦炉煤气消耗量平均为2%。在锅炉负荷达到15-20%时，开始投入高炉焦炉混合煤气；锅炉达到70-80%负荷时，逐步减少焦炉煤气的煤气量，而维持稳燃的焦炉煤气烧嘴点燃。本项目锅炉燃烧系统安装低氮燃烧器。</w:t>
            </w:r>
          </w:p>
          <w:p>
            <w:pPr>
              <w:pStyle w:val="32"/>
              <w:rPr>
                <w:b/>
                <w:bCs/>
                <w:sz w:val="24"/>
                <w:szCs w:val="24"/>
              </w:rPr>
            </w:pPr>
            <w:r>
              <w:rPr>
                <w:b/>
                <w:bCs/>
                <w:sz w:val="24"/>
                <w:szCs w:val="24"/>
              </w:rPr>
              <w:t>2、给排水系统</w:t>
            </w:r>
          </w:p>
          <w:p>
            <w:pPr>
              <w:pStyle w:val="32"/>
              <w:ind w:firstLine="480" w:firstLineChars="200"/>
              <w:rPr>
                <w:sz w:val="24"/>
                <w:szCs w:val="24"/>
              </w:rPr>
            </w:pPr>
            <w:r>
              <w:rPr>
                <w:sz w:val="24"/>
                <w:szCs w:val="24"/>
              </w:rPr>
              <w:t>本项目给排水主要包括以下内容：消防水喷雾系统、生产给水系统、工业循环水——消防给水系统、生活给水系统、生活污水排水系统、生产废水排水系统、雨水排水系统。</w:t>
            </w:r>
          </w:p>
          <w:p>
            <w:pPr>
              <w:pStyle w:val="32"/>
              <w:ind w:firstLine="480" w:firstLineChars="200"/>
              <w:rPr>
                <w:sz w:val="24"/>
                <w:szCs w:val="24"/>
              </w:rPr>
            </w:pPr>
            <w:r>
              <w:rPr>
                <w:sz w:val="24"/>
                <w:szCs w:val="24"/>
              </w:rPr>
              <w:t>本项目汽轮机凝汽系统采用直接空冷系统，给水泵电机、辅机设备冷却采用闭式循环冷却水系统，闭式循环系统的二次冷却拟定了带蒸发冷却器的二次循环供水方案。</w:t>
            </w:r>
          </w:p>
          <w:p>
            <w:pPr>
              <w:pStyle w:val="32"/>
              <w:rPr>
                <w:b/>
                <w:bCs/>
                <w:sz w:val="24"/>
                <w:szCs w:val="24"/>
              </w:rPr>
            </w:pPr>
            <w:r>
              <w:rPr>
                <w:b/>
                <w:bCs/>
                <w:sz w:val="24"/>
                <w:szCs w:val="24"/>
              </w:rPr>
              <w:t>3、锅炉热力系统</w:t>
            </w:r>
          </w:p>
          <w:p>
            <w:pPr>
              <w:pStyle w:val="32"/>
              <w:ind w:firstLine="480" w:firstLineChars="200"/>
              <w:rPr>
                <w:sz w:val="24"/>
                <w:szCs w:val="24"/>
              </w:rPr>
            </w:pPr>
            <w:r>
              <w:rPr>
                <w:sz w:val="24"/>
                <w:szCs w:val="24"/>
              </w:rPr>
              <w:t>a、锅炉除氧给水系统</w:t>
            </w:r>
          </w:p>
          <w:p>
            <w:pPr>
              <w:pStyle w:val="32"/>
              <w:ind w:firstLine="480" w:firstLineChars="200"/>
              <w:rPr>
                <w:sz w:val="24"/>
                <w:szCs w:val="24"/>
              </w:rPr>
            </w:pPr>
            <w:r>
              <w:rPr>
                <w:sz w:val="24"/>
                <w:szCs w:val="24"/>
              </w:rPr>
              <w:t>汽轮机的凝结水经低压加热器（现有）加热后和补充除盐水进入低压除氧器（现有大气式除氧器系统）除氧加热后，通过低压（或中继）给水泵把一级除氧后的104℃热水送入高压除氧系统（新建除氧系统）再由锅炉高压给水泵升压进入锅炉下级省煤器，最后注入锅筒。蒸发系统采用自然循环，锅筒的锅水通过下降管进入锅炉下部集箱，经换热器吸热，通过锅炉上集箱，连通管回入锅筒。锅筒内有汽水分离装置以保证蒸汽品质，饱和蒸汽由锅筒引出至过热器，过热蒸汽采用两级给水喷水减温，以调节出口过热蒸汽的温度，之后蒸汽送至汽轮机驱动汽轮发电机。高压给水系统为单母管切换制，汽机、锅炉、给水泵可以切换运行，也可单元制运行。</w:t>
            </w:r>
          </w:p>
          <w:p>
            <w:pPr>
              <w:pStyle w:val="32"/>
              <w:ind w:firstLine="480" w:firstLineChars="200"/>
              <w:rPr>
                <w:sz w:val="24"/>
                <w:szCs w:val="24"/>
              </w:rPr>
            </w:pPr>
            <w:r>
              <w:rPr>
                <w:sz w:val="24"/>
                <w:szCs w:val="24"/>
              </w:rPr>
              <w:t>b、工业水系统</w:t>
            </w:r>
          </w:p>
          <w:p>
            <w:pPr>
              <w:pStyle w:val="32"/>
              <w:ind w:firstLine="480" w:firstLineChars="200"/>
              <w:rPr>
                <w:sz w:val="24"/>
                <w:szCs w:val="24"/>
              </w:rPr>
            </w:pPr>
            <w:r>
              <w:rPr>
                <w:sz w:val="24"/>
                <w:szCs w:val="24"/>
              </w:rPr>
              <w:t>锅炉用工业水由新建循环水泵房供给，主要供送风机、引风机、电动给水泵及其它用水。</w:t>
            </w:r>
          </w:p>
          <w:p>
            <w:pPr>
              <w:pStyle w:val="32"/>
              <w:ind w:firstLine="480" w:firstLineChars="200"/>
              <w:rPr>
                <w:sz w:val="24"/>
                <w:szCs w:val="24"/>
              </w:rPr>
            </w:pPr>
            <w:r>
              <w:rPr>
                <w:sz w:val="24"/>
                <w:szCs w:val="24"/>
              </w:rPr>
              <w:t>c、排污系统</w:t>
            </w:r>
          </w:p>
          <w:p>
            <w:pPr>
              <w:pStyle w:val="32"/>
              <w:ind w:firstLine="480" w:firstLineChars="200"/>
              <w:rPr>
                <w:sz w:val="24"/>
                <w:szCs w:val="24"/>
              </w:rPr>
            </w:pPr>
            <w:r>
              <w:rPr>
                <w:sz w:val="24"/>
                <w:szCs w:val="24"/>
              </w:rPr>
              <w:t>锅炉汽包的连续排污水接入连续排污扩容器，分离的二次蒸汽进入除氧器使用，其排污水接入定期排污扩容器。锅炉下联箱定期排污水接入定期排污扩容器。定期排污扩容器分离的二次蒸汽排入大气，排水进入排污冷却池，降温到40℃后排入生产下水管。</w:t>
            </w:r>
          </w:p>
          <w:p>
            <w:pPr>
              <w:pStyle w:val="32"/>
              <w:ind w:firstLine="480" w:firstLineChars="200"/>
              <w:rPr>
                <w:sz w:val="24"/>
                <w:szCs w:val="24"/>
              </w:rPr>
            </w:pPr>
            <w:r>
              <w:rPr>
                <w:sz w:val="24"/>
                <w:szCs w:val="24"/>
              </w:rPr>
              <w:t>锅炉下联箱设有电动排污阀，可远控定期排污。</w:t>
            </w:r>
          </w:p>
          <w:p>
            <w:pPr>
              <w:pStyle w:val="32"/>
              <w:ind w:firstLine="480" w:firstLineChars="200"/>
              <w:rPr>
                <w:sz w:val="24"/>
                <w:szCs w:val="24"/>
              </w:rPr>
            </w:pPr>
            <w:r>
              <w:rPr>
                <w:sz w:val="24"/>
                <w:szCs w:val="24"/>
              </w:rPr>
              <w:t>d、汽水取样系统</w:t>
            </w:r>
          </w:p>
          <w:p>
            <w:pPr>
              <w:pStyle w:val="32"/>
              <w:ind w:firstLine="480" w:firstLineChars="200"/>
              <w:rPr>
                <w:sz w:val="24"/>
                <w:szCs w:val="24"/>
              </w:rPr>
            </w:pPr>
            <w:r>
              <w:rPr>
                <w:sz w:val="24"/>
                <w:szCs w:val="24"/>
              </w:rPr>
              <w:t>锅炉给水及锅炉的炉水、饱和蒸汽、过热蒸汽均设有取样冷却器，取样水由循环水冷却，对给水、炉水、饱和蒸汽、过热蒸汽取样化验其品质，当超标时加大锅炉排污并启动加药装置向炉内加药，改善其汽水品质。</w:t>
            </w:r>
          </w:p>
          <w:p>
            <w:pPr>
              <w:pStyle w:val="32"/>
              <w:ind w:firstLine="480" w:firstLineChars="200"/>
              <w:rPr>
                <w:sz w:val="24"/>
                <w:szCs w:val="24"/>
              </w:rPr>
            </w:pPr>
            <w:r>
              <w:rPr>
                <w:sz w:val="24"/>
                <w:szCs w:val="24"/>
              </w:rPr>
              <w:t>e、炉内加药系统</w:t>
            </w:r>
          </w:p>
          <w:p>
            <w:pPr>
              <w:pStyle w:val="32"/>
              <w:ind w:firstLine="480" w:firstLineChars="200"/>
              <w:rPr>
                <w:sz w:val="24"/>
                <w:szCs w:val="24"/>
              </w:rPr>
            </w:pPr>
            <w:r>
              <w:rPr>
                <w:sz w:val="24"/>
                <w:szCs w:val="24"/>
              </w:rPr>
              <w:t>在锅炉房设有炉内成套加药装置，对炉水取样化验，当炉水品质超标时，利用加药装置的加药泵将配置好的药品溶液打入锅炉汽包，改善炉水品质，药品采用磷酸三钠。炉内加药与设在新增厂房的给水加氨措施并用，配以合理的锅炉排污，可保证锅炉的汽、水品质。</w:t>
            </w:r>
          </w:p>
          <w:p>
            <w:pPr>
              <w:pStyle w:val="32"/>
              <w:ind w:firstLine="480" w:firstLineChars="200"/>
              <w:rPr>
                <w:sz w:val="24"/>
                <w:szCs w:val="24"/>
              </w:rPr>
            </w:pPr>
            <w:r>
              <w:rPr>
                <w:sz w:val="24"/>
                <w:szCs w:val="24"/>
              </w:rPr>
              <w:t>f、加联铵系统</w:t>
            </w:r>
          </w:p>
          <w:p>
            <w:pPr>
              <w:pStyle w:val="32"/>
              <w:ind w:firstLine="480" w:firstLineChars="200"/>
              <w:rPr>
                <w:sz w:val="24"/>
                <w:szCs w:val="24"/>
              </w:rPr>
            </w:pPr>
            <w:r>
              <w:rPr>
                <w:sz w:val="24"/>
                <w:szCs w:val="24"/>
              </w:rPr>
              <w:t>为了防止给水中氧含量值过高，产生对金属的腐蚀，设计中考虑了加联氨成套装置向除盐给水母管进行自动加联铵。</w:t>
            </w:r>
          </w:p>
          <w:p>
            <w:pPr>
              <w:pStyle w:val="32"/>
              <w:ind w:firstLine="480" w:firstLineChars="200"/>
              <w:rPr>
                <w:sz w:val="24"/>
                <w:szCs w:val="24"/>
              </w:rPr>
            </w:pPr>
            <w:r>
              <w:rPr>
                <w:sz w:val="24"/>
                <w:szCs w:val="24"/>
              </w:rPr>
              <w:t>g、压缩空气系统</w:t>
            </w:r>
          </w:p>
          <w:p>
            <w:pPr>
              <w:pStyle w:val="32"/>
              <w:ind w:firstLine="480" w:firstLineChars="200"/>
              <w:rPr>
                <w:sz w:val="24"/>
                <w:szCs w:val="24"/>
              </w:rPr>
            </w:pPr>
            <w:r>
              <w:rPr>
                <w:sz w:val="24"/>
                <w:szCs w:val="24"/>
              </w:rPr>
              <w:t>压缩空气主要用户有：锅炉设备吹扫、仪表控制系统、快速关断阀等。另外设有氮气作为备用气源，当压缩空气供应发生故障时切换为氮气向上述用户供气。设置一台10m³压缩空气储气罐，起稳压作用，保证事故和停电时用气。</w:t>
            </w:r>
          </w:p>
          <w:p>
            <w:pPr>
              <w:pStyle w:val="32"/>
              <w:ind w:firstLine="480" w:firstLineChars="200"/>
              <w:rPr>
                <w:sz w:val="24"/>
                <w:szCs w:val="24"/>
              </w:rPr>
            </w:pPr>
            <w:r>
              <w:rPr>
                <w:sz w:val="24"/>
                <w:szCs w:val="24"/>
              </w:rPr>
              <w:t>h、氮气系统</w:t>
            </w:r>
          </w:p>
          <w:p>
            <w:pPr>
              <w:pStyle w:val="32"/>
              <w:ind w:firstLine="480" w:firstLineChars="200"/>
              <w:rPr>
                <w:sz w:val="24"/>
                <w:szCs w:val="24"/>
              </w:rPr>
            </w:pPr>
            <w:r>
              <w:rPr>
                <w:sz w:val="24"/>
                <w:szCs w:val="24"/>
              </w:rPr>
              <w:t>锅炉间设有氮气系统，氮气用途如下：</w:t>
            </w:r>
          </w:p>
          <w:p>
            <w:pPr>
              <w:pStyle w:val="32"/>
              <w:ind w:firstLine="480" w:firstLineChars="200"/>
              <w:rPr>
                <w:sz w:val="24"/>
                <w:szCs w:val="24"/>
              </w:rPr>
            </w:pPr>
            <w:r>
              <w:rPr>
                <w:sz w:val="24"/>
                <w:szCs w:val="24"/>
              </w:rPr>
              <w:t>当压缩空气停气时向气动用户供氮气。</w:t>
            </w:r>
          </w:p>
          <w:p>
            <w:pPr>
              <w:pStyle w:val="32"/>
              <w:ind w:firstLine="480" w:firstLineChars="200"/>
              <w:rPr>
                <w:sz w:val="24"/>
                <w:szCs w:val="24"/>
              </w:rPr>
            </w:pPr>
            <w:r>
              <w:rPr>
                <w:sz w:val="24"/>
                <w:szCs w:val="24"/>
              </w:rPr>
              <w:t>作为锅炉停炉检修期间管内充氮保护用。</w:t>
            </w:r>
          </w:p>
          <w:p>
            <w:pPr>
              <w:pStyle w:val="32"/>
              <w:ind w:firstLine="480" w:firstLineChars="200"/>
              <w:rPr>
                <w:sz w:val="24"/>
                <w:szCs w:val="24"/>
              </w:rPr>
            </w:pPr>
            <w:r>
              <w:rPr>
                <w:sz w:val="24"/>
                <w:szCs w:val="24"/>
              </w:rPr>
              <w:t>当锅炉停炉检修时向截断的煤气管道内充氮气保护，赶尽管内剩余的煤气，同时向锅炉内充入氮气赶尽残余煤气。</w:t>
            </w:r>
          </w:p>
          <w:p>
            <w:pPr>
              <w:pStyle w:val="32"/>
              <w:ind w:firstLine="480" w:firstLineChars="200"/>
              <w:rPr>
                <w:sz w:val="24"/>
                <w:szCs w:val="24"/>
              </w:rPr>
            </w:pPr>
            <w:r>
              <w:rPr>
                <w:sz w:val="24"/>
                <w:szCs w:val="24"/>
              </w:rPr>
              <w:t>当煤气压力超低时，锅炉煤气支管快速切断阀关闭后向截断的煤气管道充氮气赶尽管内的煤气。</w:t>
            </w:r>
          </w:p>
          <w:p>
            <w:pPr>
              <w:pStyle w:val="32"/>
              <w:rPr>
                <w:b/>
                <w:bCs/>
                <w:sz w:val="24"/>
                <w:szCs w:val="24"/>
              </w:rPr>
            </w:pPr>
            <w:r>
              <w:rPr>
                <w:b/>
                <w:bCs/>
                <w:sz w:val="24"/>
                <w:szCs w:val="24"/>
              </w:rPr>
              <w:t>4、锅炉烟气脱硫、脱硝处理系统</w:t>
            </w:r>
          </w:p>
          <w:p>
            <w:pPr>
              <w:pStyle w:val="32"/>
              <w:ind w:firstLine="480" w:firstLineChars="200"/>
              <w:rPr>
                <w:sz w:val="24"/>
                <w:szCs w:val="24"/>
              </w:rPr>
            </w:pPr>
            <w:r>
              <w:rPr>
                <w:rFonts w:hint="eastAsia" w:ascii="宋体" w:hAnsi="宋体" w:cs="宋体"/>
                <w:sz w:val="24"/>
                <w:szCs w:val="24"/>
              </w:rPr>
              <w:t>①</w:t>
            </w:r>
            <w:r>
              <w:rPr>
                <w:sz w:val="24"/>
                <w:szCs w:val="24"/>
              </w:rPr>
              <w:t>石灰石――石膏法烟气脱硫（FGD）工艺</w:t>
            </w:r>
          </w:p>
          <w:p>
            <w:pPr>
              <w:pStyle w:val="32"/>
              <w:ind w:firstLine="480" w:firstLineChars="200"/>
              <w:rPr>
                <w:sz w:val="24"/>
                <w:szCs w:val="24"/>
              </w:rPr>
            </w:pPr>
            <w:r>
              <w:rPr>
                <w:sz w:val="24"/>
                <w:szCs w:val="24"/>
              </w:rPr>
              <w:t>该方法烟气脱硫的反应原理如下，脱硫石灰浆液收集在吸收塔浆池内，吸收塔浆池分为氧化区和结晶区，在上部氧化区内，氧化空气通过一个分配系统吹入，在pH值为4-5的浆液中生成石膏；在结晶区，石膏晶种逐渐增大，并生成为易于脱水的较大的晶体，新的石灰石浆液也被加入这个区域。化学反应过程描述如下：</w:t>
            </w:r>
          </w:p>
          <w:p>
            <w:pPr>
              <w:pStyle w:val="32"/>
              <w:ind w:firstLine="480" w:firstLineChars="200"/>
              <w:rPr>
                <w:sz w:val="24"/>
                <w:szCs w:val="24"/>
              </w:rPr>
            </w:pPr>
            <w:r>
              <w:rPr>
                <w:sz w:val="24"/>
                <w:szCs w:val="24"/>
              </w:rPr>
              <w:t>石灰石的溶解：CaCO</w:t>
            </w:r>
            <w:r>
              <w:rPr>
                <w:sz w:val="24"/>
                <w:szCs w:val="24"/>
                <w:vertAlign w:val="subscript"/>
              </w:rPr>
              <w:t>3</w:t>
            </w:r>
            <w:r>
              <w:rPr>
                <w:sz w:val="24"/>
                <w:szCs w:val="24"/>
              </w:rPr>
              <w:t xml:space="preserve"> + CO</w:t>
            </w:r>
            <w:r>
              <w:rPr>
                <w:sz w:val="24"/>
                <w:szCs w:val="24"/>
                <w:vertAlign w:val="subscript"/>
              </w:rPr>
              <w:t>2</w:t>
            </w:r>
            <w:r>
              <w:rPr>
                <w:sz w:val="24"/>
                <w:szCs w:val="24"/>
              </w:rPr>
              <w:t xml:space="preserve"> + H</w:t>
            </w:r>
            <w:r>
              <w:rPr>
                <w:sz w:val="24"/>
                <w:szCs w:val="24"/>
                <w:vertAlign w:val="subscript"/>
              </w:rPr>
              <w:t>2</w:t>
            </w:r>
            <w:r>
              <w:rPr>
                <w:sz w:val="24"/>
                <w:szCs w:val="24"/>
              </w:rPr>
              <w:t xml:space="preserve">O </w:t>
            </w:r>
            <w:r>
              <w:rPr>
                <w:sz w:val="24"/>
                <w:szCs w:val="24"/>
              </w:rPr>
              <w:sym w:font="Symbol" w:char="00AE"/>
            </w:r>
            <w:r>
              <w:rPr>
                <w:sz w:val="24"/>
                <w:szCs w:val="24"/>
              </w:rPr>
              <w:t xml:space="preserve"> Ca(HCO</w:t>
            </w:r>
            <w:r>
              <w:rPr>
                <w:sz w:val="24"/>
                <w:szCs w:val="24"/>
                <w:vertAlign w:val="subscript"/>
              </w:rPr>
              <w:t>3</w:t>
            </w:r>
            <w:r>
              <w:rPr>
                <w:sz w:val="24"/>
                <w:szCs w:val="24"/>
              </w:rPr>
              <w:t>)</w:t>
            </w:r>
            <w:r>
              <w:rPr>
                <w:sz w:val="24"/>
                <w:szCs w:val="24"/>
                <w:vertAlign w:val="subscript"/>
              </w:rPr>
              <w:t>2</w:t>
            </w:r>
          </w:p>
          <w:p>
            <w:pPr>
              <w:pStyle w:val="32"/>
              <w:ind w:firstLine="480" w:firstLineChars="200"/>
              <w:rPr>
                <w:sz w:val="24"/>
                <w:szCs w:val="24"/>
              </w:rPr>
            </w:pPr>
            <w:r>
              <w:rPr>
                <w:sz w:val="24"/>
                <w:szCs w:val="24"/>
              </w:rPr>
              <w:t>与SO</w:t>
            </w:r>
            <w:r>
              <w:rPr>
                <w:sz w:val="24"/>
                <w:szCs w:val="24"/>
                <w:vertAlign w:val="subscript"/>
              </w:rPr>
              <w:t>2</w:t>
            </w:r>
            <w:r>
              <w:rPr>
                <w:sz w:val="24"/>
                <w:szCs w:val="24"/>
              </w:rPr>
              <w:t>反应：Ca(HCO</w:t>
            </w:r>
            <w:r>
              <w:rPr>
                <w:sz w:val="24"/>
                <w:szCs w:val="24"/>
                <w:vertAlign w:val="subscript"/>
              </w:rPr>
              <w:t>3</w:t>
            </w:r>
            <w:r>
              <w:rPr>
                <w:sz w:val="24"/>
                <w:szCs w:val="24"/>
              </w:rPr>
              <w:t>)</w:t>
            </w:r>
            <w:r>
              <w:rPr>
                <w:sz w:val="24"/>
                <w:szCs w:val="24"/>
                <w:vertAlign w:val="subscript"/>
              </w:rPr>
              <w:t>2</w:t>
            </w:r>
            <w:r>
              <w:rPr>
                <w:sz w:val="24"/>
                <w:szCs w:val="24"/>
              </w:rPr>
              <w:t xml:space="preserve"> + 2SO</w:t>
            </w:r>
            <w:r>
              <w:rPr>
                <w:sz w:val="24"/>
                <w:szCs w:val="24"/>
                <w:vertAlign w:val="subscript"/>
              </w:rPr>
              <w:t>2</w:t>
            </w:r>
            <w:r>
              <w:rPr>
                <w:sz w:val="24"/>
                <w:szCs w:val="24"/>
              </w:rPr>
              <w:t xml:space="preserve"> </w:t>
            </w:r>
            <w:r>
              <w:rPr>
                <w:sz w:val="24"/>
                <w:szCs w:val="24"/>
              </w:rPr>
              <w:sym w:font="Symbol" w:char="00AE"/>
            </w:r>
            <w:r>
              <w:rPr>
                <w:sz w:val="24"/>
                <w:szCs w:val="24"/>
              </w:rPr>
              <w:t xml:space="preserve"> Ca(HSO</w:t>
            </w:r>
            <w:r>
              <w:rPr>
                <w:sz w:val="24"/>
                <w:szCs w:val="24"/>
                <w:vertAlign w:val="subscript"/>
              </w:rPr>
              <w:t>3</w:t>
            </w:r>
            <w:r>
              <w:rPr>
                <w:sz w:val="24"/>
                <w:szCs w:val="24"/>
              </w:rPr>
              <w:t>)</w:t>
            </w:r>
            <w:r>
              <w:rPr>
                <w:sz w:val="24"/>
                <w:szCs w:val="24"/>
                <w:vertAlign w:val="subscript"/>
              </w:rPr>
              <w:t>2</w:t>
            </w:r>
            <w:r>
              <w:rPr>
                <w:sz w:val="24"/>
                <w:szCs w:val="24"/>
              </w:rPr>
              <w:t xml:space="preserve"> +2CO</w:t>
            </w:r>
            <w:r>
              <w:rPr>
                <w:sz w:val="24"/>
                <w:szCs w:val="24"/>
                <w:vertAlign w:val="subscript"/>
              </w:rPr>
              <w:t>2</w:t>
            </w:r>
          </w:p>
          <w:p>
            <w:pPr>
              <w:pStyle w:val="32"/>
              <w:ind w:firstLine="480" w:firstLineChars="200"/>
              <w:rPr>
                <w:sz w:val="24"/>
                <w:szCs w:val="24"/>
              </w:rPr>
            </w:pPr>
            <w:r>
              <w:rPr>
                <w:sz w:val="24"/>
                <w:szCs w:val="24"/>
              </w:rPr>
              <w:t>氧化：Ca(HSO</w:t>
            </w:r>
            <w:r>
              <w:rPr>
                <w:sz w:val="24"/>
                <w:szCs w:val="24"/>
                <w:vertAlign w:val="subscript"/>
              </w:rPr>
              <w:t>3</w:t>
            </w:r>
            <w:r>
              <w:rPr>
                <w:sz w:val="24"/>
                <w:szCs w:val="24"/>
              </w:rPr>
              <w:t>)</w:t>
            </w:r>
            <w:r>
              <w:rPr>
                <w:sz w:val="24"/>
                <w:szCs w:val="24"/>
                <w:vertAlign w:val="subscript"/>
              </w:rPr>
              <w:t>2</w:t>
            </w:r>
            <w:r>
              <w:rPr>
                <w:sz w:val="24"/>
                <w:szCs w:val="24"/>
              </w:rPr>
              <w:t xml:space="preserve"> + CaCO</w:t>
            </w:r>
            <w:r>
              <w:rPr>
                <w:sz w:val="24"/>
                <w:szCs w:val="24"/>
                <w:vertAlign w:val="subscript"/>
              </w:rPr>
              <w:t>3</w:t>
            </w:r>
            <w:r>
              <w:rPr>
                <w:sz w:val="24"/>
                <w:szCs w:val="24"/>
              </w:rPr>
              <w:t xml:space="preserve"> + O</w:t>
            </w:r>
            <w:r>
              <w:rPr>
                <w:sz w:val="24"/>
                <w:szCs w:val="24"/>
                <w:vertAlign w:val="subscript"/>
              </w:rPr>
              <w:t>2</w:t>
            </w:r>
            <w:r>
              <w:rPr>
                <w:sz w:val="24"/>
                <w:szCs w:val="24"/>
              </w:rPr>
              <w:tab/>
            </w:r>
            <w:r>
              <w:rPr>
                <w:sz w:val="24"/>
                <w:szCs w:val="24"/>
              </w:rPr>
              <w:sym w:font="Symbol" w:char="00AE"/>
            </w:r>
            <w:r>
              <w:rPr>
                <w:sz w:val="24"/>
                <w:szCs w:val="24"/>
              </w:rPr>
              <w:tab/>
            </w:r>
            <w:r>
              <w:rPr>
                <w:sz w:val="24"/>
                <w:szCs w:val="24"/>
              </w:rPr>
              <w:t>2CaSO</w:t>
            </w:r>
            <w:r>
              <w:rPr>
                <w:sz w:val="24"/>
                <w:szCs w:val="24"/>
                <w:vertAlign w:val="subscript"/>
              </w:rPr>
              <w:t>4</w:t>
            </w:r>
            <w:r>
              <w:rPr>
                <w:sz w:val="24"/>
                <w:szCs w:val="24"/>
              </w:rPr>
              <w:t>+CO</w:t>
            </w:r>
            <w:r>
              <w:rPr>
                <w:sz w:val="24"/>
                <w:szCs w:val="24"/>
                <w:vertAlign w:val="subscript"/>
              </w:rPr>
              <w:t>2</w:t>
            </w:r>
            <w:r>
              <w:rPr>
                <w:sz w:val="24"/>
                <w:szCs w:val="24"/>
              </w:rPr>
              <w:t>+H</w:t>
            </w:r>
            <w:r>
              <w:rPr>
                <w:sz w:val="24"/>
                <w:szCs w:val="24"/>
                <w:vertAlign w:val="subscript"/>
              </w:rPr>
              <w:t>2</w:t>
            </w:r>
            <w:r>
              <w:rPr>
                <w:sz w:val="24"/>
                <w:szCs w:val="24"/>
              </w:rPr>
              <w:t>O</w:t>
            </w:r>
          </w:p>
          <w:p>
            <w:pPr>
              <w:pStyle w:val="32"/>
              <w:ind w:firstLine="480" w:firstLineChars="200"/>
              <w:rPr>
                <w:sz w:val="24"/>
                <w:szCs w:val="24"/>
              </w:rPr>
            </w:pPr>
            <w:r>
              <w:rPr>
                <w:sz w:val="24"/>
                <w:szCs w:val="24"/>
              </w:rPr>
              <w:t>石膏生成：CaSO</w:t>
            </w:r>
            <w:r>
              <w:rPr>
                <w:sz w:val="24"/>
                <w:szCs w:val="24"/>
                <w:vertAlign w:val="subscript"/>
              </w:rPr>
              <w:t>4</w:t>
            </w:r>
            <w:r>
              <w:rPr>
                <w:sz w:val="24"/>
                <w:szCs w:val="24"/>
              </w:rPr>
              <w:t xml:space="preserve"> + 2H</w:t>
            </w:r>
            <w:r>
              <w:rPr>
                <w:sz w:val="24"/>
                <w:szCs w:val="24"/>
                <w:vertAlign w:val="subscript"/>
              </w:rPr>
              <w:t>2</w:t>
            </w:r>
            <w:r>
              <w:rPr>
                <w:sz w:val="24"/>
                <w:szCs w:val="24"/>
              </w:rPr>
              <w:t>O</w:t>
            </w:r>
            <w:r>
              <w:rPr>
                <w:sz w:val="24"/>
                <w:szCs w:val="24"/>
              </w:rPr>
              <w:tab/>
            </w:r>
            <w:r>
              <w:rPr>
                <w:sz w:val="24"/>
                <w:szCs w:val="24"/>
              </w:rPr>
              <w:sym w:font="Symbol" w:char="00AE"/>
            </w:r>
            <w:r>
              <w:rPr>
                <w:sz w:val="24"/>
                <w:szCs w:val="24"/>
              </w:rPr>
              <w:t xml:space="preserve">  CaSO</w:t>
            </w:r>
            <w:r>
              <w:rPr>
                <w:sz w:val="24"/>
                <w:szCs w:val="24"/>
                <w:vertAlign w:val="subscript"/>
              </w:rPr>
              <w:t>4</w:t>
            </w:r>
            <w:r>
              <w:rPr>
                <w:sz w:val="24"/>
                <w:szCs w:val="24"/>
              </w:rPr>
              <w:t xml:space="preserve"> × 2H</w:t>
            </w:r>
            <w:r>
              <w:rPr>
                <w:sz w:val="24"/>
                <w:szCs w:val="24"/>
                <w:vertAlign w:val="subscript"/>
              </w:rPr>
              <w:t>2</w:t>
            </w:r>
            <w:r>
              <w:rPr>
                <w:sz w:val="24"/>
                <w:szCs w:val="24"/>
              </w:rPr>
              <w:t>O</w:t>
            </w:r>
          </w:p>
          <w:p>
            <w:pPr>
              <w:pStyle w:val="32"/>
              <w:ind w:firstLine="480" w:firstLineChars="200"/>
              <w:rPr>
                <w:sz w:val="24"/>
                <w:szCs w:val="24"/>
              </w:rPr>
            </w:pPr>
            <w:r>
              <w:rPr>
                <w:sz w:val="24"/>
                <w:szCs w:val="24"/>
              </w:rPr>
              <w:t>去除SO</w:t>
            </w:r>
            <w:r>
              <w:rPr>
                <w:sz w:val="24"/>
                <w:szCs w:val="24"/>
                <w:vertAlign w:val="subscript"/>
              </w:rPr>
              <w:t>2</w:t>
            </w:r>
            <w:r>
              <w:rPr>
                <w:sz w:val="24"/>
                <w:szCs w:val="24"/>
              </w:rPr>
              <w:t>总反应方程式：</w:t>
            </w:r>
          </w:p>
          <w:p>
            <w:pPr>
              <w:pStyle w:val="32"/>
              <w:ind w:firstLine="480" w:firstLineChars="200"/>
              <w:rPr>
                <w:sz w:val="24"/>
                <w:szCs w:val="24"/>
              </w:rPr>
            </w:pPr>
            <w:r>
              <w:rPr>
                <w:sz w:val="24"/>
                <w:szCs w:val="24"/>
              </w:rPr>
              <w:t>CaCO</w:t>
            </w:r>
            <w:r>
              <w:rPr>
                <w:sz w:val="24"/>
                <w:szCs w:val="24"/>
                <w:vertAlign w:val="subscript"/>
              </w:rPr>
              <w:t>3</w:t>
            </w:r>
            <w:r>
              <w:rPr>
                <w:sz w:val="24"/>
                <w:szCs w:val="24"/>
              </w:rPr>
              <w:t xml:space="preserve"> + SO</w:t>
            </w:r>
            <w:r>
              <w:rPr>
                <w:sz w:val="24"/>
                <w:szCs w:val="24"/>
                <w:vertAlign w:val="subscript"/>
              </w:rPr>
              <w:t>2</w:t>
            </w:r>
            <w:r>
              <w:rPr>
                <w:sz w:val="24"/>
                <w:szCs w:val="24"/>
              </w:rPr>
              <w:t xml:space="preserve"> + ½ O</w:t>
            </w:r>
            <w:r>
              <w:rPr>
                <w:sz w:val="24"/>
                <w:szCs w:val="24"/>
                <w:vertAlign w:val="subscript"/>
              </w:rPr>
              <w:t>2</w:t>
            </w:r>
            <w:r>
              <w:rPr>
                <w:sz w:val="24"/>
                <w:szCs w:val="24"/>
              </w:rPr>
              <w:t xml:space="preserve"> + 2H</w:t>
            </w:r>
            <w:r>
              <w:rPr>
                <w:sz w:val="24"/>
                <w:szCs w:val="24"/>
                <w:vertAlign w:val="subscript"/>
              </w:rPr>
              <w:t>2</w:t>
            </w:r>
            <w:r>
              <w:rPr>
                <w:sz w:val="24"/>
                <w:szCs w:val="24"/>
              </w:rPr>
              <w:t>O</w:t>
            </w:r>
            <w:r>
              <w:rPr>
                <w:sz w:val="24"/>
                <w:szCs w:val="24"/>
              </w:rPr>
              <w:tab/>
            </w:r>
            <w:r>
              <w:rPr>
                <w:sz w:val="24"/>
                <w:szCs w:val="24"/>
              </w:rPr>
              <w:sym w:font="Symbol" w:char="00AE"/>
            </w:r>
            <w:r>
              <w:rPr>
                <w:sz w:val="24"/>
                <w:szCs w:val="24"/>
              </w:rPr>
              <w:tab/>
            </w:r>
            <w:r>
              <w:rPr>
                <w:sz w:val="24"/>
                <w:szCs w:val="24"/>
              </w:rPr>
              <w:t>CaSO</w:t>
            </w:r>
            <w:r>
              <w:rPr>
                <w:sz w:val="24"/>
                <w:szCs w:val="24"/>
                <w:vertAlign w:val="subscript"/>
              </w:rPr>
              <w:t>4</w:t>
            </w:r>
            <w:r>
              <w:rPr>
                <w:sz w:val="24"/>
                <w:szCs w:val="24"/>
              </w:rPr>
              <w:t xml:space="preserve"> × 2H</w:t>
            </w:r>
            <w:r>
              <w:rPr>
                <w:sz w:val="24"/>
                <w:szCs w:val="24"/>
                <w:vertAlign w:val="subscript"/>
              </w:rPr>
              <w:t>2</w:t>
            </w:r>
            <w:r>
              <w:rPr>
                <w:sz w:val="24"/>
                <w:szCs w:val="24"/>
              </w:rPr>
              <w:t>O + CO</w:t>
            </w:r>
            <w:r>
              <w:rPr>
                <w:sz w:val="24"/>
                <w:szCs w:val="24"/>
                <w:vertAlign w:val="subscript"/>
              </w:rPr>
              <w:t>2</w:t>
            </w:r>
          </w:p>
          <w:p>
            <w:pPr>
              <w:pStyle w:val="32"/>
              <w:ind w:firstLine="480" w:firstLineChars="200"/>
              <w:rPr>
                <w:sz w:val="24"/>
                <w:szCs w:val="24"/>
              </w:rPr>
            </w:pPr>
            <w:r>
              <w:rPr>
                <w:sz w:val="24"/>
                <w:szCs w:val="24"/>
              </w:rPr>
              <w:t>石灰石或碳酸钙在水中的低溶解性在吸收塔内被二氧化碳提高。通过溶解过程，生成碳酸氢钙。碳酸氢钙与二氧化硫反应生成可溶的亚硫酸氢钙。</w:t>
            </w:r>
          </w:p>
          <w:p>
            <w:pPr>
              <w:pStyle w:val="32"/>
              <w:ind w:firstLine="480" w:firstLineChars="200"/>
              <w:rPr>
                <w:sz w:val="24"/>
                <w:szCs w:val="24"/>
              </w:rPr>
            </w:pPr>
            <w:r>
              <w:rPr>
                <w:sz w:val="24"/>
                <w:szCs w:val="24"/>
              </w:rPr>
              <w:t>在氧化区，亚硫酸氢钙与空气中的氧发生反应，生成硫酸钙。浆液中的硫酸钙再结晶生成二水硫酸钙，即石膏。</w:t>
            </w:r>
          </w:p>
          <w:p>
            <w:pPr>
              <w:pStyle w:val="32"/>
              <w:ind w:firstLine="480" w:firstLineChars="200"/>
              <w:rPr>
                <w:sz w:val="24"/>
                <w:szCs w:val="24"/>
              </w:rPr>
            </w:pPr>
            <w:r>
              <w:rPr>
                <w:sz w:val="24"/>
                <w:szCs w:val="24"/>
              </w:rPr>
              <w:t>石灰石-石膏湿法工艺整套系统由以下子系统组成：</w:t>
            </w:r>
          </w:p>
          <w:p>
            <w:pPr>
              <w:pStyle w:val="32"/>
              <w:ind w:firstLine="480" w:firstLineChars="200"/>
              <w:rPr>
                <w:sz w:val="24"/>
                <w:szCs w:val="24"/>
              </w:rPr>
            </w:pPr>
            <w:r>
              <w:rPr>
                <w:sz w:val="24"/>
                <w:szCs w:val="24"/>
              </w:rPr>
              <w:t>吸收塔系统；烟气系统；石膏脱水及储存系统；石灰石制浆系统；公用系统；浆液排放及收集系统；废水处理系统。</w:t>
            </w:r>
          </w:p>
          <w:p>
            <w:pPr>
              <w:pStyle w:val="32"/>
              <w:ind w:firstLine="480" w:firstLineChars="200"/>
              <w:rPr>
                <w:sz w:val="24"/>
                <w:szCs w:val="24"/>
              </w:rPr>
            </w:pPr>
            <w:r>
              <w:rPr>
                <w:rFonts w:hint="eastAsia" w:ascii="宋体" w:hAnsi="宋体" w:cs="宋体"/>
                <w:sz w:val="24"/>
                <w:szCs w:val="24"/>
              </w:rPr>
              <w:t>②</w:t>
            </w:r>
            <w:r>
              <w:rPr>
                <w:sz w:val="24"/>
                <w:szCs w:val="24"/>
              </w:rPr>
              <w:t>脱硝工艺</w:t>
            </w:r>
          </w:p>
          <w:p>
            <w:pPr>
              <w:pStyle w:val="32"/>
              <w:ind w:firstLine="480" w:firstLineChars="200"/>
              <w:rPr>
                <w:sz w:val="24"/>
                <w:szCs w:val="24"/>
              </w:rPr>
            </w:pPr>
            <w:r>
              <w:rPr>
                <w:sz w:val="24"/>
                <w:szCs w:val="24"/>
              </w:rPr>
              <w:t>本项目脱硝采用低氮燃烧器+烟气再循环+SCR脱硝工艺，还原剂采用尿素。低NOx燃烧器反应原理：在煤气与空气分段混形成不同的过量空气系数α燃烧区。一部分燃料在α&lt;1的条件下欠氧燃烧，由于缺氧，燃烧温度比通常情况下低，故燃料型NOx和热力型NOx都减少；另一部分燃料在α&gt;1的条件下过氧燃烧，由于空气量大，使燃烧温度低，故热力型NOx降低。</w:t>
            </w:r>
          </w:p>
          <w:p>
            <w:pPr>
              <w:pStyle w:val="32"/>
              <w:ind w:firstLine="480" w:firstLineChars="200"/>
              <w:rPr>
                <w:sz w:val="24"/>
                <w:szCs w:val="24"/>
              </w:rPr>
            </w:pPr>
            <w:r>
              <w:rPr>
                <w:sz w:val="24"/>
                <w:szCs w:val="24"/>
              </w:rPr>
              <w:t>烟气再循环是常用的燃烧中降低NOx排放量的方法之一。将锅炉尾部约10%的低温烟气经烟气再循环管道并混入助燃空气中，经燃烧器或直接送入炉膛与冷风混合送入炉内，从而降低燃烧区域的温度，同时降低燃烧区域的氧的浓度，最终降低NOx的生成量。</w:t>
            </w:r>
          </w:p>
          <w:p>
            <w:pPr>
              <w:pStyle w:val="32"/>
              <w:ind w:firstLine="480" w:firstLineChars="200"/>
              <w:rPr>
                <w:sz w:val="24"/>
                <w:szCs w:val="24"/>
              </w:rPr>
            </w:pPr>
            <w:r>
              <w:rPr>
                <w:sz w:val="24"/>
                <w:szCs w:val="24"/>
              </w:rPr>
              <w:t>国内SCR脱硝装置大多数布置在高温环境，而催化剂最佳反应温度为308-420℃。主要用来将锅炉排放烟气中的氮氧化物分解成无害的氮气和水，化学反应式如下：</w:t>
            </w:r>
          </w:p>
          <w:p>
            <w:pPr>
              <w:pStyle w:val="32"/>
              <w:ind w:firstLine="480" w:firstLineChars="200"/>
              <w:rPr>
                <w:sz w:val="24"/>
                <w:szCs w:val="24"/>
              </w:rPr>
            </w:pPr>
            <w:r>
              <w:rPr>
                <w:sz w:val="24"/>
                <w:szCs w:val="24"/>
              </w:rPr>
              <w:t>4NO+4NH</w:t>
            </w:r>
            <w:r>
              <w:rPr>
                <w:sz w:val="24"/>
                <w:szCs w:val="24"/>
                <w:vertAlign w:val="subscript"/>
              </w:rPr>
              <w:t>3</w:t>
            </w:r>
            <w:r>
              <w:rPr>
                <w:sz w:val="24"/>
                <w:szCs w:val="24"/>
              </w:rPr>
              <w:t>+O</w:t>
            </w:r>
            <w:r>
              <w:rPr>
                <w:sz w:val="24"/>
                <w:szCs w:val="24"/>
                <w:vertAlign w:val="subscript"/>
              </w:rPr>
              <w:t>2</w:t>
            </w:r>
            <w:r>
              <w:rPr>
                <w:sz w:val="24"/>
                <w:szCs w:val="24"/>
              </w:rPr>
              <w:t>→4N</w:t>
            </w:r>
            <w:r>
              <w:rPr>
                <w:sz w:val="24"/>
                <w:szCs w:val="24"/>
                <w:vertAlign w:val="subscript"/>
              </w:rPr>
              <w:t>2</w:t>
            </w:r>
            <w:r>
              <w:rPr>
                <w:sz w:val="24"/>
                <w:szCs w:val="24"/>
              </w:rPr>
              <w:t>+6H</w:t>
            </w:r>
            <w:r>
              <w:rPr>
                <w:sz w:val="24"/>
                <w:szCs w:val="24"/>
                <w:vertAlign w:val="subscript"/>
              </w:rPr>
              <w:t>2</w:t>
            </w:r>
            <w:r>
              <w:rPr>
                <w:sz w:val="24"/>
                <w:szCs w:val="24"/>
              </w:rPr>
              <w:t>O</w:t>
            </w:r>
          </w:p>
          <w:p>
            <w:pPr>
              <w:pStyle w:val="32"/>
              <w:ind w:firstLine="480" w:firstLineChars="200"/>
              <w:rPr>
                <w:sz w:val="24"/>
                <w:szCs w:val="24"/>
              </w:rPr>
            </w:pPr>
            <w:r>
              <w:rPr>
                <w:sz w:val="24"/>
                <w:szCs w:val="24"/>
              </w:rPr>
              <w:t>6NO</w:t>
            </w:r>
            <w:r>
              <w:rPr>
                <w:sz w:val="24"/>
                <w:szCs w:val="24"/>
                <w:vertAlign w:val="subscript"/>
              </w:rPr>
              <w:t>2</w:t>
            </w:r>
            <w:r>
              <w:rPr>
                <w:sz w:val="24"/>
                <w:szCs w:val="24"/>
              </w:rPr>
              <w:t>+8NH</w:t>
            </w:r>
            <w:r>
              <w:rPr>
                <w:sz w:val="24"/>
                <w:szCs w:val="24"/>
                <w:vertAlign w:val="subscript"/>
              </w:rPr>
              <w:t>3</w:t>
            </w:r>
            <w:r>
              <w:rPr>
                <w:sz w:val="24"/>
                <w:szCs w:val="24"/>
              </w:rPr>
              <w:t>→7N</w:t>
            </w:r>
            <w:r>
              <w:rPr>
                <w:sz w:val="24"/>
                <w:szCs w:val="24"/>
                <w:vertAlign w:val="subscript"/>
              </w:rPr>
              <w:t>2</w:t>
            </w:r>
            <w:r>
              <w:rPr>
                <w:sz w:val="24"/>
                <w:szCs w:val="24"/>
              </w:rPr>
              <w:t>+12H</w:t>
            </w:r>
            <w:r>
              <w:rPr>
                <w:sz w:val="24"/>
                <w:szCs w:val="24"/>
                <w:vertAlign w:val="subscript"/>
              </w:rPr>
              <w:t>2</w:t>
            </w:r>
            <w:r>
              <w:rPr>
                <w:sz w:val="24"/>
                <w:szCs w:val="24"/>
              </w:rPr>
              <w:t>O</w:t>
            </w:r>
          </w:p>
          <w:p>
            <w:pPr>
              <w:pStyle w:val="32"/>
              <w:ind w:firstLine="480" w:firstLineChars="200"/>
              <w:rPr>
                <w:sz w:val="24"/>
                <w:szCs w:val="24"/>
              </w:rPr>
            </w:pPr>
            <w:r>
              <w:rPr>
                <w:sz w:val="24"/>
                <w:szCs w:val="24"/>
              </w:rPr>
              <w:t>NO+NO</w:t>
            </w:r>
            <w:r>
              <w:rPr>
                <w:sz w:val="24"/>
                <w:szCs w:val="24"/>
                <w:vertAlign w:val="subscript"/>
              </w:rPr>
              <w:t>2</w:t>
            </w:r>
            <w:r>
              <w:rPr>
                <w:sz w:val="24"/>
                <w:szCs w:val="24"/>
              </w:rPr>
              <w:t>+2NH</w:t>
            </w:r>
            <w:r>
              <w:rPr>
                <w:sz w:val="24"/>
                <w:szCs w:val="24"/>
                <w:vertAlign w:val="subscript"/>
              </w:rPr>
              <w:t>3</w:t>
            </w:r>
            <w:r>
              <w:rPr>
                <w:sz w:val="24"/>
                <w:szCs w:val="24"/>
              </w:rPr>
              <w:t>→2N</w:t>
            </w:r>
            <w:r>
              <w:rPr>
                <w:sz w:val="24"/>
                <w:szCs w:val="24"/>
                <w:vertAlign w:val="subscript"/>
              </w:rPr>
              <w:t>2</w:t>
            </w:r>
            <w:r>
              <w:rPr>
                <w:sz w:val="24"/>
                <w:szCs w:val="24"/>
              </w:rPr>
              <w:t>+3H</w:t>
            </w:r>
            <w:r>
              <w:rPr>
                <w:sz w:val="24"/>
                <w:szCs w:val="24"/>
                <w:vertAlign w:val="subscript"/>
              </w:rPr>
              <w:t>2</w:t>
            </w:r>
            <w:r>
              <w:rPr>
                <w:sz w:val="24"/>
                <w:szCs w:val="24"/>
              </w:rPr>
              <w:t>O</w:t>
            </w:r>
          </w:p>
          <w:p>
            <w:pPr>
              <w:pStyle w:val="32"/>
              <w:ind w:firstLine="480" w:firstLineChars="200"/>
              <w:rPr>
                <w:sz w:val="24"/>
                <w:szCs w:val="24"/>
              </w:rPr>
            </w:pPr>
            <w:r>
              <w:rPr>
                <w:sz w:val="24"/>
                <w:szCs w:val="24"/>
              </w:rPr>
              <w:t>催化剂分层安装在反应器里。烟气从上到下纵向通过反应器，穿过每一层催化剂。通常在反应器内会安装一两个额外的支撑结构，支撑催化剂层。当最初的催化剂失去活性的时候可向这些支撑层填装催化剂。SCR催化剂主要由一些催化活性成分（例如：五氧化二钒V</w:t>
            </w:r>
            <w:r>
              <w:rPr>
                <w:sz w:val="24"/>
                <w:szCs w:val="24"/>
                <w:vertAlign w:val="subscript"/>
              </w:rPr>
              <w:t>2</w:t>
            </w:r>
            <w:r>
              <w:rPr>
                <w:sz w:val="24"/>
                <w:szCs w:val="24"/>
              </w:rPr>
              <w:t>O</w:t>
            </w:r>
            <w:r>
              <w:rPr>
                <w:sz w:val="24"/>
                <w:szCs w:val="24"/>
                <w:vertAlign w:val="subscript"/>
              </w:rPr>
              <w:t>5</w:t>
            </w:r>
            <w:r>
              <w:rPr>
                <w:sz w:val="24"/>
                <w:szCs w:val="24"/>
              </w:rPr>
              <w:t>）和一些支撑材料（例如二氧化钛TiO</w:t>
            </w:r>
            <w:r>
              <w:rPr>
                <w:sz w:val="24"/>
                <w:szCs w:val="24"/>
                <w:vertAlign w:val="subscript"/>
              </w:rPr>
              <w:t>2</w:t>
            </w:r>
            <w:r>
              <w:rPr>
                <w:sz w:val="24"/>
                <w:szCs w:val="24"/>
              </w:rPr>
              <w:t>）等组成。SCR系统所用催化剂一般约每隔2年更换一次，本项目更换下来的废催化剂将采用由供应商回收的方式进行处置。</w:t>
            </w:r>
          </w:p>
          <w:p>
            <w:pPr>
              <w:pStyle w:val="32"/>
              <w:rPr>
                <w:b/>
                <w:bCs/>
                <w:sz w:val="24"/>
                <w:szCs w:val="24"/>
              </w:rPr>
            </w:pPr>
            <w:r>
              <w:rPr>
                <w:b/>
                <w:bCs/>
                <w:sz w:val="24"/>
                <w:szCs w:val="24"/>
              </w:rPr>
              <w:t>5、电力系统</w:t>
            </w:r>
          </w:p>
          <w:p>
            <w:pPr>
              <w:pStyle w:val="32"/>
              <w:ind w:firstLine="480" w:firstLineChars="200"/>
              <w:rPr>
                <w:sz w:val="24"/>
                <w:szCs w:val="24"/>
              </w:rPr>
            </w:pPr>
            <w:r>
              <w:rPr>
                <w:sz w:val="24"/>
                <w:szCs w:val="24"/>
              </w:rPr>
              <w:t>本项目发电项目是满足企业自身的用电需要，电厂性质为自备电厂。本项目新建1座110kV升压站，以1回110kV电缆出线接入太钢110kV变电站。</w:t>
            </w:r>
          </w:p>
          <w:p>
            <w:pPr>
              <w:pStyle w:val="32"/>
              <w:ind w:firstLine="480" w:firstLineChars="200"/>
              <w:rPr>
                <w:sz w:val="24"/>
                <w:szCs w:val="24"/>
              </w:rPr>
            </w:pPr>
            <w:r>
              <w:rPr>
                <w:sz w:val="24"/>
                <w:szCs w:val="24"/>
              </w:rPr>
              <w:t>本期发电机与100MVA的双卷变压器（110±8×1.25%/10.5kV）组成发电机-变压器组接线接入厂内110kV母线，110kV配电装置采用单母线接线。厂用高压电源由发电机出口经限流电抗器引接。本项目110kV采用直接接地方式，10kV及发电机中性点采用不接地方式，低压厂用电系统采用照明和动力共用的380/220V三相四线制中性点直接接地系统。</w:t>
            </w:r>
          </w:p>
          <w:p>
            <w:pPr>
              <w:pStyle w:val="32"/>
              <w:ind w:firstLine="480" w:firstLineChars="200"/>
              <w:rPr>
                <w:sz w:val="24"/>
                <w:szCs w:val="24"/>
              </w:rPr>
            </w:pPr>
            <w:r>
              <w:rPr>
                <w:sz w:val="24"/>
                <w:szCs w:val="24"/>
              </w:rPr>
              <w:t>生产工艺流程及产排污环节见下图。</w:t>
            </w:r>
          </w:p>
          <w:p>
            <w:pPr>
              <w:pStyle w:val="32"/>
              <w:ind w:left="2" w:leftChars="-5" w:hanging="12" w:hangingChars="5"/>
              <w:jc w:val="center"/>
              <w:rPr>
                <w:sz w:val="24"/>
                <w:szCs w:val="24"/>
              </w:rPr>
            </w:pPr>
            <w:r>
              <w:rPr>
                <w:rFonts w:ascii="Times New Roman" w:hAnsi="Times New Roman" w:eastAsia="宋体" w:cs="Times New Roman"/>
                <w:kern w:val="2"/>
                <w:sz w:val="24"/>
                <w:szCs w:val="24"/>
                <w:lang w:val="en-US" w:eastAsia="zh-CN" w:bidi="ar-SA"/>
              </w:rPr>
              <w:pict>
                <v:group id="Group 182" o:spid="_x0000_s1071" style="height:161.75pt;width:442.75pt;rotation:0f;" coordorigin="1517,6528" coordsize="8855,3235">
                  <o:lock v:ext="edit" position="f" selection="f" grouping="f" rotation="f" cropping="f"/>
                  <v:shape id="Picture 181" o:spid="_x0000_s1072" type="#_x0000_t75" style="position:absolute;left:1517;top:6528;height:3235;width:8855;rotation:0f;" o:ole="f" fillcolor="#FFFFFF" filled="f" o:preferrelative="f" stroked="f" coordorigin="0,0" coordsize="21600,21600">
                    <v:fill on="f" color2="#FFFFFF" focus="0%"/>
                    <v:imagedata gain="65536f" blacklevel="0f" gamma="0"/>
                    <o:lock v:ext="edit" position="f" selection="f" grouping="f" rotation="f" cropping="f" text="t" aspectratio="t"/>
                  </v:shape>
                  <v:shape id="Quad Arrow 194" o:spid="_x0000_s1073" type="#_x0000_t202" style="position:absolute;left:3791;top:7619;height:434;width:1477;rotation:0f;" o:ole="f" fillcolor="#FFFFFF" filled="t" o:preferrelative="t" stroked="f" coordorigin="0,0" coordsize="21600,21600">
                    <v:imagedata gain="65536f" blacklevel="0f" gamma="0"/>
                    <o:lock v:ext="edit" position="f" selection="f" grouping="f" rotation="f" cropping="f" text="f" aspectratio="f"/>
                    <v:textbox>
                      <w:txbxContent>
                        <w:p>
                          <w:pPr>
                            <w:jc w:val="center"/>
                          </w:pPr>
                          <w:r>
                            <w:rPr>
                              <w:rFonts w:hint="eastAsia"/>
                            </w:rPr>
                            <w:t>G、</w:t>
                          </w:r>
                          <w:r>
                            <w:t>Z</w:t>
                          </w:r>
                          <w:r>
                            <w:rPr>
                              <w:rFonts w:hint="eastAsia"/>
                            </w:rPr>
                            <w:t>、S、W</w:t>
                          </w:r>
                        </w:p>
                      </w:txbxContent>
                    </v:textbox>
                  </v:shape>
                  <v:shape id="Quad Arrow 183" o:spid="_x0000_s1074" type="#_x0000_t202" style="position:absolute;left:1917;top:6695;height:434;width:1181;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高炉煤气</w:t>
                          </w:r>
                        </w:p>
                      </w:txbxContent>
                    </v:textbox>
                  </v:shape>
                  <v:shape id="Straight Connector 184" o:spid="_x0000_s1075" type="#_x0000_t32" style="position:absolute;left:3098;top:6912;height:1;width:850;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Quad Arrow 185" o:spid="_x0000_s1076" type="#_x0000_t202" style="position:absolute;left:3951;top:6695;height:434;width:1180;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燃气锅炉</w:t>
                          </w:r>
                        </w:p>
                      </w:txbxContent>
                    </v:textbox>
                  </v:shape>
                  <v:shape id="Straight Connector 186" o:spid="_x0000_s1077" type="#_x0000_t32" style="position:absolute;left:5145;top:6928;height:1;width:850;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Quad Arrow 187" o:spid="_x0000_s1078" type="#_x0000_t202" style="position:absolute;left:5995;top:6712;height:434;width:1587;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汽轮发电机组</w:t>
                          </w:r>
                        </w:p>
                      </w:txbxContent>
                    </v:textbox>
                  </v:shape>
                  <v:shape id="Straight Connector 188" o:spid="_x0000_s1079" type="#_x0000_t32" style="position:absolute;left:7582;top:6913;height:1;width:850;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Quad Arrow 189" o:spid="_x0000_s1080" type="#_x0000_t202" style="position:absolute;left:8432;top:6712;height:434;width:1587;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现有配电系统</w:t>
                          </w:r>
                        </w:p>
                      </w:txbxContent>
                    </v:textbox>
                  </v:shape>
                  <v:shape id="Straight Connector 192" o:spid="_x0000_s1081" type="#_x0000_t32" style="position:absolute;left:4541;top:7101;height:567;width:1;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Straight Connector 193" o:spid="_x0000_s1082" type="#_x0000_t32" style="position:absolute;left:6751;top:7146;height:567;width:1;rotation:0f;" o:ole="f" o:connectortype="straight" fillcolor="#FFFFFF" filled="f" o:preferrelative="t" stroked="t" coordorigin="0,0" coordsize="21600,21600">
                    <v:fill on="f" color2="#FFFFFF" focus="0%"/>
                    <v:stroke color="#000000" color2="#FFFFFF" miterlimit="2" endarrow="block"/>
                    <v:imagedata gain="65536f" blacklevel="0f" gamma="0"/>
                    <o:lock v:ext="edit" position="f" selection="f" grouping="f" rotation="f" cropping="f" text="f" aspectratio="f"/>
                  </v:shape>
                  <v:shape id="Quad Arrow 195" o:spid="_x0000_s1083" type="#_x0000_t202" style="position:absolute;left:6299;top:7698;height:434;width:893;rotation:0f;" o:ole="f" fillcolor="#FFFFFF" filled="t" o:preferrelative="t" stroked="f" coordorigin="0,0" coordsize="21600,21600">
                    <v:imagedata gain="65536f" blacklevel="0f" gamma="0"/>
                    <o:lock v:ext="edit" position="f" selection="f" grouping="f" rotation="f" cropping="f" text="f" aspectratio="f"/>
                    <v:textbox>
                      <w:txbxContent>
                        <w:p>
                          <w:pPr>
                            <w:jc w:val="center"/>
                          </w:pPr>
                          <w:r>
                            <w:t>Z</w:t>
                          </w:r>
                          <w:r>
                            <w:rPr>
                              <w:rFonts w:hint="eastAsia"/>
                            </w:rPr>
                            <w:t>、S</w:t>
                          </w:r>
                        </w:p>
                      </w:txbxContent>
                    </v:textbox>
                  </v:shape>
                  <v:shape id="Quad Arrow 196" o:spid="_x0000_s1084" type="#_x0000_t202" style="position:absolute;left:7726;top:7334;height:2270;width:2432;rotation:0f;"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spacing w:line="240" w:lineRule="auto"/>
                            <w:jc w:val="both"/>
                            <w:rPr>
                              <w:rFonts w:ascii="Times New Roman" w:hAnsi="Times New Roman" w:cs="Times New Roman"/>
                            </w:rPr>
                          </w:pPr>
                          <w:r>
                            <w:rPr>
                              <w:rFonts w:ascii="Times New Roman" w:hAnsi="Times New Roman" w:cs="Times New Roman"/>
                            </w:rPr>
                            <w:t>图例：</w:t>
                          </w:r>
                        </w:p>
                        <w:p>
                          <w:pPr>
                            <w:pStyle w:val="2"/>
                            <w:spacing w:before="120" w:line="240" w:lineRule="auto"/>
                            <w:jc w:val="both"/>
                            <w:rPr>
                              <w:rFonts w:ascii="Times New Roman" w:hAnsi="Times New Roman" w:eastAsia="宋体" w:cs="Times New Roman"/>
                            </w:rPr>
                          </w:pPr>
                          <w:r>
                            <w:rPr>
                              <w:rFonts w:ascii="Times New Roman" w:hAnsi="Times New Roman" w:eastAsia="宋体" w:cs="Times New Roman"/>
                            </w:rPr>
                            <w:t>G：大气污染物；</w:t>
                          </w:r>
                        </w:p>
                        <w:p>
                          <w:pPr>
                            <w:pStyle w:val="2"/>
                            <w:spacing w:before="120" w:line="240" w:lineRule="auto"/>
                            <w:jc w:val="both"/>
                            <w:rPr>
                              <w:rFonts w:ascii="Times New Roman" w:hAnsi="Times New Roman" w:eastAsia="宋体" w:cs="Times New Roman"/>
                            </w:rPr>
                          </w:pPr>
                          <w:r>
                            <w:rPr>
                              <w:rFonts w:ascii="Times New Roman" w:hAnsi="Times New Roman" w:eastAsia="宋体" w:cs="Times New Roman"/>
                            </w:rPr>
                            <w:t>Z：噪声；</w:t>
                          </w:r>
                        </w:p>
                        <w:p>
                          <w:pPr>
                            <w:pStyle w:val="2"/>
                            <w:spacing w:before="120" w:line="240" w:lineRule="auto"/>
                            <w:jc w:val="both"/>
                            <w:rPr>
                              <w:rFonts w:ascii="Times New Roman" w:hAnsi="Times New Roman" w:eastAsia="宋体" w:cs="Times New Roman"/>
                            </w:rPr>
                          </w:pPr>
                          <w:r>
                            <w:rPr>
                              <w:rFonts w:ascii="Times New Roman" w:hAnsi="Times New Roman" w:eastAsia="宋体" w:cs="Times New Roman"/>
                            </w:rPr>
                            <w:t>S：固体废物；</w:t>
                          </w:r>
                        </w:p>
                        <w:p>
                          <w:pPr>
                            <w:pStyle w:val="2"/>
                            <w:spacing w:before="120" w:line="240" w:lineRule="auto"/>
                            <w:jc w:val="both"/>
                            <w:rPr>
                              <w:rFonts w:ascii="Times New Roman" w:hAnsi="Times New Roman" w:eastAsia="宋体" w:cs="Times New Roman"/>
                            </w:rPr>
                          </w:pPr>
                          <w:r>
                            <w:rPr>
                              <w:rFonts w:ascii="Times New Roman" w:hAnsi="Times New Roman" w:eastAsia="宋体" w:cs="Times New Roman"/>
                            </w:rPr>
                            <w:t>W：水污染物</w:t>
                          </w:r>
                        </w:p>
                      </w:txbxContent>
                    </v:textbox>
                  </v:shape>
                  <v:shape id="Quad Arrow 197" o:spid="_x0000_s1085" type="#_x0000_t202" style="position:absolute;left:3882;top:9272;height:434;width:3354;rotation:0f;" o:ole="f" fillcolor="#FFFFFF" filled="t" o:preferrelative="t" stroked="f" coordorigin="0,0" coordsize="21600,21600">
                    <v:imagedata gain="65536f" blacklevel="0f" gamma="0"/>
                    <o:lock v:ext="edit" position="f" selection="f" grouping="f" rotation="f" cropping="f" text="f" aspectratio="f"/>
                    <v:textbox>
                      <w:txbxContent>
                        <w:p>
                          <w:pPr>
                            <w:jc w:val="center"/>
                            <w:rPr>
                              <w:rFonts w:ascii="Times New Roman" w:hAnsi="Times New Roman" w:cs="Times New Roman"/>
                              <w:sz w:val="24"/>
                              <w:szCs w:val="24"/>
                            </w:rPr>
                          </w:pPr>
                          <w:r>
                            <w:rPr>
                              <w:rFonts w:ascii="Times New Roman" w:hAnsi="Times New Roman" w:cs="Times New Roman"/>
                              <w:sz w:val="24"/>
                              <w:szCs w:val="24"/>
                            </w:rPr>
                            <w:t>图2  生产工艺流程图</w:t>
                          </w:r>
                        </w:p>
                      </w:txbxContent>
                    </v:textbox>
                  </v:shape>
                  <w10:wrap type="none"/>
                  <w10:anchorlock/>
                </v:group>
              </w:pict>
            </w: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tc>
      </w:tr>
    </w:tbl>
    <w:p>
      <w:pPr>
        <w:rPr>
          <w:rFonts w:ascii="Times New Roman" w:hAnsi="Times New Roman" w:cs="Times New Roman"/>
          <w:b/>
          <w:bCs/>
          <w:color w:val="000000"/>
        </w:rPr>
        <w:sectPr>
          <w:pgSz w:w="11906" w:h="16838"/>
          <w:pgMar w:top="1440" w:right="1800" w:bottom="1440" w:left="1800" w:header="708" w:footer="708" w:gutter="0"/>
          <w:cols w:space="720" w:num="1"/>
          <w:docGrid w:linePitch="360" w:charSpace="0"/>
        </w:sectPr>
      </w:pPr>
    </w:p>
    <w:p>
      <w:pPr>
        <w:pStyle w:val="4"/>
        <w:rPr>
          <w:rFonts w:ascii="Times New Roman" w:hAnsi="Times New Roman" w:cs="Times New Roman"/>
        </w:rPr>
      </w:pPr>
      <w:bookmarkStart w:id="22" w:name="_Toc86072627"/>
      <w:r>
        <w:rPr>
          <w:rFonts w:ascii="Times New Roman" w:hAnsi="Times New Roman" w:cs="Times New Roman"/>
        </w:rPr>
        <w:t>表三  主要污染源及污染物处理和排放情况</w:t>
      </w:r>
      <w:bookmarkEnd w:id="22"/>
    </w:p>
    <w:tbl>
      <w:tblPr>
        <w:tblStyle w:val="21"/>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80"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2"/>
              <w:rPr>
                <w:b/>
                <w:bCs/>
                <w:sz w:val="24"/>
                <w:szCs w:val="24"/>
              </w:rPr>
            </w:pPr>
            <w:r>
              <w:rPr>
                <w:b/>
                <w:bCs/>
                <w:sz w:val="24"/>
                <w:szCs w:val="24"/>
              </w:rPr>
              <w:t>1、废气污染源处理和排放情况</w:t>
            </w:r>
          </w:p>
          <w:p>
            <w:pPr>
              <w:pStyle w:val="32"/>
              <w:ind w:firstLine="480" w:firstLineChars="200"/>
              <w:rPr>
                <w:sz w:val="24"/>
                <w:szCs w:val="24"/>
              </w:rPr>
            </w:pPr>
            <w:r>
              <w:rPr>
                <w:sz w:val="24"/>
                <w:szCs w:val="24"/>
              </w:rPr>
              <w:t>本项目废气主要为燃气锅炉燃烧煤气排放的烟气，主要污染物为颗粒物、SO</w:t>
            </w:r>
            <w:r>
              <w:rPr>
                <w:sz w:val="24"/>
                <w:szCs w:val="24"/>
                <w:vertAlign w:val="subscript"/>
              </w:rPr>
              <w:t>2</w:t>
            </w:r>
            <w:r>
              <w:rPr>
                <w:sz w:val="24"/>
                <w:szCs w:val="24"/>
              </w:rPr>
              <w:t>、NOx。年产生的烟气量为374900Nm³/h，分别经过脱硝（低氮燃烧器+烟气再循环+SCR脱硝）和脱硫（石灰石－石膏湿法脱硫）处理后，经60m高烟囱排放。</w:t>
            </w:r>
          </w:p>
          <w:p>
            <w:pPr>
              <w:pStyle w:val="32"/>
              <w:rPr>
                <w:b/>
                <w:bCs/>
                <w:sz w:val="24"/>
                <w:szCs w:val="24"/>
              </w:rPr>
            </w:pPr>
            <w:r>
              <w:rPr>
                <w:b/>
                <w:bCs/>
                <w:sz w:val="24"/>
                <w:szCs w:val="24"/>
              </w:rPr>
              <w:t>2、废水污染源处理和排放情况</w:t>
            </w:r>
          </w:p>
          <w:p>
            <w:pPr>
              <w:pStyle w:val="32"/>
              <w:ind w:firstLine="480" w:firstLineChars="200"/>
              <w:rPr>
                <w:sz w:val="24"/>
                <w:szCs w:val="24"/>
              </w:rPr>
            </w:pPr>
            <w:r>
              <w:rPr>
                <w:sz w:val="24"/>
                <w:szCs w:val="24"/>
              </w:rPr>
              <w:t>锅炉排水、主厂房辅助工艺排水，主要成分为盐分、石油和SS等，污染物含量较小，年排放量为557.6万m³/a。经收集后送太钢污水处理厂统一处理。</w:t>
            </w:r>
          </w:p>
          <w:p>
            <w:pPr>
              <w:pStyle w:val="32"/>
              <w:ind w:firstLine="480" w:firstLineChars="200"/>
              <w:rPr>
                <w:sz w:val="24"/>
                <w:szCs w:val="24"/>
              </w:rPr>
            </w:pPr>
            <w:r>
              <w:rPr>
                <w:sz w:val="24"/>
                <w:szCs w:val="24"/>
              </w:rPr>
              <w:t>锅炉烟气采用石灰石-石膏湿法烟气脱硫系统，在石灰石制浆过程及石膏脱水等过程中，产生少量的脱硫废水，主要污染物为pH、盐类及金属类，经处理后回用，不外排。</w:t>
            </w:r>
          </w:p>
          <w:p>
            <w:pPr>
              <w:pStyle w:val="32"/>
              <w:ind w:firstLine="480" w:firstLineChars="200"/>
              <w:rPr>
                <w:sz w:val="24"/>
                <w:szCs w:val="24"/>
              </w:rPr>
            </w:pPr>
            <w:r>
              <w:rPr>
                <w:sz w:val="24"/>
                <w:szCs w:val="24"/>
              </w:rPr>
              <w:t>汽轮机凝结水，基本不含污染物，为清净下水，全部收集于下部凝结水箱经凝结泵送入现有凝结水处理装置处理后全部作为除盐水回用，不外排。</w:t>
            </w:r>
          </w:p>
          <w:p>
            <w:pPr>
              <w:pStyle w:val="32"/>
              <w:ind w:firstLine="480" w:firstLineChars="200"/>
              <w:rPr>
                <w:sz w:val="24"/>
                <w:szCs w:val="24"/>
              </w:rPr>
            </w:pPr>
            <w:r>
              <w:rPr>
                <w:sz w:val="24"/>
                <w:szCs w:val="24"/>
              </w:rPr>
              <w:t>生活污水排放量为432m³/a，生活污水中主要污染物有COD、BOD、氨氮、SS、动植物油类等，经厂区生活污水管网送太钢污水厂统一处理。由于本项目生产人员全部由现有能源动力总厂调配，无新增人员，故本项目不新增生活污水。</w:t>
            </w:r>
          </w:p>
          <w:p>
            <w:pPr>
              <w:pStyle w:val="32"/>
              <w:rPr>
                <w:b/>
                <w:bCs/>
                <w:sz w:val="24"/>
                <w:szCs w:val="24"/>
              </w:rPr>
            </w:pPr>
            <w:r>
              <w:rPr>
                <w:b/>
                <w:bCs/>
                <w:sz w:val="24"/>
                <w:szCs w:val="24"/>
              </w:rPr>
              <w:t>3、噪声污染源处理和排放情况</w:t>
            </w:r>
          </w:p>
          <w:p>
            <w:pPr>
              <w:pStyle w:val="32"/>
              <w:ind w:firstLine="480" w:firstLineChars="200"/>
              <w:rPr>
                <w:sz w:val="24"/>
                <w:szCs w:val="24"/>
              </w:rPr>
            </w:pPr>
            <w:bookmarkStart w:id="23" w:name="_Hlk62821965"/>
            <w:r>
              <w:rPr>
                <w:sz w:val="24"/>
                <w:szCs w:val="24"/>
              </w:rPr>
              <w:t>本项目噪声主要为锅炉发电系统的汽轮发电机组、水泵、风机等产噪设备产生的噪声。</w:t>
            </w:r>
          </w:p>
          <w:p>
            <w:pPr>
              <w:pStyle w:val="32"/>
              <w:ind w:firstLine="480" w:firstLineChars="200"/>
              <w:rPr>
                <w:sz w:val="24"/>
                <w:szCs w:val="24"/>
              </w:rPr>
            </w:pPr>
            <w:r>
              <w:rPr>
                <w:sz w:val="24"/>
                <w:szCs w:val="24"/>
              </w:rPr>
              <w:t>通过采取室内安装、基础减振等措施后声压级可降为70-90dB(A)，对周围声环境影响不大。</w:t>
            </w:r>
          </w:p>
          <w:bookmarkEnd w:id="23"/>
          <w:p>
            <w:pPr>
              <w:pStyle w:val="32"/>
              <w:rPr>
                <w:b/>
                <w:bCs/>
                <w:sz w:val="24"/>
                <w:szCs w:val="24"/>
              </w:rPr>
            </w:pPr>
            <w:r>
              <w:rPr>
                <w:b/>
                <w:bCs/>
                <w:sz w:val="24"/>
                <w:szCs w:val="24"/>
              </w:rPr>
              <w:t>4、固体废物处理和排放情况</w:t>
            </w:r>
          </w:p>
          <w:p>
            <w:pPr>
              <w:pStyle w:val="32"/>
              <w:ind w:firstLine="480" w:firstLineChars="200"/>
              <w:rPr>
                <w:sz w:val="24"/>
                <w:szCs w:val="24"/>
              </w:rPr>
            </w:pPr>
            <w:r>
              <w:rPr>
                <w:sz w:val="24"/>
                <w:szCs w:val="24"/>
              </w:rPr>
              <w:t>本项目产生的固体废物有废机油、脱硫石膏、废催化剂、生活垃圾。</w:t>
            </w:r>
          </w:p>
          <w:p>
            <w:pPr>
              <w:pStyle w:val="32"/>
              <w:ind w:firstLine="480" w:firstLineChars="200"/>
              <w:rPr>
                <w:sz w:val="24"/>
                <w:szCs w:val="24"/>
              </w:rPr>
            </w:pPr>
            <w:r>
              <w:rPr>
                <w:sz w:val="24"/>
                <w:szCs w:val="24"/>
              </w:rPr>
              <w:t>废机油：本项目汽轮发电机组机油消耗率为0.03g/kWh，其中60%的机油最终将成为废机油，本项目发电机组装机规模为80MW，则废机油产生量为10.4t/a。废机油属于危险废物，由太钢加工厂统一收集后送有资质单位处理。</w:t>
            </w:r>
          </w:p>
          <w:p>
            <w:pPr>
              <w:pStyle w:val="32"/>
              <w:ind w:firstLine="480" w:firstLineChars="200"/>
              <w:rPr>
                <w:sz w:val="24"/>
                <w:szCs w:val="24"/>
              </w:rPr>
            </w:pPr>
            <w:r>
              <w:rPr>
                <w:sz w:val="24"/>
                <w:szCs w:val="24"/>
              </w:rPr>
              <w:t>脱硫石膏：锅炉烟气脱硫系统采用石灰石－石膏湿法脱硫，产生的脱硫石膏，产生量为573.5 t/a，全部由太钢能源动力总厂石膏生产线生产为石膏粉后统一外售，全部综合利用。</w:t>
            </w:r>
          </w:p>
          <w:p>
            <w:pPr>
              <w:pStyle w:val="32"/>
              <w:ind w:firstLine="480" w:firstLineChars="200"/>
              <w:rPr>
                <w:sz w:val="24"/>
                <w:szCs w:val="24"/>
              </w:rPr>
            </w:pPr>
            <w:r>
              <w:rPr>
                <w:sz w:val="24"/>
                <w:szCs w:val="24"/>
              </w:rPr>
              <w:t>废催化剂：锅炉烟气脱硝SCR系统2年更换一次催化剂，更换的废催化剂全部由催化剂生产厂家回收利用。</w:t>
            </w:r>
          </w:p>
          <w:p>
            <w:pPr>
              <w:pStyle w:val="32"/>
              <w:ind w:firstLine="480" w:firstLineChars="200"/>
              <w:rPr>
                <w:sz w:val="24"/>
                <w:szCs w:val="24"/>
              </w:rPr>
            </w:pPr>
            <w:r>
              <w:rPr>
                <w:sz w:val="24"/>
                <w:szCs w:val="24"/>
              </w:rPr>
              <w:t>生活垃圾：本项目产生的生活垃圾主要为职工日常生活中抛弃的各类废弃物，如废纸、废塑料等，产生量约5.1t/a。生活垃圾统一收集后由当地环卫部门统一处理。</w:t>
            </w: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p>
            <w:pPr>
              <w:pStyle w:val="32"/>
              <w:ind w:firstLine="480" w:firstLineChars="200"/>
              <w:rPr>
                <w:sz w:val="24"/>
                <w:szCs w:val="24"/>
              </w:rPr>
            </w:pPr>
          </w:p>
        </w:tc>
      </w:tr>
    </w:tbl>
    <w:p>
      <w:pPr>
        <w:pStyle w:val="4"/>
        <w:rPr>
          <w:rFonts w:ascii="Times New Roman" w:hAnsi="Times New Roman" w:cs="Times New Roman"/>
        </w:rPr>
      </w:pPr>
      <w:bookmarkStart w:id="24" w:name="_Toc86072628"/>
      <w:r>
        <w:rPr>
          <w:rFonts w:ascii="Times New Roman" w:hAnsi="Times New Roman" w:cs="Times New Roman"/>
        </w:rPr>
        <w:t>表四  建设项目环境影响报告表主要结论及审批部门审批决定</w:t>
      </w:r>
      <w:bookmarkEnd w:id="24"/>
    </w:p>
    <w:tbl>
      <w:tblPr>
        <w:tblStyle w:val="21"/>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78"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2"/>
              <w:rPr>
                <w:b/>
                <w:bCs/>
                <w:sz w:val="24"/>
                <w:szCs w:val="24"/>
              </w:rPr>
            </w:pPr>
            <w:r>
              <w:rPr>
                <w:b/>
                <w:bCs/>
                <w:sz w:val="24"/>
                <w:szCs w:val="24"/>
              </w:rPr>
              <w:t>1、变更前环境影响报告表主要结论与建议</w:t>
            </w:r>
          </w:p>
          <w:p>
            <w:pPr>
              <w:pStyle w:val="32"/>
              <w:ind w:firstLine="480" w:firstLineChars="200"/>
              <w:rPr>
                <w:sz w:val="24"/>
                <w:szCs w:val="24"/>
              </w:rPr>
            </w:pPr>
            <w:r>
              <w:rPr>
                <w:sz w:val="24"/>
                <w:szCs w:val="24"/>
              </w:rPr>
              <w:t>主要结论：本项目的建设，符合国家及地方的产业政策。符合太原市总体规划要求，选址合理，经分析评价，该项目在建成投入生产后会产生一定的污染物，在全面落实本报告提出的各项环境污染治理措施的基础上，可基本控制环境污染，做到废气、废水、噪声及固体废物达标排放，符合总量控制原则，对环境影响较小。因此，该项目的建设从环保角度讲是可行的。</w:t>
            </w:r>
          </w:p>
          <w:p>
            <w:pPr>
              <w:pStyle w:val="32"/>
              <w:ind w:firstLine="480" w:firstLineChars="200"/>
              <w:rPr>
                <w:sz w:val="24"/>
                <w:szCs w:val="24"/>
              </w:rPr>
            </w:pPr>
            <w:r>
              <w:rPr>
                <w:sz w:val="24"/>
                <w:szCs w:val="24"/>
              </w:rPr>
              <w:t>（1）结论中主要环境影响及环保措施要求</w:t>
            </w:r>
          </w:p>
          <w:p>
            <w:pPr>
              <w:pStyle w:val="32"/>
              <w:jc w:val="center"/>
              <w:rPr>
                <w:sz w:val="24"/>
                <w:szCs w:val="24"/>
              </w:rPr>
            </w:pPr>
            <w:r>
              <w:rPr>
                <w:sz w:val="24"/>
                <w:szCs w:val="24"/>
              </w:rPr>
              <w:t>表1</w:t>
            </w:r>
            <w:r>
              <w:rPr>
                <w:rFonts w:hint="eastAsia"/>
                <w:sz w:val="24"/>
                <w:szCs w:val="24"/>
              </w:rPr>
              <w:t>1</w:t>
            </w:r>
            <w:r>
              <w:rPr>
                <w:sz w:val="24"/>
                <w:szCs w:val="24"/>
              </w:rPr>
              <w:t xml:space="preserve">  环境影响报告表结论中主要环境影响及环保措施要求</w:t>
            </w:r>
          </w:p>
          <w:tbl>
            <w:tblPr>
              <w:tblStyle w:val="21"/>
              <w:tblW w:w="8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275"/>
              <w:gridCol w:w="1418"/>
              <w:gridCol w:w="2551"/>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1" w:type="dxa"/>
                  <w:vAlign w:val="center"/>
                </w:tcPr>
                <w:p>
                  <w:pPr>
                    <w:pStyle w:val="32"/>
                    <w:spacing w:line="276" w:lineRule="auto"/>
                    <w:jc w:val="center"/>
                    <w:rPr>
                      <w:b/>
                      <w:bCs/>
                      <w:sz w:val="21"/>
                      <w:szCs w:val="21"/>
                    </w:rPr>
                  </w:pPr>
                  <w:r>
                    <w:rPr>
                      <w:b/>
                      <w:bCs/>
                      <w:sz w:val="21"/>
                      <w:szCs w:val="21"/>
                    </w:rPr>
                    <w:t>内容/类型</w:t>
                  </w:r>
                </w:p>
              </w:tc>
              <w:tc>
                <w:tcPr>
                  <w:tcW w:w="1275" w:type="dxa"/>
                  <w:vAlign w:val="center"/>
                </w:tcPr>
                <w:p>
                  <w:pPr>
                    <w:pStyle w:val="32"/>
                    <w:spacing w:line="276" w:lineRule="auto"/>
                    <w:jc w:val="center"/>
                    <w:rPr>
                      <w:b/>
                      <w:bCs/>
                      <w:sz w:val="21"/>
                      <w:szCs w:val="21"/>
                    </w:rPr>
                  </w:pPr>
                  <w:r>
                    <w:rPr>
                      <w:b/>
                      <w:bCs/>
                      <w:sz w:val="21"/>
                      <w:szCs w:val="21"/>
                    </w:rPr>
                    <w:t>排放源</w:t>
                  </w:r>
                </w:p>
              </w:tc>
              <w:tc>
                <w:tcPr>
                  <w:tcW w:w="1418" w:type="dxa"/>
                  <w:vAlign w:val="center"/>
                </w:tcPr>
                <w:p>
                  <w:pPr>
                    <w:pStyle w:val="32"/>
                    <w:spacing w:line="276" w:lineRule="auto"/>
                    <w:jc w:val="center"/>
                    <w:rPr>
                      <w:b/>
                      <w:bCs/>
                      <w:sz w:val="21"/>
                      <w:szCs w:val="21"/>
                    </w:rPr>
                  </w:pPr>
                  <w:r>
                    <w:rPr>
                      <w:b/>
                      <w:bCs/>
                      <w:sz w:val="21"/>
                      <w:szCs w:val="21"/>
                    </w:rPr>
                    <w:t>污染物名称</w:t>
                  </w:r>
                </w:p>
              </w:tc>
              <w:tc>
                <w:tcPr>
                  <w:tcW w:w="2551" w:type="dxa"/>
                  <w:vAlign w:val="center"/>
                </w:tcPr>
                <w:p>
                  <w:pPr>
                    <w:pStyle w:val="32"/>
                    <w:spacing w:line="276" w:lineRule="auto"/>
                    <w:jc w:val="center"/>
                    <w:rPr>
                      <w:b/>
                      <w:bCs/>
                      <w:sz w:val="21"/>
                      <w:szCs w:val="21"/>
                    </w:rPr>
                  </w:pPr>
                  <w:r>
                    <w:rPr>
                      <w:b/>
                      <w:bCs/>
                      <w:sz w:val="21"/>
                      <w:szCs w:val="21"/>
                    </w:rPr>
                    <w:t>防治措施</w:t>
                  </w:r>
                </w:p>
              </w:tc>
              <w:tc>
                <w:tcPr>
                  <w:tcW w:w="2325" w:type="dxa"/>
                  <w:vAlign w:val="center"/>
                </w:tcPr>
                <w:p>
                  <w:pPr>
                    <w:pStyle w:val="32"/>
                    <w:spacing w:line="276" w:lineRule="auto"/>
                    <w:jc w:val="center"/>
                    <w:rPr>
                      <w:b/>
                      <w:bCs/>
                      <w:sz w:val="21"/>
                      <w:szCs w:val="21"/>
                    </w:rPr>
                  </w:pPr>
                  <w:r>
                    <w:rPr>
                      <w:b/>
                      <w:bCs/>
                      <w:sz w:val="21"/>
                      <w:szCs w:val="21"/>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大气污染物</w:t>
                  </w:r>
                </w:p>
              </w:tc>
              <w:tc>
                <w:tcPr>
                  <w:tcW w:w="1275" w:type="dxa"/>
                  <w:vMerge w:val="restart"/>
                  <w:vAlign w:val="center"/>
                </w:tcPr>
                <w:p>
                  <w:pPr>
                    <w:pStyle w:val="15"/>
                    <w:spacing w:line="276" w:lineRule="auto"/>
                    <w:ind w:left="0" w:leftChars="0"/>
                    <w:jc w:val="center"/>
                    <w:rPr>
                      <w:rFonts w:ascii="Times New Roman" w:hAnsi="Times New Roman" w:cs="Times New Roman"/>
                      <w:sz w:val="21"/>
                      <w:szCs w:val="21"/>
                    </w:rPr>
                  </w:pPr>
                  <w:r>
                    <w:rPr>
                      <w:rFonts w:ascii="Times New Roman" w:hAnsi="Times New Roman" w:cs="Times New Roman"/>
                      <w:sz w:val="21"/>
                      <w:szCs w:val="21"/>
                    </w:rPr>
                    <w:t>燃气锅炉</w:t>
                  </w:r>
                </w:p>
              </w:tc>
              <w:tc>
                <w:tcPr>
                  <w:tcW w:w="1418" w:type="dxa"/>
                  <w:vAlign w:val="center"/>
                </w:tcPr>
                <w:p>
                  <w:pPr>
                    <w:pStyle w:val="32"/>
                    <w:spacing w:line="276" w:lineRule="auto"/>
                    <w:jc w:val="center"/>
                    <w:rPr>
                      <w:sz w:val="21"/>
                      <w:szCs w:val="21"/>
                    </w:rPr>
                  </w:pPr>
                  <w:r>
                    <w:rPr>
                      <w:sz w:val="21"/>
                      <w:szCs w:val="21"/>
                    </w:rPr>
                    <w:t>烟尘</w:t>
                  </w:r>
                </w:p>
              </w:tc>
              <w:tc>
                <w:tcPr>
                  <w:tcW w:w="2551" w:type="dxa"/>
                  <w:vMerge w:val="restart"/>
                  <w:vAlign w:val="center"/>
                </w:tcPr>
                <w:p>
                  <w:pPr>
                    <w:adjustRightInd/>
                    <w:spacing w:before="120" w:line="276" w:lineRule="auto"/>
                    <w:jc w:val="center"/>
                    <w:rPr>
                      <w:rFonts w:ascii="Times New Roman" w:hAnsi="Times New Roman" w:cs="Times New Roman"/>
                      <w:spacing w:val="4"/>
                    </w:rPr>
                  </w:pPr>
                  <w:r>
                    <w:rPr>
                      <w:rFonts w:ascii="Times New Roman" w:hAnsi="Times New Roman" w:cs="Times New Roman"/>
                      <w:spacing w:val="4"/>
                    </w:rPr>
                    <w:t>对助燃空气进行过滤</w:t>
                  </w:r>
                </w:p>
                <w:p>
                  <w:pPr>
                    <w:pStyle w:val="32"/>
                    <w:spacing w:line="276" w:lineRule="auto"/>
                    <w:jc w:val="center"/>
                    <w:rPr>
                      <w:sz w:val="21"/>
                      <w:szCs w:val="21"/>
                    </w:rPr>
                  </w:pPr>
                  <w:r>
                    <w:rPr>
                      <w:spacing w:val="4"/>
                      <w:sz w:val="21"/>
                      <w:szCs w:val="21"/>
                    </w:rPr>
                    <w:t>调</w:t>
                  </w:r>
                  <w:r>
                    <w:rPr>
                      <w:sz w:val="21"/>
                      <w:szCs w:val="21"/>
                    </w:rPr>
                    <w:t>整锅炉工作参数，安装低氮燃烧器（预留脱硝位置）</w:t>
                  </w:r>
                </w:p>
              </w:tc>
              <w:tc>
                <w:tcPr>
                  <w:tcW w:w="2325" w:type="dxa"/>
                  <w:vMerge w:val="restart"/>
                  <w:vAlign w:val="center"/>
                </w:tcPr>
                <w:p>
                  <w:pPr>
                    <w:pStyle w:val="32"/>
                    <w:spacing w:line="276" w:lineRule="auto"/>
                    <w:jc w:val="center"/>
                    <w:rPr>
                      <w:sz w:val="21"/>
                      <w:szCs w:val="21"/>
                    </w:rPr>
                  </w:pPr>
                  <w:r>
                    <w:rPr>
                      <w:sz w:val="21"/>
                      <w:szCs w:val="21"/>
                    </w:rPr>
                    <w:t>《火电厂大气污染物排放标准》（GB13223-2011）中的表2中大气污染物特别排放限值（烟尘5mg/m³、SO</w:t>
                  </w:r>
                  <w:r>
                    <w:rPr>
                      <w:sz w:val="21"/>
                      <w:szCs w:val="21"/>
                      <w:vertAlign w:val="subscript"/>
                    </w:rPr>
                    <w:t>2</w:t>
                  </w:r>
                  <w:r>
                    <w:rPr>
                      <w:sz w:val="21"/>
                      <w:szCs w:val="21"/>
                    </w:rPr>
                    <w:t>：35mg/m³、NOx：100mg/m³）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1" w:type="dxa"/>
                  <w:vMerge w:val="continue"/>
                  <w:vAlign w:val="center"/>
                </w:tcPr>
                <w:p>
                  <w:pPr>
                    <w:pStyle w:val="32"/>
                    <w:spacing w:line="276" w:lineRule="auto"/>
                    <w:jc w:val="center"/>
                    <w:rPr>
                      <w:sz w:val="21"/>
                      <w:szCs w:val="21"/>
                    </w:rPr>
                  </w:pPr>
                </w:p>
              </w:tc>
              <w:tc>
                <w:tcPr>
                  <w:tcW w:w="1275" w:type="dxa"/>
                  <w:vMerge w:val="continue"/>
                  <w:vAlign w:val="center"/>
                </w:tcPr>
                <w:p>
                  <w:pPr>
                    <w:pStyle w:val="32"/>
                    <w:spacing w:line="276" w:lineRule="auto"/>
                    <w:jc w:val="center"/>
                    <w:rPr>
                      <w:sz w:val="21"/>
                      <w:szCs w:val="21"/>
                    </w:rPr>
                  </w:pPr>
                </w:p>
              </w:tc>
              <w:tc>
                <w:tcPr>
                  <w:tcW w:w="1418" w:type="dxa"/>
                  <w:vAlign w:val="center"/>
                </w:tcPr>
                <w:p>
                  <w:pPr>
                    <w:pStyle w:val="32"/>
                    <w:spacing w:line="276" w:lineRule="auto"/>
                    <w:jc w:val="center"/>
                    <w:rPr>
                      <w:sz w:val="21"/>
                      <w:szCs w:val="21"/>
                    </w:rPr>
                  </w:pPr>
                  <w:r>
                    <w:rPr>
                      <w:sz w:val="21"/>
                      <w:szCs w:val="21"/>
                    </w:rPr>
                    <w:t>SO</w:t>
                  </w:r>
                  <w:r>
                    <w:rPr>
                      <w:sz w:val="21"/>
                      <w:szCs w:val="21"/>
                      <w:vertAlign w:val="subscript"/>
                    </w:rPr>
                    <w:t>2</w:t>
                  </w:r>
                </w:p>
              </w:tc>
              <w:tc>
                <w:tcPr>
                  <w:tcW w:w="2551" w:type="dxa"/>
                  <w:vMerge w:val="continue"/>
                  <w:vAlign w:val="center"/>
                </w:tcPr>
                <w:p>
                  <w:pPr>
                    <w:pStyle w:val="32"/>
                    <w:spacing w:line="276" w:lineRule="auto"/>
                    <w:jc w:val="center"/>
                    <w:rPr>
                      <w:sz w:val="21"/>
                      <w:szCs w:val="21"/>
                    </w:rPr>
                  </w:pPr>
                </w:p>
              </w:tc>
              <w:tc>
                <w:tcPr>
                  <w:tcW w:w="2325" w:type="dxa"/>
                  <w:vMerge w:val="continue"/>
                  <w:vAlign w:val="center"/>
                </w:tcPr>
                <w:p>
                  <w:pPr>
                    <w:pStyle w:val="32"/>
                    <w:spacing w:line="276"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1" w:type="dxa"/>
                  <w:vMerge w:val="continue"/>
                  <w:vAlign w:val="center"/>
                </w:tcPr>
                <w:p>
                  <w:pPr>
                    <w:pStyle w:val="32"/>
                    <w:spacing w:line="276" w:lineRule="auto"/>
                    <w:jc w:val="center"/>
                    <w:rPr>
                      <w:sz w:val="21"/>
                      <w:szCs w:val="21"/>
                    </w:rPr>
                  </w:pPr>
                </w:p>
              </w:tc>
              <w:tc>
                <w:tcPr>
                  <w:tcW w:w="1275" w:type="dxa"/>
                  <w:vMerge w:val="continue"/>
                  <w:vAlign w:val="center"/>
                </w:tcPr>
                <w:p>
                  <w:pPr>
                    <w:pStyle w:val="32"/>
                    <w:spacing w:line="276" w:lineRule="auto"/>
                    <w:jc w:val="center"/>
                    <w:rPr>
                      <w:sz w:val="21"/>
                      <w:szCs w:val="21"/>
                    </w:rPr>
                  </w:pPr>
                </w:p>
              </w:tc>
              <w:tc>
                <w:tcPr>
                  <w:tcW w:w="1418" w:type="dxa"/>
                  <w:vAlign w:val="center"/>
                </w:tcPr>
                <w:p>
                  <w:pPr>
                    <w:pStyle w:val="32"/>
                    <w:spacing w:line="276" w:lineRule="auto"/>
                    <w:jc w:val="center"/>
                    <w:rPr>
                      <w:sz w:val="21"/>
                      <w:szCs w:val="21"/>
                    </w:rPr>
                  </w:pPr>
                  <w:r>
                    <w:rPr>
                      <w:sz w:val="21"/>
                      <w:szCs w:val="21"/>
                    </w:rPr>
                    <w:t>NOx</w:t>
                  </w:r>
                </w:p>
              </w:tc>
              <w:tc>
                <w:tcPr>
                  <w:tcW w:w="2551" w:type="dxa"/>
                  <w:vMerge w:val="continue"/>
                  <w:vAlign w:val="center"/>
                </w:tcPr>
                <w:p>
                  <w:pPr>
                    <w:pStyle w:val="32"/>
                    <w:spacing w:line="276" w:lineRule="auto"/>
                    <w:jc w:val="center"/>
                    <w:rPr>
                      <w:sz w:val="21"/>
                      <w:szCs w:val="21"/>
                    </w:rPr>
                  </w:pPr>
                </w:p>
              </w:tc>
              <w:tc>
                <w:tcPr>
                  <w:tcW w:w="2325" w:type="dxa"/>
                  <w:vMerge w:val="continue"/>
                  <w:vAlign w:val="center"/>
                </w:tcPr>
                <w:p>
                  <w:pPr>
                    <w:pStyle w:val="32"/>
                    <w:spacing w:line="276"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水污染物</w:t>
                  </w:r>
                </w:p>
              </w:tc>
              <w:tc>
                <w:tcPr>
                  <w:tcW w:w="1275" w:type="dxa"/>
                  <w:vAlign w:val="center"/>
                </w:tcPr>
                <w:p>
                  <w:pPr>
                    <w:pStyle w:val="32"/>
                    <w:spacing w:line="276" w:lineRule="auto"/>
                    <w:jc w:val="center"/>
                    <w:rPr>
                      <w:sz w:val="21"/>
                      <w:szCs w:val="21"/>
                    </w:rPr>
                  </w:pPr>
                  <w:r>
                    <w:rPr>
                      <w:sz w:val="21"/>
                      <w:szCs w:val="21"/>
                    </w:rPr>
                    <w:t>生活污水</w:t>
                  </w:r>
                </w:p>
              </w:tc>
              <w:tc>
                <w:tcPr>
                  <w:tcW w:w="1418" w:type="dxa"/>
                  <w:vAlign w:val="center"/>
                </w:tcPr>
                <w:p>
                  <w:pPr>
                    <w:pStyle w:val="32"/>
                    <w:spacing w:line="276" w:lineRule="auto"/>
                    <w:jc w:val="center"/>
                    <w:rPr>
                      <w:sz w:val="21"/>
                      <w:szCs w:val="21"/>
                    </w:rPr>
                  </w:pPr>
                  <w:r>
                    <w:rPr>
                      <w:sz w:val="21"/>
                      <w:szCs w:val="21"/>
                    </w:rPr>
                    <w:t>COD、BOD、NH</w:t>
                  </w:r>
                  <w:r>
                    <w:rPr>
                      <w:sz w:val="21"/>
                      <w:szCs w:val="21"/>
                      <w:vertAlign w:val="subscript"/>
                    </w:rPr>
                    <w:t>3</w:t>
                  </w:r>
                  <w:r>
                    <w:rPr>
                      <w:sz w:val="21"/>
                      <w:szCs w:val="21"/>
                    </w:rPr>
                    <w:t>-N、SS</w:t>
                  </w:r>
                </w:p>
              </w:tc>
              <w:tc>
                <w:tcPr>
                  <w:tcW w:w="2551" w:type="dxa"/>
                  <w:vMerge w:val="restart"/>
                  <w:vAlign w:val="center"/>
                </w:tcPr>
                <w:p>
                  <w:pPr>
                    <w:adjustRightInd/>
                    <w:spacing w:before="120" w:line="276" w:lineRule="auto"/>
                    <w:jc w:val="center"/>
                    <w:rPr>
                      <w:rFonts w:ascii="Times New Roman" w:hAnsi="Times New Roman" w:cs="Times New Roman"/>
                      <w:spacing w:val="4"/>
                    </w:rPr>
                  </w:pPr>
                  <w:r>
                    <w:rPr>
                      <w:rFonts w:ascii="Times New Roman" w:hAnsi="Times New Roman" w:cs="Times New Roman"/>
                      <w:spacing w:val="4"/>
                    </w:rPr>
                    <w:t>排往太钢厂区污水管网，最后进入太钢赵庄污水处理厂处理后回用，不外排（处理规模为19万m³/d）</w:t>
                  </w:r>
                </w:p>
              </w:tc>
              <w:tc>
                <w:tcPr>
                  <w:tcW w:w="2325" w:type="dxa"/>
                  <w:vAlign w:val="center"/>
                </w:tcPr>
                <w:p>
                  <w:pPr>
                    <w:pStyle w:val="32"/>
                    <w:spacing w:line="276" w:lineRule="auto"/>
                    <w:jc w:val="center"/>
                    <w:rPr>
                      <w:sz w:val="21"/>
                      <w:szCs w:val="21"/>
                    </w:rPr>
                  </w:pPr>
                  <w:r>
                    <w:rPr>
                      <w:sz w:val="21"/>
                      <w:szCs w:val="21"/>
                    </w:rPr>
                    <w:t>不会对周围环境造成影响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1" w:type="dxa"/>
                  <w:vMerge w:val="continue"/>
                  <w:vAlign w:val="center"/>
                </w:tcPr>
                <w:p>
                  <w:pPr>
                    <w:pStyle w:val="32"/>
                    <w:spacing w:line="276" w:lineRule="auto"/>
                    <w:jc w:val="center"/>
                    <w:rPr>
                      <w:sz w:val="21"/>
                      <w:szCs w:val="21"/>
                    </w:rPr>
                  </w:pPr>
                </w:p>
              </w:tc>
              <w:tc>
                <w:tcPr>
                  <w:tcW w:w="1275" w:type="dxa"/>
                  <w:vAlign w:val="center"/>
                </w:tcPr>
                <w:p>
                  <w:pPr>
                    <w:pStyle w:val="32"/>
                    <w:spacing w:line="276" w:lineRule="auto"/>
                    <w:jc w:val="center"/>
                    <w:rPr>
                      <w:sz w:val="21"/>
                      <w:szCs w:val="21"/>
                    </w:rPr>
                  </w:pPr>
                  <w:r>
                    <w:rPr>
                      <w:sz w:val="21"/>
                      <w:szCs w:val="21"/>
                    </w:rPr>
                    <w:t>生产废水</w:t>
                  </w:r>
                </w:p>
              </w:tc>
              <w:tc>
                <w:tcPr>
                  <w:tcW w:w="1418" w:type="dxa"/>
                  <w:vAlign w:val="center"/>
                </w:tcPr>
                <w:p>
                  <w:pPr>
                    <w:pStyle w:val="32"/>
                    <w:spacing w:line="276" w:lineRule="auto"/>
                    <w:jc w:val="center"/>
                    <w:rPr>
                      <w:sz w:val="21"/>
                      <w:szCs w:val="21"/>
                    </w:rPr>
                  </w:pPr>
                  <w:r>
                    <w:rPr>
                      <w:sz w:val="21"/>
                      <w:szCs w:val="21"/>
                    </w:rPr>
                    <w:t>清洁排水</w:t>
                  </w:r>
                </w:p>
              </w:tc>
              <w:tc>
                <w:tcPr>
                  <w:tcW w:w="2551" w:type="dxa"/>
                  <w:vMerge w:val="continue"/>
                  <w:vAlign w:val="center"/>
                </w:tcPr>
                <w:p>
                  <w:pPr>
                    <w:pStyle w:val="32"/>
                    <w:spacing w:line="276" w:lineRule="auto"/>
                    <w:jc w:val="center"/>
                    <w:rPr>
                      <w:sz w:val="21"/>
                      <w:szCs w:val="21"/>
                    </w:rPr>
                  </w:pPr>
                </w:p>
              </w:tc>
              <w:tc>
                <w:tcPr>
                  <w:tcW w:w="2325" w:type="dxa"/>
                  <w:vAlign w:val="center"/>
                </w:tcPr>
                <w:p>
                  <w:pPr>
                    <w:pStyle w:val="32"/>
                    <w:spacing w:line="276" w:lineRule="auto"/>
                    <w:jc w:val="center"/>
                    <w:rPr>
                      <w:sz w:val="21"/>
                      <w:szCs w:val="21"/>
                    </w:rPr>
                  </w:pPr>
                  <w:r>
                    <w:rPr>
                      <w:sz w:val="21"/>
                      <w:szCs w:val="21"/>
                    </w:rPr>
                    <w:t>不会对周围环境造成影响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1" w:type="dxa"/>
                  <w:vAlign w:val="center"/>
                </w:tcPr>
                <w:p>
                  <w:pPr>
                    <w:spacing w:line="276" w:lineRule="auto"/>
                    <w:jc w:val="center"/>
                    <w:rPr>
                      <w:rFonts w:ascii="Times New Roman" w:hAnsi="Times New Roman" w:cs="Times New Roman"/>
                    </w:rPr>
                  </w:pPr>
                  <w:r>
                    <w:rPr>
                      <w:rFonts w:ascii="Times New Roman" w:hAnsi="Times New Roman" w:cs="Times New Roman"/>
                    </w:rPr>
                    <w:t>噪声</w:t>
                  </w:r>
                </w:p>
              </w:tc>
              <w:tc>
                <w:tcPr>
                  <w:tcW w:w="1275" w:type="dxa"/>
                  <w:vAlign w:val="center"/>
                </w:tcPr>
                <w:p>
                  <w:pPr>
                    <w:pStyle w:val="32"/>
                    <w:spacing w:line="276" w:lineRule="auto"/>
                    <w:jc w:val="center"/>
                    <w:rPr>
                      <w:sz w:val="21"/>
                      <w:szCs w:val="21"/>
                    </w:rPr>
                  </w:pPr>
                  <w:r>
                    <w:rPr>
                      <w:sz w:val="21"/>
                      <w:szCs w:val="21"/>
                    </w:rPr>
                    <w:t>汽轮机组、泵类等设备</w:t>
                  </w:r>
                </w:p>
              </w:tc>
              <w:tc>
                <w:tcPr>
                  <w:tcW w:w="1418" w:type="dxa"/>
                  <w:vAlign w:val="center"/>
                </w:tcPr>
                <w:p>
                  <w:pPr>
                    <w:pStyle w:val="32"/>
                    <w:spacing w:line="276" w:lineRule="auto"/>
                    <w:jc w:val="center"/>
                    <w:rPr>
                      <w:sz w:val="21"/>
                      <w:szCs w:val="21"/>
                    </w:rPr>
                  </w:pPr>
                  <w:r>
                    <w:rPr>
                      <w:sz w:val="21"/>
                      <w:szCs w:val="21"/>
                    </w:rPr>
                    <w:t>噪声</w:t>
                  </w:r>
                </w:p>
              </w:tc>
              <w:tc>
                <w:tcPr>
                  <w:tcW w:w="2551" w:type="dxa"/>
                  <w:vAlign w:val="center"/>
                </w:tcPr>
                <w:p>
                  <w:pPr>
                    <w:pStyle w:val="32"/>
                    <w:spacing w:line="276" w:lineRule="auto"/>
                    <w:jc w:val="center"/>
                    <w:rPr>
                      <w:sz w:val="21"/>
                      <w:szCs w:val="21"/>
                    </w:rPr>
                  </w:pPr>
                  <w:r>
                    <w:rPr>
                      <w:sz w:val="21"/>
                      <w:szCs w:val="21"/>
                    </w:rPr>
                    <w:t>基础减振、室内屏蔽、安装消声器以及吸声材料</w:t>
                  </w:r>
                </w:p>
              </w:tc>
              <w:tc>
                <w:tcPr>
                  <w:tcW w:w="2325" w:type="dxa"/>
                  <w:vAlign w:val="center"/>
                </w:tcPr>
                <w:p>
                  <w:pPr>
                    <w:pStyle w:val="32"/>
                    <w:spacing w:line="276" w:lineRule="auto"/>
                    <w:jc w:val="center"/>
                    <w:rPr>
                      <w:sz w:val="21"/>
                      <w:szCs w:val="21"/>
                    </w:rPr>
                  </w:pPr>
                  <w:r>
                    <w:rPr>
                      <w:sz w:val="21"/>
                      <w:szCs w:val="21"/>
                    </w:rPr>
                    <w:t>《工业企业厂界环境噪声排放标准》（GB12348 -2008）中3类标准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1" w:type="dxa"/>
                  <w:vMerge w:val="restart"/>
                  <w:vAlign w:val="center"/>
                </w:tcPr>
                <w:p>
                  <w:pPr>
                    <w:pStyle w:val="32"/>
                    <w:spacing w:line="276" w:lineRule="auto"/>
                    <w:jc w:val="center"/>
                    <w:rPr>
                      <w:sz w:val="21"/>
                      <w:szCs w:val="21"/>
                    </w:rPr>
                  </w:pPr>
                  <w:r>
                    <w:rPr>
                      <w:sz w:val="21"/>
                      <w:szCs w:val="21"/>
                    </w:rPr>
                    <w:t>固体废物</w:t>
                  </w:r>
                </w:p>
              </w:tc>
              <w:tc>
                <w:tcPr>
                  <w:tcW w:w="1275" w:type="dxa"/>
                  <w:vAlign w:val="center"/>
                </w:tcPr>
                <w:p>
                  <w:pPr>
                    <w:pStyle w:val="32"/>
                    <w:spacing w:line="276" w:lineRule="auto"/>
                    <w:jc w:val="center"/>
                    <w:rPr>
                      <w:sz w:val="21"/>
                      <w:szCs w:val="21"/>
                    </w:rPr>
                  </w:pPr>
                  <w:r>
                    <w:rPr>
                      <w:sz w:val="21"/>
                      <w:szCs w:val="21"/>
                    </w:rPr>
                    <w:t>职工</w:t>
                  </w:r>
                </w:p>
              </w:tc>
              <w:tc>
                <w:tcPr>
                  <w:tcW w:w="1418" w:type="dxa"/>
                  <w:vAlign w:val="center"/>
                </w:tcPr>
                <w:p>
                  <w:pPr>
                    <w:pStyle w:val="32"/>
                    <w:spacing w:line="276" w:lineRule="auto"/>
                    <w:jc w:val="center"/>
                    <w:rPr>
                      <w:sz w:val="21"/>
                      <w:szCs w:val="21"/>
                    </w:rPr>
                  </w:pPr>
                  <w:r>
                    <w:rPr>
                      <w:sz w:val="21"/>
                      <w:szCs w:val="21"/>
                    </w:rPr>
                    <w:t>生活垃圾</w:t>
                  </w:r>
                </w:p>
              </w:tc>
              <w:tc>
                <w:tcPr>
                  <w:tcW w:w="2551" w:type="dxa"/>
                  <w:vAlign w:val="center"/>
                </w:tcPr>
                <w:p>
                  <w:pPr>
                    <w:pStyle w:val="32"/>
                    <w:spacing w:line="276" w:lineRule="auto"/>
                    <w:jc w:val="center"/>
                    <w:rPr>
                      <w:sz w:val="21"/>
                      <w:szCs w:val="21"/>
                    </w:rPr>
                  </w:pPr>
                  <w:r>
                    <w:rPr>
                      <w:sz w:val="21"/>
                      <w:szCs w:val="21"/>
                    </w:rPr>
                    <w:t>厂区设封闭垃圾箱，定期交环卫部门统一处理</w:t>
                  </w:r>
                </w:p>
              </w:tc>
              <w:tc>
                <w:tcPr>
                  <w:tcW w:w="2325" w:type="dxa"/>
                  <w:vMerge w:val="restart"/>
                  <w:vAlign w:val="center"/>
                </w:tcPr>
                <w:p>
                  <w:pPr>
                    <w:pStyle w:val="32"/>
                    <w:spacing w:line="276" w:lineRule="auto"/>
                    <w:jc w:val="center"/>
                    <w:rPr>
                      <w:sz w:val="21"/>
                      <w:szCs w:val="21"/>
                    </w:rPr>
                  </w:pPr>
                  <w:r>
                    <w:rPr>
                      <w:sz w:val="21"/>
                      <w:szCs w:val="21"/>
                    </w:rPr>
                    <w:t>合理处置，不会对周围环境造成影响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1" w:type="dxa"/>
                  <w:vMerge w:val="continue"/>
                  <w:vAlign w:val="center"/>
                </w:tcPr>
                <w:p>
                  <w:pPr>
                    <w:pStyle w:val="32"/>
                    <w:spacing w:line="276" w:lineRule="auto"/>
                    <w:jc w:val="center"/>
                    <w:rPr>
                      <w:sz w:val="21"/>
                      <w:szCs w:val="21"/>
                    </w:rPr>
                  </w:pPr>
                </w:p>
              </w:tc>
              <w:tc>
                <w:tcPr>
                  <w:tcW w:w="1275" w:type="dxa"/>
                  <w:vAlign w:val="center"/>
                </w:tcPr>
                <w:p>
                  <w:pPr>
                    <w:pStyle w:val="32"/>
                    <w:spacing w:line="276" w:lineRule="auto"/>
                    <w:jc w:val="center"/>
                    <w:rPr>
                      <w:sz w:val="21"/>
                      <w:szCs w:val="21"/>
                    </w:rPr>
                  </w:pPr>
                  <w:r>
                    <w:rPr>
                      <w:sz w:val="21"/>
                      <w:szCs w:val="21"/>
                    </w:rPr>
                    <w:t>汽轮机组</w:t>
                  </w:r>
                </w:p>
              </w:tc>
              <w:tc>
                <w:tcPr>
                  <w:tcW w:w="1418" w:type="dxa"/>
                  <w:vAlign w:val="center"/>
                </w:tcPr>
                <w:p>
                  <w:pPr>
                    <w:pStyle w:val="32"/>
                    <w:spacing w:line="276" w:lineRule="auto"/>
                    <w:jc w:val="center"/>
                    <w:rPr>
                      <w:sz w:val="21"/>
                      <w:szCs w:val="21"/>
                    </w:rPr>
                  </w:pPr>
                  <w:r>
                    <w:rPr>
                      <w:sz w:val="21"/>
                      <w:szCs w:val="21"/>
                    </w:rPr>
                    <w:t>废机油</w:t>
                  </w:r>
                </w:p>
              </w:tc>
              <w:tc>
                <w:tcPr>
                  <w:tcW w:w="2551" w:type="dxa"/>
                  <w:vAlign w:val="center"/>
                </w:tcPr>
                <w:p>
                  <w:pPr>
                    <w:autoSpaceDE w:val="0"/>
                    <w:autoSpaceDN w:val="0"/>
                    <w:spacing w:line="276" w:lineRule="auto"/>
                    <w:jc w:val="center"/>
                    <w:rPr>
                      <w:rFonts w:ascii="Times New Roman" w:hAnsi="Times New Roman" w:cs="Times New Roman"/>
                    </w:rPr>
                  </w:pPr>
                  <w:r>
                    <w:rPr>
                      <w:rFonts w:ascii="Times New Roman" w:hAnsi="Times New Roman" w:cs="Times New Roman"/>
                    </w:rPr>
                    <w:t>交由太原钢铁（集团）公司福利总厂进行集中处置</w:t>
                  </w:r>
                </w:p>
              </w:tc>
              <w:tc>
                <w:tcPr>
                  <w:tcW w:w="2325" w:type="dxa"/>
                  <w:vMerge w:val="continue"/>
                  <w:vAlign w:val="center"/>
                </w:tcPr>
                <w:p>
                  <w:pPr>
                    <w:pStyle w:val="32"/>
                    <w:spacing w:line="276" w:lineRule="auto"/>
                    <w:jc w:val="center"/>
                    <w:rPr>
                      <w:sz w:val="21"/>
                      <w:szCs w:val="21"/>
                    </w:rPr>
                  </w:pPr>
                </w:p>
              </w:tc>
            </w:tr>
          </w:tbl>
          <w:p>
            <w:pPr>
              <w:pStyle w:val="32"/>
              <w:ind w:firstLine="240" w:firstLineChars="100"/>
              <w:rPr>
                <w:sz w:val="24"/>
                <w:szCs w:val="24"/>
              </w:rPr>
            </w:pPr>
            <w:r>
              <w:rPr>
                <w:sz w:val="24"/>
                <w:szCs w:val="24"/>
              </w:rPr>
              <w:t>（2）建议</w:t>
            </w:r>
          </w:p>
          <w:p>
            <w:pPr>
              <w:pStyle w:val="32"/>
              <w:ind w:firstLine="480" w:firstLineChars="200"/>
              <w:rPr>
                <w:sz w:val="24"/>
                <w:szCs w:val="24"/>
              </w:rPr>
            </w:pPr>
            <w:r>
              <w:rPr>
                <w:sz w:val="24"/>
                <w:szCs w:val="24"/>
              </w:rPr>
              <w:t>1）本项目要严格执行“三同时”制度，即防治污染的设施与主体工程“同时设计、同时施工、同时运行”。</w:t>
            </w:r>
          </w:p>
          <w:p>
            <w:pPr>
              <w:pStyle w:val="32"/>
              <w:ind w:firstLine="480" w:firstLineChars="200"/>
              <w:rPr>
                <w:sz w:val="24"/>
                <w:szCs w:val="24"/>
              </w:rPr>
            </w:pPr>
            <w:r>
              <w:rPr>
                <w:sz w:val="24"/>
                <w:szCs w:val="24"/>
              </w:rPr>
              <w:t>2）单位应配备专职人员分管环境保护工作，完善环境管理制度，加强动态管理，以避免造成新的污染。</w:t>
            </w:r>
          </w:p>
          <w:p>
            <w:pPr>
              <w:pStyle w:val="32"/>
              <w:ind w:firstLine="480" w:firstLineChars="200"/>
              <w:rPr>
                <w:sz w:val="24"/>
                <w:szCs w:val="24"/>
              </w:rPr>
            </w:pPr>
            <w:r>
              <w:rPr>
                <w:sz w:val="24"/>
                <w:szCs w:val="24"/>
              </w:rPr>
              <w:t>3）加强管理，保证环保设施稳定运行，并应对其经常检修，最大限度减少污染排放给环境造成的影响。</w:t>
            </w:r>
          </w:p>
          <w:p>
            <w:pPr>
              <w:pStyle w:val="32"/>
              <w:ind w:firstLine="480" w:firstLineChars="200"/>
              <w:rPr>
                <w:sz w:val="24"/>
                <w:szCs w:val="24"/>
              </w:rPr>
            </w:pPr>
            <w:r>
              <w:rPr>
                <w:sz w:val="24"/>
                <w:szCs w:val="24"/>
              </w:rPr>
              <w:t>4）加强环保宣传教育，提高职工的环保意识。</w:t>
            </w:r>
          </w:p>
          <w:p>
            <w:pPr>
              <w:pStyle w:val="32"/>
              <w:ind w:firstLine="480" w:firstLineChars="200"/>
              <w:rPr>
                <w:sz w:val="24"/>
                <w:szCs w:val="24"/>
              </w:rPr>
            </w:pPr>
            <w:r>
              <w:rPr>
                <w:sz w:val="24"/>
                <w:szCs w:val="24"/>
              </w:rPr>
              <w:t>5）针对行业生产特点，加强生产设备管理，尽可能减少物料流失。</w:t>
            </w:r>
          </w:p>
          <w:p>
            <w:pPr>
              <w:pStyle w:val="32"/>
              <w:ind w:firstLine="480" w:firstLineChars="200"/>
              <w:rPr>
                <w:sz w:val="24"/>
                <w:szCs w:val="24"/>
              </w:rPr>
            </w:pPr>
            <w:r>
              <w:rPr>
                <w:sz w:val="24"/>
                <w:szCs w:val="24"/>
              </w:rPr>
              <w:t>6）厂区要加强绿化、美化，实现厂区园林化，建设文明工厂。</w:t>
            </w:r>
          </w:p>
          <w:p>
            <w:pPr>
              <w:pStyle w:val="32"/>
              <w:rPr>
                <w:b/>
                <w:bCs/>
                <w:sz w:val="24"/>
                <w:szCs w:val="24"/>
              </w:rPr>
            </w:pPr>
            <w:r>
              <w:rPr>
                <w:b/>
                <w:bCs/>
                <w:sz w:val="24"/>
                <w:szCs w:val="24"/>
              </w:rPr>
              <w:t>2、变更前审批部门批复</w:t>
            </w:r>
          </w:p>
          <w:p>
            <w:pPr>
              <w:pStyle w:val="32"/>
              <w:ind w:firstLine="480" w:firstLineChars="200"/>
              <w:rPr>
                <w:sz w:val="24"/>
                <w:szCs w:val="24"/>
              </w:rPr>
            </w:pPr>
            <w:r>
              <w:rPr>
                <w:sz w:val="24"/>
                <w:szCs w:val="24"/>
              </w:rPr>
              <w:t>你单位报送的“关于《山西太钢不锈钢股份有限公司燃气锅炉高效改造项目环境影响报告表》及报批申请、太原市环境工程评估中心的评估报告（并环评估[2015]060号）等有关材料收悉，根据《中华人民共和国环境影响评价法》、《建设项目环境保护管理条例》等有关规定，经研究，批复如下：</w:t>
            </w:r>
          </w:p>
          <w:p>
            <w:pPr>
              <w:pStyle w:val="32"/>
              <w:ind w:firstLine="480" w:firstLineChars="200"/>
              <w:rPr>
                <w:sz w:val="24"/>
                <w:szCs w:val="24"/>
              </w:rPr>
            </w:pPr>
            <w:r>
              <w:rPr>
                <w:sz w:val="24"/>
                <w:szCs w:val="24"/>
              </w:rPr>
              <w:t>一、原则同意报告书结论和专家技术审查意见，同意太原市环境工程评估中心评估报告。山西太钢不锈钢股份有限公司为了提高煤气利用效率与发电综合热效率，决定建设燃气锅炉高效改造项目，项目总投资24623万元，其中环保投资140万元，对现有1台75t/h（4#）、2台130t/h（9#、10#）、1台120t/h（5#）煤气锅炉进行整合，拆除原4#、5#锅炉和除尘器，9#、10#锅炉作为应急备用，建设2台240t/h高温高压煤气锅炉+备压机组。新建锅炉位于原4#、5#锅炉和除尘器区域，依托工程为供电、供汽、排水等工程全部由太钢公司统一提供。</w:t>
            </w:r>
          </w:p>
          <w:p>
            <w:pPr>
              <w:pStyle w:val="32"/>
              <w:ind w:firstLine="480" w:firstLineChars="200"/>
              <w:rPr>
                <w:sz w:val="24"/>
                <w:szCs w:val="24"/>
              </w:rPr>
            </w:pPr>
            <w:r>
              <w:rPr>
                <w:sz w:val="24"/>
                <w:szCs w:val="24"/>
              </w:rPr>
              <w:t>二、同意环评提出的施工期间的防治污染措施</w:t>
            </w:r>
          </w:p>
          <w:p>
            <w:pPr>
              <w:pStyle w:val="32"/>
              <w:ind w:firstLine="480" w:firstLineChars="200"/>
              <w:rPr>
                <w:sz w:val="24"/>
                <w:szCs w:val="24"/>
              </w:rPr>
            </w:pPr>
            <w:r>
              <w:rPr>
                <w:sz w:val="24"/>
                <w:szCs w:val="24"/>
              </w:rPr>
              <w:t>同意环评提出的施工期间环境保护措施，施工期间主要污染为施工扬尘、施工机械噪声、施工废水及固体废物。建设单位要按照太原市环保局《关于进一步加强建筑施工工地环境保护管理的通知》（并环发[2010]18号）文件要求严格执行5个100%，降低扬尘污染；采取减震、降噪等措施，尽可能降低施工噪声对环境敏感点的影响；对排放的施工弃渣，要按照太原市环卫渣土处的管理要求进行运输和处置；施工工地工人严禁使用原煤燃料，应使用液化气等清洁能源。</w:t>
            </w:r>
          </w:p>
          <w:p>
            <w:pPr>
              <w:pStyle w:val="32"/>
              <w:ind w:firstLine="480" w:firstLineChars="200"/>
              <w:rPr>
                <w:sz w:val="24"/>
                <w:szCs w:val="24"/>
              </w:rPr>
            </w:pPr>
            <w:r>
              <w:rPr>
                <w:sz w:val="24"/>
                <w:szCs w:val="24"/>
              </w:rPr>
              <w:t>三、同意环评提出运营期间的主要防治措施</w:t>
            </w:r>
          </w:p>
          <w:p>
            <w:pPr>
              <w:pStyle w:val="32"/>
              <w:ind w:firstLine="480" w:firstLineChars="200"/>
              <w:rPr>
                <w:sz w:val="24"/>
                <w:szCs w:val="24"/>
              </w:rPr>
            </w:pPr>
            <w:r>
              <w:rPr>
                <w:sz w:val="24"/>
                <w:szCs w:val="24"/>
              </w:rPr>
              <w:t>1、要认真落实水污染防治措施。本项目生活废水及生活污水集中收集后排入太钢厂区污水管网，最后进入太钢赵庄污水处理厂处理后回用。</w:t>
            </w:r>
          </w:p>
          <w:p>
            <w:pPr>
              <w:pStyle w:val="32"/>
              <w:ind w:firstLine="480" w:firstLineChars="200"/>
              <w:rPr>
                <w:sz w:val="24"/>
                <w:szCs w:val="24"/>
              </w:rPr>
            </w:pPr>
            <w:r>
              <w:rPr>
                <w:sz w:val="24"/>
                <w:szCs w:val="24"/>
              </w:rPr>
              <w:t>2、要认真落实大气污染防治措施。该燃气锅炉采用低氮燃烧器，烟尘、SO</w:t>
            </w:r>
            <w:r>
              <w:rPr>
                <w:sz w:val="24"/>
                <w:szCs w:val="24"/>
                <w:vertAlign w:val="subscript"/>
              </w:rPr>
              <w:t>2</w:t>
            </w:r>
            <w:r>
              <w:rPr>
                <w:sz w:val="24"/>
                <w:szCs w:val="24"/>
              </w:rPr>
              <w:t>、NO</w:t>
            </w:r>
            <w:r>
              <w:rPr>
                <w:sz w:val="24"/>
                <w:szCs w:val="24"/>
                <w:vertAlign w:val="subscript"/>
              </w:rPr>
              <w:t>2</w:t>
            </w:r>
            <w:r>
              <w:rPr>
                <w:sz w:val="24"/>
                <w:szCs w:val="24"/>
              </w:rPr>
              <w:t>污染物排放满足《火电厂大气污染物排放标准》（GB13223-2011）特别排放限值要求。</w:t>
            </w:r>
          </w:p>
          <w:p>
            <w:pPr>
              <w:pStyle w:val="32"/>
              <w:ind w:firstLine="480" w:firstLineChars="200"/>
              <w:rPr>
                <w:sz w:val="24"/>
                <w:szCs w:val="24"/>
              </w:rPr>
            </w:pPr>
            <w:r>
              <w:rPr>
                <w:sz w:val="24"/>
                <w:szCs w:val="24"/>
              </w:rPr>
              <w:t>3、所有产生噪声的设备要选用低噪声设备，并采取减震、隔声、吸音等降噪措施，确保厂界噪声达到《工业企业厂界环境噪声排放标准》（GB12348-2008）中的厂界外3类声环境功能区标准。</w:t>
            </w:r>
          </w:p>
          <w:p>
            <w:pPr>
              <w:pStyle w:val="32"/>
              <w:ind w:firstLine="480" w:firstLineChars="200"/>
              <w:rPr>
                <w:sz w:val="24"/>
                <w:szCs w:val="24"/>
              </w:rPr>
            </w:pPr>
            <w:r>
              <w:rPr>
                <w:sz w:val="24"/>
                <w:szCs w:val="24"/>
              </w:rPr>
              <w:t>4、项目产生的废机油在厂区按危废要求暂存后由太原钢铁（集团）公司福利总厂收集处置；生活垃圾收集后，由环卫部门统一处理。</w:t>
            </w:r>
          </w:p>
          <w:p>
            <w:pPr>
              <w:pStyle w:val="32"/>
              <w:ind w:firstLine="480" w:firstLineChars="200"/>
              <w:rPr>
                <w:sz w:val="24"/>
                <w:szCs w:val="24"/>
              </w:rPr>
            </w:pPr>
            <w:r>
              <w:rPr>
                <w:sz w:val="24"/>
                <w:szCs w:val="24"/>
              </w:rPr>
              <w:t>四、项目位于兰村泉域一级保护区范围内，应取得相关部门的许可。</w:t>
            </w:r>
          </w:p>
          <w:p>
            <w:pPr>
              <w:pStyle w:val="32"/>
              <w:ind w:firstLine="480" w:firstLineChars="200"/>
              <w:rPr>
                <w:sz w:val="24"/>
                <w:szCs w:val="24"/>
              </w:rPr>
            </w:pPr>
            <w:r>
              <w:rPr>
                <w:sz w:val="24"/>
                <w:szCs w:val="24"/>
              </w:rPr>
              <w:t>五、环境影响报告表所提各项污染防治措施，必须逐项落实。项目建成，经检查同意后，方可投入试运营，试运营3个月内要按时完成项目竣工环境保护验收工作。</w:t>
            </w:r>
          </w:p>
          <w:p>
            <w:pPr>
              <w:pStyle w:val="32"/>
              <w:ind w:firstLine="480" w:firstLineChars="200"/>
              <w:rPr>
                <w:sz w:val="24"/>
                <w:szCs w:val="24"/>
              </w:rPr>
            </w:pPr>
            <w:r>
              <w:rPr>
                <w:sz w:val="24"/>
                <w:szCs w:val="24"/>
              </w:rPr>
              <w:t>六、本批复的各项环境保护事项必须认真执行，如有违反，将依法追究法律责任。我分局委托太原市环境监察支队负责该项目验收前的环境保护监督检查。</w:t>
            </w:r>
          </w:p>
          <w:p>
            <w:pPr>
              <w:pStyle w:val="32"/>
              <w:rPr>
                <w:b/>
                <w:bCs/>
                <w:sz w:val="24"/>
                <w:szCs w:val="24"/>
              </w:rPr>
            </w:pPr>
            <w:r>
              <w:rPr>
                <w:b/>
                <w:bCs/>
                <w:sz w:val="24"/>
                <w:szCs w:val="24"/>
              </w:rPr>
              <w:t>3、变更后环境影响报告表主要结论</w:t>
            </w:r>
          </w:p>
          <w:p>
            <w:pPr>
              <w:pStyle w:val="32"/>
              <w:ind w:firstLine="480" w:firstLineChars="200"/>
              <w:rPr>
                <w:sz w:val="24"/>
                <w:szCs w:val="24"/>
              </w:rPr>
            </w:pPr>
            <w:r>
              <w:rPr>
                <w:sz w:val="24"/>
                <w:szCs w:val="24"/>
              </w:rPr>
              <w:t>《山西太钢不锈钢股份有限公司煤气锅炉升级改造项目(暨燃气锅炉高效改造项目)》的变更不属于环保重大变动项目，其变更符合国家和山西省产业发展政策要求。项目调整的目的主要是适应太钢厂区的富余煤气量变化情况、最新的环保政策及超低排放标准要求。本项目变更后能削减污染物排放总量，对区域环境的影响有一定的改善作用。</w:t>
            </w:r>
          </w:p>
          <w:p>
            <w:pPr>
              <w:pStyle w:val="32"/>
              <w:ind w:firstLine="480" w:firstLineChars="200"/>
              <w:rPr>
                <w:sz w:val="24"/>
                <w:szCs w:val="24"/>
              </w:rPr>
            </w:pPr>
            <w:r>
              <w:rPr>
                <w:sz w:val="24"/>
                <w:szCs w:val="24"/>
              </w:rPr>
              <w:t>因此，本项目在认真贯彻国家环保法律、法规，严格落实环评报告中提出的各项污染治理措施和要求的基础上，从环境保护角度来看，本次项目的变更调整是可行的。</w:t>
            </w:r>
          </w:p>
          <w:p>
            <w:pPr>
              <w:pStyle w:val="32"/>
              <w:ind w:firstLine="480" w:firstLineChars="200"/>
              <w:rPr>
                <w:sz w:val="24"/>
                <w:szCs w:val="24"/>
              </w:rPr>
            </w:pPr>
            <w:r>
              <w:rPr>
                <w:sz w:val="24"/>
                <w:szCs w:val="24"/>
              </w:rPr>
              <w:t>变更后环境影响报告表中主要环境影响及治理措施要求见下表。</w:t>
            </w:r>
          </w:p>
          <w:p>
            <w:pPr>
              <w:pStyle w:val="32"/>
              <w:jc w:val="center"/>
              <w:rPr>
                <w:sz w:val="24"/>
                <w:szCs w:val="24"/>
              </w:rPr>
            </w:pPr>
            <w:r>
              <w:rPr>
                <w:sz w:val="24"/>
                <w:szCs w:val="24"/>
              </w:rPr>
              <w:t>表1</w:t>
            </w:r>
            <w:r>
              <w:rPr>
                <w:rFonts w:hint="eastAsia"/>
                <w:sz w:val="24"/>
                <w:szCs w:val="24"/>
              </w:rPr>
              <w:t>2</w:t>
            </w:r>
            <w:r>
              <w:rPr>
                <w:sz w:val="24"/>
                <w:szCs w:val="24"/>
              </w:rPr>
              <w:t xml:space="preserve">  变更后环境影响报告表中主要环境影响及治理措施要求</w:t>
            </w:r>
          </w:p>
          <w:tbl>
            <w:tblPr>
              <w:tblStyle w:val="21"/>
              <w:tblW w:w="76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984"/>
              <w:gridCol w:w="4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Align w:val="center"/>
                </w:tcPr>
                <w:p>
                  <w:pPr>
                    <w:spacing w:line="276" w:lineRule="auto"/>
                    <w:jc w:val="center"/>
                    <w:rPr>
                      <w:rFonts w:ascii="Times New Roman" w:hAnsi="Times New Roman" w:cs="Times New Roman"/>
                      <w:b/>
                      <w:bCs/>
                    </w:rPr>
                  </w:pPr>
                  <w:r>
                    <w:rPr>
                      <w:rFonts w:ascii="Times New Roman" w:hAnsi="Times New Roman" w:cs="Times New Roman"/>
                      <w:b/>
                      <w:bCs/>
                    </w:rPr>
                    <w:t>类别</w:t>
                  </w:r>
                </w:p>
              </w:tc>
              <w:tc>
                <w:tcPr>
                  <w:tcW w:w="1984" w:type="dxa"/>
                  <w:vAlign w:val="center"/>
                </w:tcPr>
                <w:p>
                  <w:pPr>
                    <w:spacing w:line="276" w:lineRule="auto"/>
                    <w:jc w:val="center"/>
                    <w:rPr>
                      <w:rFonts w:ascii="Times New Roman" w:hAnsi="Times New Roman" w:cs="Times New Roman"/>
                      <w:b/>
                      <w:bCs/>
                    </w:rPr>
                  </w:pPr>
                  <w:r>
                    <w:rPr>
                      <w:rFonts w:ascii="Times New Roman" w:hAnsi="Times New Roman" w:cs="Times New Roman"/>
                      <w:b/>
                      <w:bCs/>
                    </w:rPr>
                    <w:t>污染物名称</w:t>
                  </w:r>
                </w:p>
              </w:tc>
              <w:tc>
                <w:tcPr>
                  <w:tcW w:w="4535" w:type="dxa"/>
                  <w:vAlign w:val="center"/>
                </w:tcPr>
                <w:p>
                  <w:pPr>
                    <w:spacing w:line="276" w:lineRule="auto"/>
                    <w:jc w:val="center"/>
                    <w:rPr>
                      <w:rFonts w:ascii="Times New Roman" w:hAnsi="Times New Roman" w:cs="Times New Roman"/>
                      <w:b/>
                      <w:bCs/>
                    </w:rPr>
                  </w:pPr>
                  <w:r>
                    <w:rPr>
                      <w:rFonts w:ascii="Times New Roman" w:hAnsi="Times New Roman" w:cs="Times New Roman"/>
                      <w:b/>
                      <w:bCs/>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废气</w:t>
                  </w:r>
                </w:p>
              </w:tc>
              <w:tc>
                <w:tcPr>
                  <w:tcW w:w="1984" w:type="dxa"/>
                  <w:vAlign w:val="center"/>
                </w:tcPr>
                <w:p>
                  <w:pPr>
                    <w:spacing w:line="276" w:lineRule="auto"/>
                    <w:jc w:val="center"/>
                    <w:rPr>
                      <w:rFonts w:ascii="Times New Roman" w:hAnsi="Times New Roman" w:cs="Times New Roman"/>
                    </w:rPr>
                  </w:pPr>
                  <w:r>
                    <w:rPr>
                      <w:rFonts w:ascii="Times New Roman" w:hAnsi="Times New Roman" w:cs="Times New Roman"/>
                    </w:rPr>
                    <w:t>颗粒物</w:t>
                  </w:r>
                </w:p>
              </w:tc>
              <w:tc>
                <w:tcPr>
                  <w:tcW w:w="4535" w:type="dxa"/>
                  <w:vMerge w:val="restart"/>
                  <w:vAlign w:val="center"/>
                </w:tcPr>
                <w:p>
                  <w:pPr>
                    <w:spacing w:line="276" w:lineRule="auto"/>
                    <w:jc w:val="center"/>
                    <w:rPr>
                      <w:rFonts w:ascii="Times New Roman" w:hAnsi="Times New Roman" w:cs="Times New Roman"/>
                    </w:rPr>
                  </w:pPr>
                  <w:r>
                    <w:rPr>
                      <w:rFonts w:ascii="Times New Roman" w:hAnsi="Times New Roman" w:cs="Times New Roman"/>
                      <w:spacing w:val="4"/>
                    </w:rPr>
                    <w:t>石灰石－石膏湿法脱硫，低氮燃烧器+烟气再循环+SCR脱硝。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Merge w:val="continue"/>
                  <w:vAlign w:val="center"/>
                </w:tcPr>
                <w:p>
                  <w:pPr>
                    <w:spacing w:line="276" w:lineRule="auto"/>
                    <w:jc w:val="center"/>
                    <w:rPr>
                      <w:rFonts w:ascii="Times New Roman" w:hAnsi="Times New Roman" w:cs="Times New Roman"/>
                    </w:rPr>
                  </w:pPr>
                </w:p>
              </w:tc>
              <w:tc>
                <w:tcPr>
                  <w:tcW w:w="1984" w:type="dxa"/>
                  <w:vAlign w:val="center"/>
                </w:tcPr>
                <w:p>
                  <w:pPr>
                    <w:spacing w:line="276"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4535"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Merge w:val="continue"/>
                  <w:vAlign w:val="center"/>
                </w:tcPr>
                <w:p>
                  <w:pPr>
                    <w:spacing w:line="276" w:lineRule="auto"/>
                    <w:jc w:val="center"/>
                    <w:rPr>
                      <w:rFonts w:ascii="Times New Roman" w:hAnsi="Times New Roman" w:cs="Times New Roman"/>
                    </w:rPr>
                  </w:pPr>
                </w:p>
              </w:tc>
              <w:tc>
                <w:tcPr>
                  <w:tcW w:w="1984" w:type="dxa"/>
                  <w:vAlign w:val="center"/>
                </w:tcPr>
                <w:p>
                  <w:pPr>
                    <w:spacing w:line="276" w:lineRule="auto"/>
                    <w:jc w:val="center"/>
                    <w:rPr>
                      <w:rFonts w:ascii="Times New Roman" w:hAnsi="Times New Roman" w:cs="Times New Roman"/>
                    </w:rPr>
                  </w:pPr>
                  <w:r>
                    <w:rPr>
                      <w:rFonts w:ascii="Times New Roman" w:hAnsi="Times New Roman" w:cs="Times New Roman"/>
                    </w:rPr>
                    <w:t>NO</w:t>
                  </w:r>
                  <w:r>
                    <w:rPr>
                      <w:rFonts w:ascii="Times New Roman" w:hAnsi="Times New Roman" w:cs="Times New Roman"/>
                      <w:vertAlign w:val="subscript"/>
                    </w:rPr>
                    <w:t>x</w:t>
                  </w:r>
                </w:p>
              </w:tc>
              <w:tc>
                <w:tcPr>
                  <w:tcW w:w="4535"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废水</w:t>
                  </w:r>
                </w:p>
              </w:tc>
              <w:tc>
                <w:tcPr>
                  <w:tcW w:w="1984" w:type="dxa"/>
                  <w:vAlign w:val="center"/>
                </w:tcPr>
                <w:p>
                  <w:pPr>
                    <w:spacing w:line="276" w:lineRule="auto"/>
                    <w:jc w:val="center"/>
                    <w:rPr>
                      <w:rFonts w:ascii="Times New Roman" w:hAnsi="Times New Roman" w:cs="Times New Roman"/>
                    </w:rPr>
                  </w:pPr>
                  <w:r>
                    <w:rPr>
                      <w:rFonts w:ascii="Times New Roman" w:hAnsi="Times New Roman" w:cs="Times New Roman"/>
                    </w:rPr>
                    <w:t>生产废水（净排水）</w:t>
                  </w:r>
                </w:p>
              </w:tc>
              <w:tc>
                <w:tcPr>
                  <w:tcW w:w="4535"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经厂区管网送太钢污水处理厂统一处理。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Merge w:val="continue"/>
                  <w:vAlign w:val="center"/>
                </w:tcPr>
                <w:p>
                  <w:pPr>
                    <w:spacing w:line="276" w:lineRule="auto"/>
                    <w:jc w:val="center"/>
                    <w:rPr>
                      <w:rFonts w:ascii="Times New Roman" w:hAnsi="Times New Roman" w:cs="Times New Roman"/>
                    </w:rPr>
                  </w:pPr>
                </w:p>
              </w:tc>
              <w:tc>
                <w:tcPr>
                  <w:tcW w:w="1984" w:type="dxa"/>
                  <w:vAlign w:val="center"/>
                </w:tcPr>
                <w:p>
                  <w:pPr>
                    <w:spacing w:line="276" w:lineRule="auto"/>
                    <w:jc w:val="center"/>
                    <w:rPr>
                      <w:rFonts w:ascii="Times New Roman" w:hAnsi="Times New Roman" w:cs="Times New Roman"/>
                    </w:rPr>
                  </w:pPr>
                  <w:r>
                    <w:rPr>
                      <w:rFonts w:ascii="Times New Roman" w:hAnsi="Times New Roman" w:cs="Times New Roman"/>
                    </w:rPr>
                    <w:t>生活污水</w:t>
                  </w:r>
                </w:p>
              </w:tc>
              <w:tc>
                <w:tcPr>
                  <w:tcW w:w="4535"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固体废物</w:t>
                  </w:r>
                </w:p>
              </w:tc>
              <w:tc>
                <w:tcPr>
                  <w:tcW w:w="1984" w:type="dxa"/>
                  <w:vAlign w:val="center"/>
                </w:tcPr>
                <w:p>
                  <w:pPr>
                    <w:spacing w:line="276" w:lineRule="auto"/>
                    <w:jc w:val="center"/>
                    <w:rPr>
                      <w:rFonts w:ascii="Times New Roman" w:hAnsi="Times New Roman" w:cs="Times New Roman"/>
                    </w:rPr>
                  </w:pPr>
                  <w:r>
                    <w:rPr>
                      <w:rFonts w:ascii="Times New Roman" w:hAnsi="Times New Roman" w:cs="Times New Roman"/>
                    </w:rPr>
                    <w:t>废机油</w:t>
                  </w:r>
                </w:p>
              </w:tc>
              <w:tc>
                <w:tcPr>
                  <w:tcW w:w="4535" w:type="dxa"/>
                  <w:vAlign w:val="center"/>
                </w:tcPr>
                <w:p>
                  <w:pPr>
                    <w:spacing w:line="276" w:lineRule="auto"/>
                    <w:jc w:val="center"/>
                    <w:rPr>
                      <w:rFonts w:ascii="Times New Roman" w:hAnsi="Times New Roman" w:cs="Times New Roman"/>
                      <w:spacing w:val="6"/>
                    </w:rPr>
                  </w:pPr>
                  <w:r>
                    <w:rPr>
                      <w:rFonts w:ascii="Times New Roman" w:hAnsi="Times New Roman" w:cs="Times New Roman"/>
                    </w:rPr>
                    <w:t>太钢加工厂收集后送有资质单位处置。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Merge w:val="continue"/>
                  <w:vAlign w:val="center"/>
                </w:tcPr>
                <w:p>
                  <w:pPr>
                    <w:spacing w:line="276" w:lineRule="auto"/>
                    <w:jc w:val="center"/>
                    <w:rPr>
                      <w:rFonts w:ascii="Times New Roman" w:hAnsi="Times New Roman" w:cs="Times New Roman"/>
                    </w:rPr>
                  </w:pPr>
                </w:p>
              </w:tc>
              <w:tc>
                <w:tcPr>
                  <w:tcW w:w="1984" w:type="dxa"/>
                  <w:vAlign w:val="center"/>
                </w:tcPr>
                <w:p>
                  <w:pPr>
                    <w:spacing w:line="276" w:lineRule="auto"/>
                    <w:jc w:val="center"/>
                    <w:rPr>
                      <w:rFonts w:ascii="Times New Roman" w:hAnsi="Times New Roman" w:cs="Times New Roman"/>
                    </w:rPr>
                  </w:pPr>
                  <w:r>
                    <w:rPr>
                      <w:rFonts w:ascii="Times New Roman" w:hAnsi="Times New Roman" w:cs="Times New Roman"/>
                    </w:rPr>
                    <w:t>脱硫石膏</w:t>
                  </w:r>
                </w:p>
              </w:tc>
              <w:tc>
                <w:tcPr>
                  <w:tcW w:w="4535" w:type="dxa"/>
                  <w:vAlign w:val="center"/>
                </w:tcPr>
                <w:p>
                  <w:pPr>
                    <w:spacing w:line="276" w:lineRule="auto"/>
                    <w:jc w:val="center"/>
                    <w:rPr>
                      <w:rFonts w:ascii="Times New Roman" w:hAnsi="Times New Roman" w:cs="Times New Roman"/>
                      <w:spacing w:val="6"/>
                    </w:rPr>
                  </w:pPr>
                  <w:r>
                    <w:rPr>
                      <w:rFonts w:ascii="Times New Roman" w:hAnsi="Times New Roman" w:cs="Times New Roman"/>
                    </w:rPr>
                    <w:t>太钢能源动力总厂石膏生产线生产为石膏粉后统一外售，全部综合利用。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Merge w:val="continue"/>
                  <w:vAlign w:val="center"/>
                </w:tcPr>
                <w:p>
                  <w:pPr>
                    <w:spacing w:line="276" w:lineRule="auto"/>
                    <w:jc w:val="center"/>
                    <w:rPr>
                      <w:rFonts w:ascii="Times New Roman" w:hAnsi="Times New Roman" w:cs="Times New Roman"/>
                    </w:rPr>
                  </w:pPr>
                </w:p>
              </w:tc>
              <w:tc>
                <w:tcPr>
                  <w:tcW w:w="1984" w:type="dxa"/>
                  <w:vAlign w:val="center"/>
                </w:tcPr>
                <w:p>
                  <w:pPr>
                    <w:spacing w:line="276" w:lineRule="auto"/>
                    <w:jc w:val="center"/>
                    <w:rPr>
                      <w:rFonts w:ascii="Times New Roman" w:hAnsi="Times New Roman" w:cs="Times New Roman"/>
                    </w:rPr>
                  </w:pPr>
                  <w:r>
                    <w:rPr>
                      <w:rFonts w:ascii="Times New Roman" w:hAnsi="Times New Roman" w:cs="Times New Roman"/>
                    </w:rPr>
                    <w:t>废催化剂</w:t>
                  </w:r>
                </w:p>
              </w:tc>
              <w:tc>
                <w:tcPr>
                  <w:tcW w:w="4535" w:type="dxa"/>
                  <w:vAlign w:val="center"/>
                </w:tcPr>
                <w:p>
                  <w:pPr>
                    <w:spacing w:line="276" w:lineRule="auto"/>
                    <w:jc w:val="center"/>
                    <w:rPr>
                      <w:rFonts w:ascii="Times New Roman" w:hAnsi="Times New Roman" w:cs="Times New Roman"/>
                      <w:spacing w:val="6"/>
                    </w:rPr>
                  </w:pPr>
                  <w:r>
                    <w:rPr>
                      <w:rFonts w:ascii="Times New Roman" w:hAnsi="Times New Roman" w:cs="Times New Roman"/>
                    </w:rPr>
                    <w:t>更换的废催化剂由催化剂生产厂家统一回收。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Merge w:val="continue"/>
                  <w:vAlign w:val="center"/>
                </w:tcPr>
                <w:p>
                  <w:pPr>
                    <w:spacing w:line="276" w:lineRule="auto"/>
                    <w:jc w:val="center"/>
                    <w:rPr>
                      <w:rFonts w:ascii="Times New Roman" w:hAnsi="Times New Roman" w:cs="Times New Roman"/>
                    </w:rPr>
                  </w:pPr>
                </w:p>
              </w:tc>
              <w:tc>
                <w:tcPr>
                  <w:tcW w:w="1984" w:type="dxa"/>
                  <w:vAlign w:val="center"/>
                </w:tcPr>
                <w:p>
                  <w:pPr>
                    <w:spacing w:line="276" w:lineRule="auto"/>
                    <w:jc w:val="center"/>
                    <w:rPr>
                      <w:rFonts w:ascii="Times New Roman" w:hAnsi="Times New Roman" w:cs="Times New Roman"/>
                    </w:rPr>
                  </w:pPr>
                  <w:r>
                    <w:rPr>
                      <w:rFonts w:ascii="Times New Roman" w:hAnsi="Times New Roman" w:cs="Times New Roman"/>
                    </w:rPr>
                    <w:t>生活垃圾</w:t>
                  </w:r>
                </w:p>
              </w:tc>
              <w:tc>
                <w:tcPr>
                  <w:tcW w:w="4535" w:type="dxa"/>
                  <w:vAlign w:val="center"/>
                </w:tcPr>
                <w:p>
                  <w:pPr>
                    <w:spacing w:line="276" w:lineRule="auto"/>
                    <w:jc w:val="center"/>
                    <w:rPr>
                      <w:rFonts w:ascii="Times New Roman" w:hAnsi="Times New Roman" w:cs="Times New Roman"/>
                      <w:bCs/>
                    </w:rPr>
                  </w:pPr>
                  <w:r>
                    <w:rPr>
                      <w:rFonts w:ascii="Times New Roman" w:hAnsi="Times New Roman" w:cs="Times New Roman"/>
                      <w:bCs/>
                    </w:rPr>
                    <w:t>统一由公司拉运至环卫部门指定场所处置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34" w:type="dxa"/>
                  <w:vAlign w:val="center"/>
                </w:tcPr>
                <w:p>
                  <w:pPr>
                    <w:spacing w:line="276" w:lineRule="auto"/>
                    <w:jc w:val="center"/>
                    <w:rPr>
                      <w:rFonts w:ascii="Times New Roman" w:hAnsi="Times New Roman" w:cs="Times New Roman"/>
                    </w:rPr>
                  </w:pPr>
                  <w:r>
                    <w:rPr>
                      <w:rFonts w:ascii="Times New Roman" w:hAnsi="Times New Roman" w:cs="Times New Roman"/>
                    </w:rPr>
                    <w:t>噪声</w:t>
                  </w:r>
                </w:p>
              </w:tc>
              <w:tc>
                <w:tcPr>
                  <w:tcW w:w="1984" w:type="dxa"/>
                  <w:vAlign w:val="center"/>
                </w:tcPr>
                <w:p>
                  <w:pPr>
                    <w:spacing w:line="276" w:lineRule="auto"/>
                    <w:jc w:val="center"/>
                    <w:rPr>
                      <w:rFonts w:ascii="Times New Roman" w:hAnsi="Times New Roman" w:cs="Times New Roman"/>
                    </w:rPr>
                  </w:pPr>
                  <w:r>
                    <w:rPr>
                      <w:rFonts w:ascii="Times New Roman" w:hAnsi="Times New Roman" w:cs="Times New Roman"/>
                    </w:rPr>
                    <w:t>噪声</w:t>
                  </w:r>
                </w:p>
              </w:tc>
              <w:tc>
                <w:tcPr>
                  <w:tcW w:w="4535" w:type="dxa"/>
                  <w:vAlign w:val="center"/>
                </w:tcPr>
                <w:p>
                  <w:pPr>
                    <w:spacing w:line="276" w:lineRule="auto"/>
                    <w:jc w:val="center"/>
                    <w:rPr>
                      <w:rFonts w:ascii="Times New Roman" w:hAnsi="Times New Roman" w:cs="Times New Roman"/>
                    </w:rPr>
                  </w:pPr>
                  <w:r>
                    <w:rPr>
                      <w:rFonts w:ascii="Times New Roman" w:hAnsi="Times New Roman" w:cs="Times New Roman"/>
                    </w:rPr>
                    <w:t>设低噪声设备，基础减震，厂房隔声；各类水泵泵体基础设橡胶垫，管道间采取柔性连接方式；各风机出口安装消声器。</w:t>
                  </w:r>
                </w:p>
              </w:tc>
            </w:tr>
          </w:tbl>
          <w:p>
            <w:pPr>
              <w:pStyle w:val="32"/>
              <w:rPr>
                <w:b/>
                <w:bCs/>
                <w:sz w:val="24"/>
                <w:szCs w:val="24"/>
              </w:rPr>
            </w:pPr>
          </w:p>
          <w:p>
            <w:pPr>
              <w:pStyle w:val="32"/>
              <w:rPr>
                <w:b/>
                <w:bCs/>
                <w:sz w:val="24"/>
                <w:szCs w:val="24"/>
              </w:rPr>
            </w:pPr>
            <w:r>
              <w:rPr>
                <w:b/>
                <w:bCs/>
                <w:sz w:val="24"/>
                <w:szCs w:val="24"/>
              </w:rPr>
              <w:t>4、变更后环评报告申请的复函</w:t>
            </w:r>
          </w:p>
          <w:p>
            <w:pPr>
              <w:pStyle w:val="32"/>
              <w:ind w:firstLine="480" w:firstLineChars="200"/>
              <w:rPr>
                <w:sz w:val="24"/>
                <w:szCs w:val="24"/>
              </w:rPr>
            </w:pPr>
            <w:r>
              <w:rPr>
                <w:sz w:val="24"/>
                <w:szCs w:val="24"/>
              </w:rPr>
              <w:t>你单位报送的“山西太钢不锈钢股份有限公司煤气锅炉升级改造项目变更说明的请示”及中冶节能环保有限责任公司关于《山西太钢不锈钢股份有限公司煤气锅炉升级改造项目（暨燃气锅炉高效改造项目）环境影响报告表变更说明》已收悉，根据《中华人民共和国环境影响评价法》及《建设项目环境保护管理条例》有关规定，经研究，现函复如下：</w:t>
            </w:r>
          </w:p>
          <w:p>
            <w:pPr>
              <w:pStyle w:val="32"/>
              <w:ind w:firstLine="480" w:firstLineChars="200"/>
              <w:rPr>
                <w:sz w:val="24"/>
                <w:szCs w:val="24"/>
              </w:rPr>
            </w:pPr>
            <w:r>
              <w:rPr>
                <w:sz w:val="24"/>
                <w:szCs w:val="24"/>
              </w:rPr>
              <w:t>一、2015年8月18日，太原市环保局尖草坪分局以并环尖审批[2015]38号对本项目进行了批复。现你单位提出变更申请，变更内容为：对原批复的2台240t/h高温高压煤气锅炉变更为1台260t/h煤气锅炉，原4#、5#锅炉和除尘器已停炉，9#、10#锅炉作为应急备用，并配备两套低氮燃烧器（并预留脱硝位置）。变更后锅炉由高温煤气锅炉变更为亚临界超高温煤气锅炉，可利用发电的煤气量大幅减少，颗粒物由原来的20.85t/a下降到13.50t/a、二氧化硫由原来125.1t/a下降到67.48t/a、氮氧化物由原来的166.8t/a下降到80.98t/a，污染物排放执行《关于推进实施钢铁行业超低排放的意见》（环大气【2019】35号）和《关于推进生物质锅炉超低排放改造和燃气锅炉低氮改造的通知》（并环改办发【2018】18号）中新的超低排放标准。变更后生产工艺不变，污染物排放实现进一步减排，不属于重大变更，从环境保护角度，变更可行。</w:t>
            </w:r>
          </w:p>
          <w:p>
            <w:pPr>
              <w:pStyle w:val="32"/>
              <w:ind w:firstLine="480" w:firstLineChars="200"/>
              <w:rPr>
                <w:sz w:val="24"/>
                <w:szCs w:val="24"/>
              </w:rPr>
            </w:pPr>
            <w:r>
              <w:rPr>
                <w:sz w:val="24"/>
                <w:szCs w:val="24"/>
              </w:rPr>
              <w:t>二、其他环境保护要求仍按并环尖审批[2015]38号文件批复执行。</w:t>
            </w:r>
          </w:p>
          <w:p>
            <w:pPr>
              <w:pStyle w:val="32"/>
              <w:rPr>
                <w:b/>
                <w:bCs/>
                <w:sz w:val="24"/>
                <w:szCs w:val="24"/>
              </w:rPr>
            </w:pPr>
            <w:r>
              <w:rPr>
                <w:b/>
                <w:bCs/>
                <w:sz w:val="24"/>
                <w:szCs w:val="24"/>
              </w:rPr>
              <w:t>5、环评及批复要求的环保措施及设施实际完成情况</w:t>
            </w:r>
          </w:p>
          <w:p>
            <w:pPr>
              <w:pStyle w:val="32"/>
              <w:jc w:val="center"/>
              <w:rPr>
                <w:sz w:val="24"/>
                <w:szCs w:val="24"/>
              </w:rPr>
            </w:pPr>
            <w:r>
              <w:rPr>
                <w:sz w:val="24"/>
                <w:szCs w:val="24"/>
              </w:rPr>
              <w:t>表1</w:t>
            </w:r>
            <w:r>
              <w:rPr>
                <w:rFonts w:hint="eastAsia"/>
                <w:sz w:val="24"/>
                <w:szCs w:val="24"/>
              </w:rPr>
              <w:t>3</w:t>
            </w:r>
            <w:r>
              <w:rPr>
                <w:sz w:val="24"/>
                <w:szCs w:val="24"/>
              </w:rPr>
              <w:t xml:space="preserve">  环评及批复要求的环保措施及设施实际完成情况</w:t>
            </w:r>
          </w:p>
          <w:tbl>
            <w:tblPr>
              <w:tblStyle w:val="21"/>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6"/>
              <w:gridCol w:w="4142"/>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9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环评及批复要求</w:t>
                  </w:r>
                </w:p>
              </w:tc>
              <w:tc>
                <w:tcPr>
                  <w:tcW w:w="414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实际落实情况</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9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spacing w:val="4"/>
                    </w:rPr>
                    <w:t>废气经低氮燃烧器+烟气再循环+SCR脱硝、石灰石－石膏湿法脱硫后排放。</w:t>
                  </w:r>
                </w:p>
              </w:tc>
              <w:tc>
                <w:tcPr>
                  <w:tcW w:w="4142"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spacing w:val="4"/>
                    </w:rPr>
                    <w:t>废气经低氮燃烧器+烟气再循环+SCR脱硝、石灰石－石膏湿法脱硫后排放，满足排放标准限值要求。</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9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废水经厂区管网送太钢污水处理厂统一处理。</w:t>
                  </w:r>
                </w:p>
              </w:tc>
              <w:tc>
                <w:tcPr>
                  <w:tcW w:w="4142"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废水经厂区管网送太钢污水处理厂统一处理。</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9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废机油由太钢加工厂收集后送有资质单位处置。</w:t>
                  </w:r>
                </w:p>
              </w:tc>
              <w:tc>
                <w:tcPr>
                  <w:tcW w:w="4142"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废机油由太钢加工厂收集后送有资质单位处置。</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9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脱硫石膏由太钢能源动力总厂石膏生产线生产为石膏粉后统一外售，全部综合利用。</w:t>
                  </w:r>
                </w:p>
              </w:tc>
              <w:tc>
                <w:tcPr>
                  <w:tcW w:w="4142"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脱硫石膏由太钢能源动力总厂石膏生产线生产为石膏粉后统一外售，全部综合利用。</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9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更换的废催化剂由催化剂生产厂家统一回收。</w:t>
                  </w:r>
                </w:p>
              </w:tc>
              <w:tc>
                <w:tcPr>
                  <w:tcW w:w="4142"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更换的废催化剂由催化剂生产厂家统一回收。</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9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bCs/>
                    </w:rPr>
                    <w:t>生活垃圾统一由公司拉运至环卫部门指定场所处置。</w:t>
                  </w:r>
                </w:p>
              </w:tc>
              <w:tc>
                <w:tcPr>
                  <w:tcW w:w="4142"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bCs/>
                    </w:rPr>
                    <w:t>生活垃圾统一由公司拉运至环卫部门指定场所处置。</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79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bCs/>
                    </w:rPr>
                  </w:pPr>
                  <w:r>
                    <w:rPr>
                      <w:rFonts w:ascii="Times New Roman" w:hAnsi="Times New Roman" w:cs="Times New Roman"/>
                    </w:rPr>
                    <w:t>设低噪声设备，基础减震，厂房隔声；各类水泵泵体基础设橡胶垫，管道间采取柔性连接方式；各风机出口安装消声器。</w:t>
                  </w:r>
                </w:p>
              </w:tc>
              <w:tc>
                <w:tcPr>
                  <w:tcW w:w="4142"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bCs/>
                    </w:rPr>
                  </w:pPr>
                  <w:r>
                    <w:rPr>
                      <w:rFonts w:ascii="Times New Roman" w:hAnsi="Times New Roman" w:cs="Times New Roman"/>
                      <w:bCs/>
                    </w:rPr>
                    <w:t>通过设低噪声设备，基础减震，厂房隔声；各类水泵泵体基础设橡胶垫，管道间采取柔性连接方式；各风机出口安装消声器等措施，厂界噪声满足《工业企业厂界环境噪声排放标准》（GB12348-2008）3类标准。</w:t>
                  </w:r>
                </w:p>
              </w:tc>
              <w:tc>
                <w:tcPr>
                  <w:tcW w:w="850"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一致</w:t>
                  </w:r>
                </w:p>
              </w:tc>
            </w:tr>
          </w:tbl>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rPr>
                <w:sz w:val="24"/>
                <w:szCs w:val="24"/>
              </w:rPr>
            </w:pPr>
          </w:p>
          <w:p>
            <w:pPr>
              <w:pStyle w:val="32"/>
            </w:pPr>
          </w:p>
        </w:tc>
      </w:tr>
    </w:tbl>
    <w:p>
      <w:pPr>
        <w:rPr>
          <w:rFonts w:ascii="Times New Roman" w:hAnsi="Times New Roman" w:cs="Times New Roman"/>
          <w:color w:val="000000"/>
        </w:rPr>
        <w:sectPr>
          <w:pgSz w:w="11906" w:h="16838"/>
          <w:pgMar w:top="1440" w:right="1800" w:bottom="1440" w:left="1800" w:header="708" w:footer="708" w:gutter="0"/>
          <w:cols w:space="720" w:num="1"/>
          <w:docGrid w:linePitch="360" w:charSpace="0"/>
        </w:sectPr>
      </w:pPr>
    </w:p>
    <w:p>
      <w:pPr>
        <w:pStyle w:val="4"/>
        <w:rPr>
          <w:rFonts w:ascii="Times New Roman" w:hAnsi="Times New Roman" w:cs="Times New Roman"/>
        </w:rPr>
      </w:pPr>
      <w:bookmarkStart w:id="25" w:name="_Toc86072629"/>
      <w:r>
        <w:rPr>
          <w:rFonts w:ascii="Times New Roman" w:hAnsi="Times New Roman" w:cs="Times New Roman"/>
        </w:rPr>
        <w:t>表五  验收监测质量保证及质量控制</w:t>
      </w:r>
      <w:bookmarkEnd w:id="25"/>
    </w:p>
    <w:tbl>
      <w:tblPr>
        <w:tblStyle w:val="21"/>
        <w:tblW w:w="896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80" w:hRule="atLeast"/>
        </w:trPr>
        <w:tc>
          <w:tcPr>
            <w:tcW w:w="8962" w:type="dxa"/>
            <w:tcBorders>
              <w:top w:val="single" w:color="auto" w:sz="12" w:space="0"/>
              <w:left w:val="single" w:color="auto" w:sz="12" w:space="0"/>
              <w:bottom w:val="single" w:color="auto" w:sz="12" w:space="0"/>
              <w:right w:val="single" w:color="auto" w:sz="12" w:space="0"/>
            </w:tcBorders>
            <w:vAlign w:val="top"/>
          </w:tcPr>
          <w:p>
            <w:pPr>
              <w:pStyle w:val="32"/>
              <w:rPr>
                <w:b/>
                <w:bCs/>
                <w:sz w:val="24"/>
                <w:szCs w:val="24"/>
              </w:rPr>
            </w:pPr>
            <w:r>
              <w:rPr>
                <w:b/>
                <w:bCs/>
                <w:sz w:val="24"/>
                <w:szCs w:val="24"/>
              </w:rPr>
              <w:t>1、第三方监测机构资质</w:t>
            </w:r>
          </w:p>
          <w:p>
            <w:pPr>
              <w:pStyle w:val="32"/>
              <w:ind w:firstLine="480" w:firstLineChars="200"/>
              <w:rPr>
                <w:sz w:val="24"/>
                <w:szCs w:val="24"/>
              </w:rPr>
            </w:pPr>
            <w:r>
              <w:rPr>
                <w:sz w:val="24"/>
                <w:szCs w:val="24"/>
              </w:rPr>
              <w:t>委托有资质的检（监）测机构进行验收监测，对检（监）测机构的资质进行确认，确认检（监）测机构的监测业务能力符合要求。</w:t>
            </w:r>
          </w:p>
          <w:p>
            <w:pPr>
              <w:pStyle w:val="32"/>
              <w:ind w:firstLine="480" w:firstLineChars="200"/>
              <w:rPr>
                <w:sz w:val="24"/>
                <w:szCs w:val="24"/>
              </w:rPr>
            </w:pPr>
            <w:r>
              <w:rPr>
                <w:sz w:val="24"/>
                <w:szCs w:val="24"/>
              </w:rPr>
              <w:t>本项目具体由山西太钢环境监测有限公司承担本次竣工环保验收的监测工作。</w:t>
            </w:r>
          </w:p>
          <w:p>
            <w:pPr>
              <w:pStyle w:val="32"/>
              <w:rPr>
                <w:b/>
                <w:bCs/>
                <w:sz w:val="24"/>
                <w:szCs w:val="24"/>
              </w:rPr>
            </w:pPr>
            <w:r>
              <w:rPr>
                <w:b/>
                <w:bCs/>
                <w:sz w:val="24"/>
                <w:szCs w:val="24"/>
              </w:rPr>
              <w:t>2、质量保证及质量控制措施</w:t>
            </w:r>
          </w:p>
          <w:p>
            <w:pPr>
              <w:pStyle w:val="32"/>
              <w:ind w:firstLine="480" w:firstLineChars="200"/>
              <w:rPr>
                <w:sz w:val="24"/>
                <w:szCs w:val="24"/>
              </w:rPr>
            </w:pPr>
            <w:r>
              <w:rPr>
                <w:sz w:val="24"/>
                <w:szCs w:val="24"/>
              </w:rPr>
              <w:t>为确保本次监测数据准确、可靠，代表性强，依据《环境监测质量管理技术导则》（HJ630-2011）、《固定污染源监测质量保证与质量控制技术规范（试行）》（HJ/T373-2007）、《工业企业厂界环境噪声排放标准》（GB12348-2008）等有关规定，对监测全程序进行质量控制，主要措施有：</w:t>
            </w:r>
          </w:p>
          <w:p>
            <w:pPr>
              <w:pStyle w:val="32"/>
              <w:ind w:firstLine="480" w:firstLineChars="200"/>
              <w:rPr>
                <w:sz w:val="24"/>
                <w:szCs w:val="24"/>
              </w:rPr>
            </w:pPr>
            <w:r>
              <w:rPr>
                <w:sz w:val="24"/>
                <w:szCs w:val="24"/>
              </w:rPr>
              <w:t>（1）人员持证上岗</w:t>
            </w:r>
          </w:p>
          <w:p>
            <w:pPr>
              <w:pStyle w:val="32"/>
              <w:ind w:firstLine="480" w:firstLineChars="200"/>
              <w:rPr>
                <w:sz w:val="24"/>
                <w:szCs w:val="24"/>
              </w:rPr>
            </w:pPr>
            <w:r>
              <w:rPr>
                <w:sz w:val="24"/>
                <w:szCs w:val="24"/>
              </w:rPr>
              <w:t>山西太钢环境监测有限公司参加本次竣工环保验收监测工作的所有监测人员均持证上岗，监测人员姓名及上岗证号见下表：</w:t>
            </w:r>
          </w:p>
          <w:p>
            <w:pPr>
              <w:pStyle w:val="32"/>
              <w:jc w:val="center"/>
              <w:rPr>
                <w:sz w:val="24"/>
                <w:szCs w:val="24"/>
              </w:rPr>
            </w:pPr>
            <w:r>
              <w:rPr>
                <w:sz w:val="24"/>
                <w:szCs w:val="24"/>
              </w:rPr>
              <w:t>表1</w:t>
            </w:r>
            <w:r>
              <w:rPr>
                <w:rFonts w:hint="eastAsia"/>
                <w:sz w:val="24"/>
                <w:szCs w:val="24"/>
              </w:rPr>
              <w:t>4</w:t>
            </w:r>
            <w:r>
              <w:rPr>
                <w:sz w:val="24"/>
                <w:szCs w:val="24"/>
              </w:rPr>
              <w:t xml:space="preserve">  监测人员姓名及上岗证号一览表</w:t>
            </w:r>
          </w:p>
          <w:tbl>
            <w:tblPr>
              <w:tblStyle w:val="21"/>
              <w:tblW w:w="8715"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8"/>
              <w:gridCol w:w="2179"/>
              <w:gridCol w:w="2179"/>
              <w:gridCol w:w="2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姓名</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任剑</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梁俊生</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赵江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上岗证号</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TGHJ010</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TGHJ017</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TGHJ012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姓名</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张洪泳</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贾学科</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李东红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上岗证号</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TGHJ013</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TGHJ014</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TGHJ015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姓名</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刘彦原</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郝伟</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上岗证号</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TGHJ016</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TGHJ011</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p>
              </w:tc>
            </w:tr>
          </w:tbl>
          <w:p>
            <w:pPr>
              <w:pStyle w:val="32"/>
              <w:ind w:firstLine="480" w:firstLineChars="200"/>
              <w:rPr>
                <w:sz w:val="24"/>
                <w:szCs w:val="24"/>
              </w:rPr>
            </w:pPr>
            <w:r>
              <w:rPr>
                <w:sz w:val="24"/>
                <w:szCs w:val="24"/>
              </w:rPr>
              <w:t>（2）监测分析方法</w:t>
            </w:r>
          </w:p>
          <w:p>
            <w:pPr>
              <w:pStyle w:val="32"/>
              <w:ind w:firstLine="480" w:firstLineChars="200"/>
              <w:rPr>
                <w:sz w:val="24"/>
                <w:szCs w:val="24"/>
              </w:rPr>
            </w:pPr>
            <w:r>
              <w:rPr>
                <w:sz w:val="24"/>
                <w:szCs w:val="24"/>
              </w:rPr>
              <w:t>本次竣工环保验收选择监测方法均</w:t>
            </w:r>
            <w:r>
              <w:rPr>
                <w:color w:val="000000"/>
                <w:sz w:val="24"/>
                <w:szCs w:val="24"/>
              </w:rPr>
              <w:t>采用国家有关部门颁布的标准（或推荐）方法</w:t>
            </w:r>
            <w:r>
              <w:rPr>
                <w:sz w:val="24"/>
                <w:szCs w:val="24"/>
              </w:rPr>
              <w:t>，详见下表：</w:t>
            </w:r>
          </w:p>
          <w:p>
            <w:pPr>
              <w:pStyle w:val="32"/>
              <w:jc w:val="center"/>
              <w:rPr>
                <w:sz w:val="24"/>
                <w:szCs w:val="24"/>
              </w:rPr>
            </w:pPr>
            <w:r>
              <w:rPr>
                <w:sz w:val="24"/>
                <w:szCs w:val="24"/>
              </w:rPr>
              <w:t>表1</w:t>
            </w:r>
            <w:r>
              <w:rPr>
                <w:rFonts w:hint="eastAsia"/>
                <w:sz w:val="24"/>
                <w:szCs w:val="24"/>
              </w:rPr>
              <w:t>5</w:t>
            </w:r>
            <w:r>
              <w:rPr>
                <w:sz w:val="24"/>
                <w:szCs w:val="24"/>
              </w:rPr>
              <w:t xml:space="preserve">  监测分析方法一览表</w:t>
            </w:r>
          </w:p>
          <w:tbl>
            <w:tblPr>
              <w:tblStyle w:val="21"/>
              <w:tblW w:w="8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97"/>
              <w:gridCol w:w="3543"/>
              <w:gridCol w:w="1276"/>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类别</w:t>
                  </w:r>
                </w:p>
              </w:tc>
              <w:tc>
                <w:tcPr>
                  <w:tcW w:w="139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项目</w:t>
                  </w:r>
                </w:p>
              </w:tc>
              <w:tc>
                <w:tcPr>
                  <w:tcW w:w="35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分析方法</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方法或仪器最低检出限</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方法来源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37" w:type="dxa"/>
                  <w:vMerge w:val="restart"/>
                  <w:tcBorders>
                    <w:top w:val="single" w:color="auto" w:sz="4" w:space="0"/>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废气</w:t>
                  </w:r>
                </w:p>
              </w:tc>
              <w:tc>
                <w:tcPr>
                  <w:tcW w:w="139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废气</w:t>
                  </w:r>
                </w:p>
              </w:tc>
              <w:tc>
                <w:tcPr>
                  <w:tcW w:w="35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《固定源废气监测技术规范》</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HJ/T397-2007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37"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139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颗粒物</w:t>
                  </w:r>
                </w:p>
              </w:tc>
              <w:tc>
                <w:tcPr>
                  <w:tcW w:w="35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《固定污染源废气 低浓度颗粒物的测定 重量法》</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1.0mg/m</w:t>
                  </w:r>
                  <w:r>
                    <w:rPr>
                      <w:rFonts w:ascii="Times New Roman" w:hAnsi="Times New Roman" w:cs="Times New Roman"/>
                      <w:vertAlign w:val="superscript"/>
                    </w:rPr>
                    <w:t>3</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HJ836-2017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37"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139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35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《固定污染源废气二氧化硫的测定非分散红外吸收法》</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3mg/m</w:t>
                  </w:r>
                  <w:r>
                    <w:rPr>
                      <w:rFonts w:ascii="Times New Roman" w:hAnsi="Times New Roman" w:cs="Times New Roman"/>
                      <w:vertAlign w:val="superscript"/>
                    </w:rPr>
                    <w:t>3</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HJ 629-2011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37"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139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NOx</w:t>
                  </w:r>
                </w:p>
              </w:tc>
              <w:tc>
                <w:tcPr>
                  <w:tcW w:w="35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《固定污染源废气氮氧化物的测定非分散红外吸收法》</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3mg/m</w:t>
                  </w:r>
                  <w:r>
                    <w:rPr>
                      <w:rFonts w:ascii="Times New Roman" w:hAnsi="Times New Roman" w:cs="Times New Roman"/>
                      <w:vertAlign w:val="superscript"/>
                    </w:rPr>
                    <w:t>3</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HJ 692-2014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37"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139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0"/>
                      <w:sz w:val="21"/>
                      <w:szCs w:val="21"/>
                    </w:rPr>
                  </w:pPr>
                  <w:r>
                    <w:rPr>
                      <w:rStyle w:val="60"/>
                      <w:sz w:val="21"/>
                      <w:szCs w:val="21"/>
                    </w:rPr>
                    <w:t>NH</w:t>
                  </w:r>
                  <w:r>
                    <w:rPr>
                      <w:rStyle w:val="60"/>
                      <w:sz w:val="21"/>
                      <w:szCs w:val="21"/>
                      <w:vertAlign w:val="subscript"/>
                    </w:rPr>
                    <w:t>3</w:t>
                  </w:r>
                </w:p>
              </w:tc>
              <w:tc>
                <w:tcPr>
                  <w:tcW w:w="35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《环境空气和废气氨的测定纳氏试剂分光光度法》</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0.25 mg/m</w:t>
                  </w:r>
                  <w:r>
                    <w:rPr>
                      <w:rFonts w:ascii="Times New Roman" w:hAnsi="Times New Roman" w:cs="Times New Roman"/>
                      <w:vertAlign w:val="superscript"/>
                    </w:rPr>
                    <w:t>3</w:t>
                  </w:r>
                </w:p>
                <w:p>
                  <w:pPr>
                    <w:spacing w:line="276" w:lineRule="auto"/>
                    <w:jc w:val="center"/>
                    <w:rPr>
                      <w:rFonts w:ascii="Times New Roman" w:hAnsi="Times New Roman" w:cs="Times New Roman"/>
                    </w:rPr>
                  </w:pPr>
                  <w:r>
                    <w:rPr>
                      <w:rFonts w:ascii="Times New Roman" w:hAnsi="Times New Roman" w:cs="Times New Roman"/>
                    </w:rPr>
                    <w:t>最低检出含量2.5μg</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HJ533-2009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37" w:type="dxa"/>
                  <w:vMerge w:val="continue"/>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139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0"/>
                      <w:sz w:val="21"/>
                      <w:szCs w:val="21"/>
                    </w:rPr>
                  </w:pPr>
                </w:p>
              </w:tc>
              <w:tc>
                <w:tcPr>
                  <w:tcW w:w="35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《环境空气和废气氨的测定纳氏试剂分光光度法》</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0.01 mg/m</w:t>
                  </w:r>
                  <w:r>
                    <w:rPr>
                      <w:rFonts w:ascii="Times New Roman" w:hAnsi="Times New Roman" w:cs="Times New Roman"/>
                      <w:vertAlign w:val="superscript"/>
                    </w:rPr>
                    <w:t>3</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HJ533-2009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0"/>
                      <w:sz w:val="21"/>
                      <w:szCs w:val="21"/>
                    </w:rPr>
                  </w:pPr>
                  <w:r>
                    <w:rPr>
                      <w:rStyle w:val="60"/>
                      <w:sz w:val="21"/>
                      <w:szCs w:val="21"/>
                    </w:rPr>
                    <w:t>噪声</w:t>
                  </w:r>
                </w:p>
              </w:tc>
              <w:tc>
                <w:tcPr>
                  <w:tcW w:w="139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0"/>
                      <w:sz w:val="21"/>
                      <w:szCs w:val="21"/>
                    </w:rPr>
                  </w:pPr>
                  <w:r>
                    <w:rPr>
                      <w:rStyle w:val="60"/>
                      <w:sz w:val="21"/>
                      <w:szCs w:val="21"/>
                    </w:rPr>
                    <w:t>厂界噪声</w:t>
                  </w:r>
                </w:p>
              </w:tc>
              <w:tc>
                <w:tcPr>
                  <w:tcW w:w="35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0"/>
                      <w:sz w:val="21"/>
                      <w:szCs w:val="21"/>
                    </w:rPr>
                  </w:pPr>
                  <w:r>
                    <w:rPr>
                      <w:rStyle w:val="60"/>
                      <w:sz w:val="21"/>
                      <w:szCs w:val="21"/>
                    </w:rPr>
                    <w:t>《工业企业厂界环境噪声排放标准》</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0"/>
                      <w:sz w:val="21"/>
                      <w:szCs w:val="21"/>
                    </w:rPr>
                  </w:pPr>
                  <w:r>
                    <w:rPr>
                      <w:rStyle w:val="60"/>
                      <w:sz w:val="21"/>
                      <w:szCs w:val="21"/>
                    </w:rPr>
                    <w:t>35dB</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0"/>
                      <w:sz w:val="21"/>
                      <w:szCs w:val="21"/>
                    </w:rPr>
                  </w:pPr>
                  <w:r>
                    <w:rPr>
                      <w:rStyle w:val="60"/>
                      <w:sz w:val="21"/>
                      <w:szCs w:val="21"/>
                    </w:rPr>
                    <w:t>GB12348-2008</w:t>
                  </w:r>
                </w:p>
              </w:tc>
            </w:tr>
          </w:tbl>
          <w:p>
            <w:pPr>
              <w:pStyle w:val="32"/>
              <w:ind w:firstLine="480" w:firstLineChars="200"/>
              <w:rPr>
                <w:sz w:val="24"/>
                <w:szCs w:val="24"/>
              </w:rPr>
            </w:pPr>
            <w:r>
              <w:rPr>
                <w:sz w:val="24"/>
                <w:szCs w:val="24"/>
              </w:rPr>
              <w:t>（3）监测仪器</w:t>
            </w:r>
          </w:p>
          <w:p>
            <w:pPr>
              <w:pStyle w:val="32"/>
              <w:ind w:firstLine="480" w:firstLineChars="200"/>
              <w:rPr>
                <w:sz w:val="24"/>
                <w:szCs w:val="24"/>
              </w:rPr>
            </w:pPr>
            <w:r>
              <w:rPr>
                <w:sz w:val="24"/>
                <w:szCs w:val="24"/>
              </w:rPr>
              <w:t>监测所用采样、分析仪器、计量器具经有资质的单位检定合格，并在检定周期有效期内的，以确保监测与分析仪器的准确计量，监测使用仪器见下表：</w:t>
            </w:r>
          </w:p>
          <w:p>
            <w:pPr>
              <w:pStyle w:val="32"/>
              <w:jc w:val="center"/>
              <w:rPr>
                <w:sz w:val="24"/>
                <w:szCs w:val="24"/>
              </w:rPr>
            </w:pPr>
            <w:r>
              <w:rPr>
                <w:sz w:val="24"/>
                <w:szCs w:val="24"/>
              </w:rPr>
              <w:t>表1</w:t>
            </w:r>
            <w:r>
              <w:rPr>
                <w:rFonts w:hint="eastAsia"/>
                <w:sz w:val="24"/>
                <w:szCs w:val="24"/>
              </w:rPr>
              <w:t>6</w:t>
            </w:r>
            <w:r>
              <w:rPr>
                <w:sz w:val="24"/>
                <w:szCs w:val="24"/>
              </w:rPr>
              <w:t xml:space="preserve">  监测仪器一览表</w:t>
            </w:r>
          </w:p>
          <w:tbl>
            <w:tblPr>
              <w:tblStyle w:val="21"/>
              <w:tblW w:w="83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2927"/>
              <w:gridCol w:w="1394"/>
              <w:gridCol w:w="1254"/>
              <w:gridCol w:w="1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项目</w:t>
                  </w:r>
                </w:p>
              </w:tc>
              <w:tc>
                <w:tcPr>
                  <w:tcW w:w="2927"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仪器名称及型号</w:t>
                  </w:r>
                </w:p>
              </w:tc>
              <w:tc>
                <w:tcPr>
                  <w:tcW w:w="1394"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管理编号</w:t>
                  </w:r>
                </w:p>
              </w:tc>
              <w:tc>
                <w:tcPr>
                  <w:tcW w:w="1254"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检定部门</w:t>
                  </w:r>
                </w:p>
              </w:tc>
              <w:tc>
                <w:tcPr>
                  <w:tcW w:w="1254"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颗粒物</w:t>
                  </w:r>
                </w:p>
                <w:p>
                  <w:pPr>
                    <w:spacing w:line="276" w:lineRule="auto"/>
                    <w:jc w:val="center"/>
                    <w:rPr>
                      <w:rFonts w:ascii="Times New Roman" w:hAnsi="Times New Roman" w:cs="Times New Roman"/>
                      <w:spacing w:val="-20"/>
                    </w:rPr>
                  </w:pPr>
                  <w:r>
                    <w:rPr>
                      <w:rFonts w:ascii="Times New Roman" w:hAnsi="Times New Roman" w:cs="Times New Roman"/>
                      <w:spacing w:val="-20"/>
                    </w:rPr>
                    <w:t>二氧化硫</w:t>
                  </w:r>
                </w:p>
                <w:p>
                  <w:pPr>
                    <w:spacing w:line="276" w:lineRule="auto"/>
                    <w:jc w:val="center"/>
                    <w:rPr>
                      <w:rFonts w:ascii="Times New Roman" w:hAnsi="Times New Roman" w:cs="Times New Roman"/>
                    </w:rPr>
                  </w:pPr>
                  <w:r>
                    <w:rPr>
                      <w:rFonts w:ascii="Times New Roman" w:hAnsi="Times New Roman" w:cs="Times New Roman"/>
                      <w:spacing w:val="-20"/>
                    </w:rPr>
                    <w:t>氮氧化物</w:t>
                  </w:r>
                </w:p>
              </w:tc>
              <w:tc>
                <w:tcPr>
                  <w:tcW w:w="2927" w:type="dxa"/>
                  <w:vAlign w:val="center"/>
                </w:tcPr>
                <w:p>
                  <w:pPr>
                    <w:spacing w:line="276" w:lineRule="auto"/>
                    <w:jc w:val="center"/>
                    <w:rPr>
                      <w:rFonts w:ascii="Times New Roman" w:hAnsi="Times New Roman" w:cs="Times New Roman"/>
                    </w:rPr>
                  </w:pPr>
                  <w:r>
                    <w:rPr>
                      <w:rFonts w:ascii="Times New Roman" w:hAnsi="Times New Roman" w:cs="Times New Roman"/>
                    </w:rPr>
                    <w:t>3012H(D)</w:t>
                  </w:r>
                </w:p>
                <w:p>
                  <w:pPr>
                    <w:spacing w:line="276" w:lineRule="auto"/>
                    <w:jc w:val="center"/>
                    <w:rPr>
                      <w:rFonts w:ascii="Times New Roman" w:hAnsi="Times New Roman" w:cs="Times New Roman"/>
                    </w:rPr>
                  </w:pPr>
                  <w:r>
                    <w:rPr>
                      <w:rFonts w:ascii="Times New Roman" w:hAnsi="Times New Roman" w:cs="Times New Roman"/>
                    </w:rPr>
                    <w:t>全自动烟尘（气）测试仪</w:t>
                  </w:r>
                </w:p>
              </w:tc>
              <w:tc>
                <w:tcPr>
                  <w:tcW w:w="1394" w:type="dxa"/>
                  <w:vAlign w:val="center"/>
                </w:tcPr>
                <w:p>
                  <w:pPr>
                    <w:spacing w:line="276" w:lineRule="auto"/>
                    <w:contextualSpacing/>
                    <w:jc w:val="center"/>
                    <w:rPr>
                      <w:rFonts w:ascii="Times New Roman" w:hAnsi="Times New Roman" w:cs="Times New Roman"/>
                    </w:rPr>
                  </w:pPr>
                  <w:r>
                    <w:rPr>
                      <w:rFonts w:ascii="Times New Roman" w:hAnsi="Times New Roman" w:cs="Times New Roman"/>
                    </w:rPr>
                    <w:t>TGHJ-061</w:t>
                  </w:r>
                </w:p>
                <w:p>
                  <w:pPr>
                    <w:spacing w:line="276" w:lineRule="auto"/>
                    <w:contextualSpacing/>
                    <w:jc w:val="center"/>
                    <w:rPr>
                      <w:rFonts w:ascii="Times New Roman" w:hAnsi="Times New Roman" w:cs="Times New Roman"/>
                    </w:rPr>
                  </w:pPr>
                  <w:r>
                    <w:rPr>
                      <w:rFonts w:ascii="Times New Roman" w:hAnsi="Times New Roman" w:cs="Times New Roman"/>
                    </w:rPr>
                    <w:t>TGHJ-194</w:t>
                  </w:r>
                </w:p>
                <w:p>
                  <w:pPr>
                    <w:spacing w:line="276" w:lineRule="auto"/>
                    <w:contextualSpacing/>
                    <w:jc w:val="center"/>
                    <w:rPr>
                      <w:rFonts w:ascii="Times New Roman" w:hAnsi="Times New Roman" w:cs="Times New Roman"/>
                    </w:rPr>
                  </w:pPr>
                  <w:r>
                    <w:rPr>
                      <w:rFonts w:ascii="Times New Roman" w:hAnsi="Times New Roman" w:cs="Times New Roman"/>
                    </w:rPr>
                    <w:t>TGHJ-195</w:t>
                  </w:r>
                </w:p>
              </w:tc>
              <w:tc>
                <w:tcPr>
                  <w:tcW w:w="1254"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山西省</w:t>
                  </w:r>
                </w:p>
                <w:p>
                  <w:pPr>
                    <w:spacing w:line="276" w:lineRule="auto"/>
                    <w:jc w:val="center"/>
                    <w:rPr>
                      <w:rFonts w:ascii="Times New Roman" w:hAnsi="Times New Roman" w:cs="Times New Roman"/>
                    </w:rPr>
                  </w:pPr>
                  <w:r>
                    <w:rPr>
                      <w:rFonts w:ascii="Times New Roman" w:hAnsi="Times New Roman" w:cs="Times New Roman"/>
                    </w:rPr>
                    <w:t>计量科学</w:t>
                  </w:r>
                </w:p>
                <w:p>
                  <w:pPr>
                    <w:spacing w:line="276" w:lineRule="auto"/>
                    <w:jc w:val="center"/>
                    <w:rPr>
                      <w:rFonts w:ascii="Times New Roman" w:hAnsi="Times New Roman" w:cs="Times New Roman"/>
                    </w:rPr>
                  </w:pPr>
                  <w:r>
                    <w:rPr>
                      <w:rFonts w:ascii="Times New Roman" w:hAnsi="Times New Roman" w:cs="Times New Roman"/>
                    </w:rPr>
                    <w:t>研究院</w:t>
                  </w:r>
                </w:p>
              </w:tc>
              <w:tc>
                <w:tcPr>
                  <w:tcW w:w="1254" w:type="dxa"/>
                  <w:vMerge w:val="restart"/>
                  <w:vAlign w:val="center"/>
                </w:tcPr>
                <w:p>
                  <w:pPr>
                    <w:spacing w:line="276" w:lineRule="auto"/>
                    <w:jc w:val="center"/>
                    <w:rPr>
                      <w:rFonts w:ascii="Times New Roman" w:hAnsi="Times New Roman" w:cs="Times New Roman"/>
                      <w:spacing w:val="-20"/>
                    </w:rPr>
                  </w:pPr>
                  <w:r>
                    <w:rPr>
                      <w:rFonts w:ascii="Times New Roman" w:hAnsi="Times New Roman" w:cs="Times New Roman"/>
                      <w:spacing w:val="-20"/>
                    </w:rPr>
                    <w:t>2022.6.21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vMerge w:val="continue"/>
                  <w:vAlign w:val="center"/>
                </w:tcPr>
                <w:p>
                  <w:pPr>
                    <w:spacing w:line="276" w:lineRule="auto"/>
                    <w:jc w:val="center"/>
                    <w:rPr>
                      <w:rFonts w:ascii="Times New Roman" w:hAnsi="Times New Roman" w:cs="Times New Roman"/>
                    </w:rPr>
                  </w:pPr>
                </w:p>
              </w:tc>
              <w:tc>
                <w:tcPr>
                  <w:tcW w:w="2927" w:type="dxa"/>
                  <w:vAlign w:val="center"/>
                </w:tcPr>
                <w:p>
                  <w:pPr>
                    <w:spacing w:line="276" w:lineRule="auto"/>
                    <w:jc w:val="center"/>
                    <w:rPr>
                      <w:rFonts w:ascii="Times New Roman" w:hAnsi="Times New Roman" w:cs="Times New Roman"/>
                    </w:rPr>
                  </w:pPr>
                  <w:r>
                    <w:rPr>
                      <w:rFonts w:ascii="Times New Roman" w:hAnsi="Times New Roman" w:cs="Times New Roman"/>
                    </w:rPr>
                    <w:t>红外烟气综合分析仪</w:t>
                  </w:r>
                </w:p>
              </w:tc>
              <w:tc>
                <w:tcPr>
                  <w:tcW w:w="1394" w:type="dxa"/>
                  <w:vAlign w:val="center"/>
                </w:tcPr>
                <w:p>
                  <w:pPr>
                    <w:spacing w:line="276" w:lineRule="auto"/>
                    <w:contextualSpacing/>
                    <w:jc w:val="center"/>
                    <w:rPr>
                      <w:rFonts w:ascii="Times New Roman" w:hAnsi="Times New Roman" w:cs="Times New Roman"/>
                    </w:rPr>
                  </w:pPr>
                  <w:r>
                    <w:rPr>
                      <w:rFonts w:ascii="Times New Roman" w:hAnsi="Times New Roman" w:cs="Times New Roman"/>
                    </w:rPr>
                    <w:t>TGHJ-092</w:t>
                  </w:r>
                </w:p>
                <w:p>
                  <w:pPr>
                    <w:spacing w:line="276" w:lineRule="auto"/>
                    <w:contextualSpacing/>
                    <w:jc w:val="center"/>
                    <w:rPr>
                      <w:rFonts w:ascii="Times New Roman" w:hAnsi="Times New Roman" w:cs="Times New Roman"/>
                    </w:rPr>
                  </w:pPr>
                  <w:r>
                    <w:rPr>
                      <w:rFonts w:ascii="Times New Roman" w:hAnsi="Times New Roman" w:cs="Times New Roman"/>
                    </w:rPr>
                    <w:t>TGHJ-202</w:t>
                  </w:r>
                </w:p>
              </w:tc>
              <w:tc>
                <w:tcPr>
                  <w:tcW w:w="1254" w:type="dxa"/>
                  <w:vMerge w:val="continue"/>
                  <w:vAlign w:val="center"/>
                </w:tcPr>
                <w:p>
                  <w:pPr>
                    <w:spacing w:line="276" w:lineRule="auto"/>
                    <w:jc w:val="center"/>
                    <w:rPr>
                      <w:rFonts w:ascii="Times New Roman" w:hAnsi="Times New Roman" w:cs="Times New Roman"/>
                    </w:rPr>
                  </w:pPr>
                </w:p>
              </w:tc>
              <w:tc>
                <w:tcPr>
                  <w:tcW w:w="1254" w:type="dxa"/>
                  <w:vMerge w:val="continue"/>
                  <w:vAlign w:val="center"/>
                </w:tcPr>
                <w:p>
                  <w:pPr>
                    <w:spacing w:line="276" w:lineRule="auto"/>
                    <w:jc w:val="center"/>
                    <w:rPr>
                      <w:rFonts w:ascii="Times New Roman" w:hAnsi="Times New Roman"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vMerge w:val="continue"/>
                  <w:vAlign w:val="center"/>
                </w:tcPr>
                <w:p>
                  <w:pPr>
                    <w:spacing w:line="276" w:lineRule="auto"/>
                    <w:jc w:val="center"/>
                    <w:rPr>
                      <w:rFonts w:ascii="Times New Roman" w:hAnsi="Times New Roman" w:cs="Times New Roman"/>
                    </w:rPr>
                  </w:pPr>
                </w:p>
              </w:tc>
              <w:tc>
                <w:tcPr>
                  <w:tcW w:w="2927" w:type="dxa"/>
                  <w:vAlign w:val="center"/>
                </w:tcPr>
                <w:p>
                  <w:pPr>
                    <w:spacing w:line="276" w:lineRule="auto"/>
                    <w:jc w:val="center"/>
                    <w:rPr>
                      <w:rFonts w:ascii="Times New Roman" w:hAnsi="Times New Roman" w:cs="Times New Roman"/>
                    </w:rPr>
                  </w:pPr>
                  <w:r>
                    <w:rPr>
                      <w:rFonts w:ascii="Times New Roman" w:hAnsi="Times New Roman" w:cs="Times New Roman"/>
                    </w:rPr>
                    <w:t>十万分之一天平</w:t>
                  </w:r>
                </w:p>
              </w:tc>
              <w:tc>
                <w:tcPr>
                  <w:tcW w:w="1394" w:type="dxa"/>
                  <w:vAlign w:val="center"/>
                </w:tcPr>
                <w:p>
                  <w:pPr>
                    <w:spacing w:line="276" w:lineRule="auto"/>
                    <w:jc w:val="center"/>
                    <w:rPr>
                      <w:rFonts w:ascii="Times New Roman" w:hAnsi="Times New Roman" w:cs="Times New Roman"/>
                    </w:rPr>
                  </w:pPr>
                  <w:r>
                    <w:rPr>
                      <w:rFonts w:ascii="Times New Roman" w:hAnsi="Times New Roman" w:cs="Times New Roman"/>
                    </w:rPr>
                    <w:t>TGHJ-031</w:t>
                  </w:r>
                </w:p>
              </w:tc>
              <w:tc>
                <w:tcPr>
                  <w:tcW w:w="1254" w:type="dxa"/>
                  <w:vMerge w:val="continue"/>
                  <w:vAlign w:val="center"/>
                </w:tcPr>
                <w:p>
                  <w:pPr>
                    <w:pStyle w:val="37"/>
                    <w:snapToGrid w:val="0"/>
                    <w:spacing w:before="120" w:line="276" w:lineRule="auto"/>
                    <w:jc w:val="center"/>
                    <w:rPr>
                      <w:rFonts w:ascii="Times New Roman" w:hAnsi="Times New Roman" w:cs="Times New Roman"/>
                      <w:color w:val="auto"/>
                      <w:kern w:val="2"/>
                      <w:sz w:val="21"/>
                      <w:szCs w:val="21"/>
                    </w:rPr>
                  </w:pPr>
                </w:p>
              </w:tc>
              <w:tc>
                <w:tcPr>
                  <w:tcW w:w="1254" w:type="dxa"/>
                  <w:vAlign w:val="center"/>
                </w:tcPr>
                <w:p>
                  <w:pPr>
                    <w:pStyle w:val="37"/>
                    <w:spacing w:before="120" w:line="276" w:lineRule="auto"/>
                    <w:jc w:val="center"/>
                    <w:rPr>
                      <w:rFonts w:ascii="Times New Roman" w:hAnsi="Times New Roman" w:cs="Times New Roman"/>
                      <w:color w:val="auto"/>
                      <w:spacing w:val="-20"/>
                      <w:kern w:val="2"/>
                      <w:sz w:val="21"/>
                      <w:szCs w:val="21"/>
                    </w:rPr>
                  </w:pPr>
                  <w:r>
                    <w:rPr>
                      <w:rFonts w:ascii="Times New Roman" w:hAnsi="Times New Roman" w:cs="Times New Roman"/>
                      <w:color w:val="auto"/>
                      <w:spacing w:val="-20"/>
                      <w:kern w:val="2"/>
                      <w:sz w:val="21"/>
                      <w:szCs w:val="21"/>
                    </w:rPr>
                    <w:t>2022.6.17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vMerge w:val="continue"/>
                  <w:vAlign w:val="center"/>
                </w:tcPr>
                <w:p>
                  <w:pPr>
                    <w:spacing w:line="276" w:lineRule="auto"/>
                    <w:jc w:val="center"/>
                    <w:rPr>
                      <w:rFonts w:ascii="Times New Roman" w:hAnsi="Times New Roman" w:cs="Times New Roman"/>
                    </w:rPr>
                  </w:pPr>
                </w:p>
              </w:tc>
              <w:tc>
                <w:tcPr>
                  <w:tcW w:w="2927" w:type="dxa"/>
                  <w:vAlign w:val="center"/>
                </w:tcPr>
                <w:p>
                  <w:pPr>
                    <w:pStyle w:val="37"/>
                    <w:spacing w:before="120" w:line="276" w:lineRule="auto"/>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电热恒温干燥箱</w:t>
                  </w:r>
                </w:p>
              </w:tc>
              <w:tc>
                <w:tcPr>
                  <w:tcW w:w="1394" w:type="dxa"/>
                  <w:vAlign w:val="center"/>
                </w:tcPr>
                <w:p>
                  <w:pPr>
                    <w:spacing w:line="276" w:lineRule="auto"/>
                    <w:jc w:val="center"/>
                    <w:rPr>
                      <w:rFonts w:ascii="Times New Roman" w:hAnsi="Times New Roman" w:cs="Times New Roman"/>
                    </w:rPr>
                  </w:pPr>
                  <w:r>
                    <w:rPr>
                      <w:rFonts w:ascii="Times New Roman" w:hAnsi="Times New Roman" w:cs="Times New Roman"/>
                    </w:rPr>
                    <w:t>TGHJ-040</w:t>
                  </w:r>
                </w:p>
              </w:tc>
              <w:tc>
                <w:tcPr>
                  <w:tcW w:w="1254" w:type="dxa"/>
                  <w:vMerge w:val="continue"/>
                  <w:vAlign w:val="center"/>
                </w:tcPr>
                <w:p>
                  <w:pPr>
                    <w:pStyle w:val="37"/>
                    <w:snapToGrid w:val="0"/>
                    <w:spacing w:before="120" w:line="276" w:lineRule="auto"/>
                    <w:jc w:val="center"/>
                    <w:rPr>
                      <w:rFonts w:ascii="Times New Roman" w:hAnsi="Times New Roman" w:cs="Times New Roman"/>
                      <w:color w:val="auto"/>
                      <w:kern w:val="2"/>
                      <w:sz w:val="21"/>
                      <w:szCs w:val="21"/>
                    </w:rPr>
                  </w:pPr>
                </w:p>
              </w:tc>
              <w:tc>
                <w:tcPr>
                  <w:tcW w:w="1254" w:type="dxa"/>
                  <w:vAlign w:val="center"/>
                </w:tcPr>
                <w:p>
                  <w:pPr>
                    <w:pStyle w:val="37"/>
                    <w:spacing w:before="120" w:line="276" w:lineRule="auto"/>
                    <w:jc w:val="center"/>
                    <w:rPr>
                      <w:rFonts w:ascii="Times New Roman" w:hAnsi="Times New Roman" w:cs="Times New Roman"/>
                      <w:color w:val="auto"/>
                      <w:spacing w:val="-20"/>
                      <w:kern w:val="2"/>
                      <w:sz w:val="21"/>
                      <w:szCs w:val="21"/>
                    </w:rPr>
                  </w:pPr>
                  <w:r>
                    <w:rPr>
                      <w:rFonts w:ascii="Times New Roman" w:hAnsi="Times New Roman" w:cs="Times New Roman"/>
                      <w:color w:val="auto"/>
                      <w:spacing w:val="-20"/>
                      <w:kern w:val="2"/>
                      <w:sz w:val="21"/>
                      <w:szCs w:val="21"/>
                    </w:rPr>
                    <w:t>2022.6.14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氨</w:t>
                  </w:r>
                </w:p>
              </w:tc>
              <w:tc>
                <w:tcPr>
                  <w:tcW w:w="2927" w:type="dxa"/>
                  <w:vAlign w:val="center"/>
                </w:tcPr>
                <w:p>
                  <w:pPr>
                    <w:spacing w:line="276" w:lineRule="auto"/>
                    <w:jc w:val="center"/>
                    <w:rPr>
                      <w:rFonts w:ascii="Times New Roman" w:hAnsi="Times New Roman" w:cs="Times New Roman"/>
                    </w:rPr>
                  </w:pPr>
                  <w:r>
                    <w:rPr>
                      <w:rFonts w:ascii="Times New Roman" w:hAnsi="Times New Roman" w:cs="Times New Roman"/>
                    </w:rPr>
                    <w:t>721分光光度计</w:t>
                  </w:r>
                </w:p>
              </w:tc>
              <w:tc>
                <w:tcPr>
                  <w:tcW w:w="1394" w:type="dxa"/>
                  <w:vAlign w:val="center"/>
                </w:tcPr>
                <w:p>
                  <w:pPr>
                    <w:spacing w:line="276" w:lineRule="auto"/>
                    <w:jc w:val="center"/>
                    <w:rPr>
                      <w:rFonts w:ascii="Times New Roman" w:hAnsi="Times New Roman" w:cs="Times New Roman"/>
                    </w:rPr>
                  </w:pPr>
                  <w:r>
                    <w:rPr>
                      <w:rFonts w:ascii="Times New Roman" w:hAnsi="Times New Roman" w:cs="Times New Roman"/>
                    </w:rPr>
                    <w:t>TGHJ-014</w:t>
                  </w:r>
                </w:p>
              </w:tc>
              <w:tc>
                <w:tcPr>
                  <w:tcW w:w="1254" w:type="dxa"/>
                  <w:vMerge w:val="continue"/>
                  <w:vAlign w:val="center"/>
                </w:tcPr>
                <w:p>
                  <w:pPr>
                    <w:pStyle w:val="37"/>
                    <w:snapToGrid w:val="0"/>
                    <w:spacing w:before="120" w:line="276" w:lineRule="auto"/>
                    <w:jc w:val="center"/>
                    <w:rPr>
                      <w:rFonts w:ascii="Times New Roman" w:hAnsi="Times New Roman" w:cs="Times New Roman"/>
                      <w:color w:val="auto"/>
                      <w:kern w:val="2"/>
                      <w:sz w:val="21"/>
                      <w:szCs w:val="21"/>
                    </w:rPr>
                  </w:pPr>
                </w:p>
              </w:tc>
              <w:tc>
                <w:tcPr>
                  <w:tcW w:w="1254" w:type="dxa"/>
                  <w:vAlign w:val="center"/>
                </w:tcPr>
                <w:p>
                  <w:pPr>
                    <w:spacing w:line="276" w:lineRule="auto"/>
                    <w:jc w:val="center"/>
                    <w:rPr>
                      <w:rFonts w:ascii="Times New Roman" w:hAnsi="Times New Roman" w:cs="Times New Roman"/>
                      <w:spacing w:val="-20"/>
                    </w:rPr>
                  </w:pPr>
                  <w:r>
                    <w:rPr>
                      <w:rFonts w:ascii="Times New Roman" w:hAnsi="Times New Roman" w:cs="Times New Roman"/>
                      <w:spacing w:val="-20"/>
                    </w:rPr>
                    <w:t>2022.6.7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vMerge w:val="continue"/>
                  <w:vAlign w:val="center"/>
                </w:tcPr>
                <w:p>
                  <w:pPr>
                    <w:spacing w:line="276" w:lineRule="auto"/>
                    <w:jc w:val="center"/>
                    <w:rPr>
                      <w:rFonts w:ascii="Times New Roman" w:hAnsi="Times New Roman" w:cs="Times New Roman"/>
                    </w:rPr>
                  </w:pPr>
                </w:p>
              </w:tc>
              <w:tc>
                <w:tcPr>
                  <w:tcW w:w="2927" w:type="dxa"/>
                  <w:vAlign w:val="center"/>
                </w:tcPr>
                <w:p>
                  <w:pPr>
                    <w:spacing w:line="276" w:lineRule="auto"/>
                    <w:jc w:val="center"/>
                    <w:rPr>
                      <w:rFonts w:ascii="Times New Roman" w:hAnsi="Times New Roman" w:cs="Times New Roman"/>
                    </w:rPr>
                  </w:pPr>
                  <w:r>
                    <w:rPr>
                      <w:rFonts w:ascii="Times New Roman" w:hAnsi="Times New Roman" w:cs="Times New Roman"/>
                    </w:rPr>
                    <w:t>3072智能双路烟气采样器</w:t>
                  </w:r>
                </w:p>
              </w:tc>
              <w:tc>
                <w:tcPr>
                  <w:tcW w:w="1394" w:type="dxa"/>
                  <w:vAlign w:val="center"/>
                </w:tcPr>
                <w:p>
                  <w:pPr>
                    <w:spacing w:line="276" w:lineRule="auto"/>
                    <w:jc w:val="center"/>
                    <w:rPr>
                      <w:rFonts w:ascii="Times New Roman" w:hAnsi="Times New Roman" w:cs="Times New Roman"/>
                    </w:rPr>
                  </w:pPr>
                  <w:r>
                    <w:rPr>
                      <w:rFonts w:ascii="Times New Roman" w:hAnsi="Times New Roman" w:cs="Times New Roman"/>
                    </w:rPr>
                    <w:t>TGHJ-073</w:t>
                  </w:r>
                </w:p>
              </w:tc>
              <w:tc>
                <w:tcPr>
                  <w:tcW w:w="1254" w:type="dxa"/>
                  <w:vMerge w:val="continue"/>
                  <w:vAlign w:val="center"/>
                </w:tcPr>
                <w:p>
                  <w:pPr>
                    <w:pStyle w:val="37"/>
                    <w:snapToGrid w:val="0"/>
                    <w:spacing w:before="120" w:line="276" w:lineRule="auto"/>
                    <w:jc w:val="center"/>
                    <w:rPr>
                      <w:rFonts w:ascii="Times New Roman" w:hAnsi="Times New Roman" w:cs="Times New Roman"/>
                      <w:color w:val="auto"/>
                      <w:kern w:val="2"/>
                      <w:sz w:val="21"/>
                      <w:szCs w:val="21"/>
                    </w:rPr>
                  </w:pPr>
                </w:p>
              </w:tc>
              <w:tc>
                <w:tcPr>
                  <w:tcW w:w="1254" w:type="dxa"/>
                  <w:vAlign w:val="center"/>
                </w:tcPr>
                <w:p>
                  <w:pPr>
                    <w:spacing w:line="276" w:lineRule="auto"/>
                    <w:jc w:val="center"/>
                    <w:rPr>
                      <w:rFonts w:ascii="Times New Roman" w:hAnsi="Times New Roman" w:cs="Times New Roman"/>
                      <w:spacing w:val="-20"/>
                    </w:rPr>
                  </w:pPr>
                  <w:r>
                    <w:rPr>
                      <w:rFonts w:ascii="Times New Roman" w:hAnsi="Times New Roman" w:cs="Times New Roman"/>
                      <w:spacing w:val="-20"/>
                    </w:rPr>
                    <w:t>2022.6.21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噪声</w:t>
                  </w:r>
                </w:p>
              </w:tc>
              <w:tc>
                <w:tcPr>
                  <w:tcW w:w="2927" w:type="dxa"/>
                  <w:vAlign w:val="center"/>
                </w:tcPr>
                <w:p>
                  <w:pPr>
                    <w:pStyle w:val="37"/>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PH-II-C手持气象站</w:t>
                  </w:r>
                </w:p>
              </w:tc>
              <w:tc>
                <w:tcPr>
                  <w:tcW w:w="1394" w:type="dxa"/>
                  <w:vAlign w:val="center"/>
                </w:tcPr>
                <w:p>
                  <w:pPr>
                    <w:pStyle w:val="37"/>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TGHJ-100</w:t>
                  </w:r>
                </w:p>
              </w:tc>
              <w:tc>
                <w:tcPr>
                  <w:tcW w:w="1254" w:type="dxa"/>
                  <w:vMerge w:val="continue"/>
                  <w:vAlign w:val="center"/>
                </w:tcPr>
                <w:p>
                  <w:pPr>
                    <w:pStyle w:val="37"/>
                    <w:snapToGrid w:val="0"/>
                    <w:spacing w:before="120" w:line="276" w:lineRule="auto"/>
                    <w:jc w:val="center"/>
                    <w:rPr>
                      <w:rFonts w:ascii="Times New Roman" w:hAnsi="Times New Roman" w:cs="Times New Roman"/>
                      <w:color w:val="auto"/>
                      <w:kern w:val="2"/>
                      <w:sz w:val="21"/>
                      <w:szCs w:val="21"/>
                    </w:rPr>
                  </w:pPr>
                </w:p>
              </w:tc>
              <w:tc>
                <w:tcPr>
                  <w:tcW w:w="1254" w:type="dxa"/>
                  <w:vAlign w:val="center"/>
                </w:tcPr>
                <w:p>
                  <w:pPr>
                    <w:spacing w:line="276" w:lineRule="auto"/>
                    <w:jc w:val="center"/>
                    <w:rPr>
                      <w:rFonts w:ascii="Times New Roman" w:hAnsi="Times New Roman" w:cs="Times New Roman"/>
                      <w:spacing w:val="-20"/>
                    </w:rPr>
                  </w:pPr>
                  <w:r>
                    <w:rPr>
                      <w:rFonts w:ascii="Times New Roman" w:hAnsi="Times New Roman" w:cs="Times New Roman"/>
                    </w:rPr>
                    <w:t>2022.7.4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vMerge w:val="continue"/>
                  <w:vAlign w:val="center"/>
                </w:tcPr>
                <w:p>
                  <w:pPr>
                    <w:spacing w:line="276" w:lineRule="auto"/>
                    <w:jc w:val="center"/>
                    <w:rPr>
                      <w:rFonts w:ascii="Times New Roman" w:hAnsi="Times New Roman" w:cs="Times New Roman"/>
                    </w:rPr>
                  </w:pPr>
                </w:p>
              </w:tc>
              <w:tc>
                <w:tcPr>
                  <w:tcW w:w="2927" w:type="dxa"/>
                  <w:vAlign w:val="center"/>
                </w:tcPr>
                <w:p>
                  <w:pPr>
                    <w:pStyle w:val="37"/>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HS6288B噪声频谱分析仪</w:t>
                  </w:r>
                </w:p>
              </w:tc>
              <w:tc>
                <w:tcPr>
                  <w:tcW w:w="1394" w:type="dxa"/>
                  <w:vAlign w:val="center"/>
                </w:tcPr>
                <w:p>
                  <w:pPr>
                    <w:pStyle w:val="37"/>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TGHJ-065</w:t>
                  </w:r>
                </w:p>
              </w:tc>
              <w:tc>
                <w:tcPr>
                  <w:tcW w:w="1254" w:type="dxa"/>
                  <w:vMerge w:val="continue"/>
                  <w:vAlign w:val="center"/>
                </w:tcPr>
                <w:p>
                  <w:pPr>
                    <w:pStyle w:val="37"/>
                    <w:snapToGrid w:val="0"/>
                    <w:spacing w:before="120" w:line="276" w:lineRule="auto"/>
                    <w:jc w:val="center"/>
                    <w:rPr>
                      <w:rFonts w:ascii="Times New Roman" w:hAnsi="Times New Roman" w:cs="Times New Roman"/>
                      <w:color w:val="auto"/>
                      <w:kern w:val="2"/>
                      <w:sz w:val="21"/>
                      <w:szCs w:val="21"/>
                    </w:rPr>
                  </w:pPr>
                </w:p>
              </w:tc>
              <w:tc>
                <w:tcPr>
                  <w:tcW w:w="1254" w:type="dxa"/>
                  <w:vAlign w:val="center"/>
                </w:tcPr>
                <w:p>
                  <w:pPr>
                    <w:spacing w:line="276" w:lineRule="auto"/>
                    <w:jc w:val="center"/>
                    <w:rPr>
                      <w:rFonts w:ascii="Times New Roman" w:hAnsi="Times New Roman" w:cs="Times New Roman"/>
                      <w:spacing w:val="-20"/>
                    </w:rPr>
                  </w:pPr>
                  <w:r>
                    <w:rPr>
                      <w:rFonts w:ascii="Times New Roman" w:hAnsi="Times New Roman" w:cs="Times New Roman"/>
                    </w:rPr>
                    <w:t>2022.7.4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vMerge w:val="continue"/>
                  <w:vAlign w:val="center"/>
                </w:tcPr>
                <w:p>
                  <w:pPr>
                    <w:widowControl w:val="0"/>
                    <w:spacing w:line="276" w:lineRule="auto"/>
                    <w:contextualSpacing/>
                    <w:jc w:val="center"/>
                    <w:rPr>
                      <w:rFonts w:ascii="Times New Roman" w:hAnsi="Times New Roman" w:cs="Times New Roman"/>
                    </w:rPr>
                  </w:pPr>
                </w:p>
              </w:tc>
              <w:tc>
                <w:tcPr>
                  <w:tcW w:w="2927" w:type="dxa"/>
                  <w:vAlign w:val="center"/>
                </w:tcPr>
                <w:p>
                  <w:pPr>
                    <w:pStyle w:val="37"/>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HS6020声校准器</w:t>
                  </w:r>
                </w:p>
              </w:tc>
              <w:tc>
                <w:tcPr>
                  <w:tcW w:w="1394" w:type="dxa"/>
                  <w:vAlign w:val="center"/>
                </w:tcPr>
                <w:p>
                  <w:pPr>
                    <w:pStyle w:val="37"/>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TGHJ-063</w:t>
                  </w:r>
                </w:p>
              </w:tc>
              <w:tc>
                <w:tcPr>
                  <w:tcW w:w="1254" w:type="dxa"/>
                  <w:vMerge w:val="continue"/>
                  <w:vAlign w:val="center"/>
                </w:tcPr>
                <w:p>
                  <w:pPr>
                    <w:pStyle w:val="37"/>
                    <w:snapToGrid w:val="0"/>
                    <w:spacing w:before="120" w:line="276" w:lineRule="auto"/>
                    <w:jc w:val="center"/>
                    <w:rPr>
                      <w:rFonts w:ascii="Times New Roman" w:hAnsi="Times New Roman" w:cs="Times New Roman"/>
                      <w:color w:val="auto"/>
                      <w:kern w:val="2"/>
                      <w:sz w:val="21"/>
                      <w:szCs w:val="21"/>
                    </w:rPr>
                  </w:pPr>
                </w:p>
              </w:tc>
              <w:tc>
                <w:tcPr>
                  <w:tcW w:w="1254" w:type="dxa"/>
                  <w:vAlign w:val="center"/>
                </w:tcPr>
                <w:p>
                  <w:pPr>
                    <w:spacing w:line="276" w:lineRule="auto"/>
                    <w:jc w:val="center"/>
                    <w:rPr>
                      <w:rFonts w:ascii="Times New Roman" w:hAnsi="Times New Roman" w:cs="Times New Roman"/>
                      <w:spacing w:val="-20"/>
                    </w:rPr>
                  </w:pPr>
                  <w:r>
                    <w:rPr>
                      <w:rFonts w:ascii="Times New Roman" w:hAnsi="Times New Roman" w:cs="Times New Roman"/>
                    </w:rPr>
                    <w:t>2022.7.4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98" w:type="dxa"/>
                  <w:vAlign w:val="center"/>
                </w:tcPr>
                <w:p>
                  <w:pPr>
                    <w:spacing w:line="276" w:lineRule="auto"/>
                    <w:jc w:val="center"/>
                    <w:rPr>
                      <w:rFonts w:ascii="Times New Roman" w:hAnsi="Times New Roman" w:cs="Times New Roman"/>
                    </w:rPr>
                  </w:pPr>
                  <w:r>
                    <w:rPr>
                      <w:rFonts w:ascii="Times New Roman" w:hAnsi="Times New Roman" w:cs="Times New Roman"/>
                    </w:rPr>
                    <w:t>校准流量</w:t>
                  </w:r>
                </w:p>
              </w:tc>
              <w:tc>
                <w:tcPr>
                  <w:tcW w:w="2927" w:type="dxa"/>
                  <w:vAlign w:val="center"/>
                </w:tcPr>
                <w:p>
                  <w:pPr>
                    <w:spacing w:line="276" w:lineRule="auto"/>
                    <w:jc w:val="center"/>
                    <w:rPr>
                      <w:rFonts w:ascii="Times New Roman" w:hAnsi="Times New Roman" w:cs="Times New Roman"/>
                    </w:rPr>
                  </w:pPr>
                  <w:r>
                    <w:rPr>
                      <w:rFonts w:ascii="Times New Roman" w:hAnsi="Times New Roman" w:cs="Times New Roman"/>
                    </w:rPr>
                    <w:t>8040校准器</w:t>
                  </w:r>
                </w:p>
              </w:tc>
              <w:tc>
                <w:tcPr>
                  <w:tcW w:w="1394" w:type="dxa"/>
                  <w:vAlign w:val="center"/>
                </w:tcPr>
                <w:p>
                  <w:pPr>
                    <w:spacing w:line="276" w:lineRule="auto"/>
                    <w:jc w:val="center"/>
                    <w:rPr>
                      <w:rFonts w:ascii="Times New Roman" w:hAnsi="Times New Roman" w:cs="Times New Roman"/>
                    </w:rPr>
                  </w:pPr>
                  <w:r>
                    <w:rPr>
                      <w:rFonts w:ascii="Times New Roman" w:hAnsi="Times New Roman" w:cs="Times New Roman"/>
                    </w:rPr>
                    <w:t>TGHJ-140</w:t>
                  </w:r>
                </w:p>
              </w:tc>
              <w:tc>
                <w:tcPr>
                  <w:tcW w:w="1254" w:type="dxa"/>
                  <w:vAlign w:val="center"/>
                </w:tcPr>
                <w:p>
                  <w:pPr>
                    <w:spacing w:line="276" w:lineRule="auto"/>
                    <w:jc w:val="center"/>
                    <w:rPr>
                      <w:rFonts w:ascii="Times New Roman" w:hAnsi="Times New Roman" w:cs="Times New Roman"/>
                    </w:rPr>
                  </w:pPr>
                  <w:r>
                    <w:rPr>
                      <w:rFonts w:ascii="Times New Roman" w:hAnsi="Times New Roman" w:cs="Times New Roman"/>
                    </w:rPr>
                    <w:t>中国</w:t>
                  </w:r>
                </w:p>
                <w:p>
                  <w:pPr>
                    <w:spacing w:line="276" w:lineRule="auto"/>
                    <w:jc w:val="center"/>
                    <w:rPr>
                      <w:rFonts w:ascii="Times New Roman" w:hAnsi="Times New Roman" w:cs="Times New Roman"/>
                    </w:rPr>
                  </w:pPr>
                  <w:r>
                    <w:rPr>
                      <w:rFonts w:ascii="Times New Roman" w:hAnsi="Times New Roman" w:cs="Times New Roman"/>
                    </w:rPr>
                    <w:t>计量科学</w:t>
                  </w:r>
                </w:p>
                <w:p>
                  <w:pPr>
                    <w:spacing w:line="276" w:lineRule="auto"/>
                    <w:jc w:val="center"/>
                    <w:rPr>
                      <w:rFonts w:ascii="Times New Roman" w:hAnsi="Times New Roman" w:cs="Times New Roman"/>
                    </w:rPr>
                  </w:pPr>
                  <w:r>
                    <w:rPr>
                      <w:rFonts w:ascii="Times New Roman" w:hAnsi="Times New Roman" w:cs="Times New Roman"/>
                    </w:rPr>
                    <w:t>研究院</w:t>
                  </w:r>
                </w:p>
              </w:tc>
              <w:tc>
                <w:tcPr>
                  <w:tcW w:w="1254" w:type="dxa"/>
                  <w:vAlign w:val="center"/>
                </w:tcPr>
                <w:p>
                  <w:pPr>
                    <w:spacing w:line="276" w:lineRule="auto"/>
                    <w:jc w:val="center"/>
                    <w:rPr>
                      <w:rFonts w:ascii="Times New Roman" w:hAnsi="Times New Roman" w:cs="Times New Roman"/>
                      <w:spacing w:val="-20"/>
                    </w:rPr>
                  </w:pPr>
                  <w:r>
                    <w:rPr>
                      <w:rFonts w:ascii="Times New Roman" w:hAnsi="Times New Roman" w:cs="Times New Roman"/>
                      <w:spacing w:val="-20"/>
                    </w:rPr>
                    <w:t>2022.5.9</w:t>
                  </w:r>
                </w:p>
              </w:tc>
            </w:tr>
          </w:tbl>
          <w:p>
            <w:pPr>
              <w:pStyle w:val="32"/>
              <w:ind w:firstLine="480" w:firstLineChars="200"/>
              <w:rPr>
                <w:sz w:val="24"/>
                <w:szCs w:val="24"/>
              </w:rPr>
            </w:pPr>
            <w:r>
              <w:rPr>
                <w:sz w:val="24"/>
                <w:szCs w:val="24"/>
              </w:rPr>
              <w:t>（4）采样仪器校准</w:t>
            </w:r>
          </w:p>
          <w:p>
            <w:pPr>
              <w:pStyle w:val="32"/>
              <w:ind w:firstLine="480" w:firstLineChars="200"/>
              <w:rPr>
                <w:sz w:val="24"/>
                <w:szCs w:val="24"/>
              </w:rPr>
            </w:pPr>
            <w:r>
              <w:rPr>
                <w:sz w:val="24"/>
                <w:szCs w:val="24"/>
              </w:rPr>
              <w:t>声级计校准见下表：</w:t>
            </w:r>
          </w:p>
          <w:p>
            <w:pPr>
              <w:pStyle w:val="32"/>
              <w:jc w:val="center"/>
              <w:rPr>
                <w:sz w:val="24"/>
                <w:szCs w:val="24"/>
              </w:rPr>
            </w:pPr>
            <w:r>
              <w:rPr>
                <w:sz w:val="24"/>
                <w:szCs w:val="24"/>
              </w:rPr>
              <w:t>表1</w:t>
            </w:r>
            <w:r>
              <w:rPr>
                <w:rFonts w:hint="eastAsia"/>
                <w:sz w:val="24"/>
                <w:szCs w:val="24"/>
              </w:rPr>
              <w:t>7</w:t>
            </w:r>
            <w:r>
              <w:rPr>
                <w:sz w:val="24"/>
                <w:szCs w:val="24"/>
              </w:rPr>
              <w:t xml:space="preserve">  声级计校准一览表</w:t>
            </w:r>
          </w:p>
          <w:tbl>
            <w:tblPr>
              <w:tblStyle w:val="21"/>
              <w:tblW w:w="84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137"/>
              <w:gridCol w:w="993"/>
              <w:gridCol w:w="1277"/>
              <w:gridCol w:w="993"/>
              <w:gridCol w:w="1132"/>
              <w:gridCol w:w="84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18"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仪器名称</w:t>
                  </w:r>
                </w:p>
              </w:tc>
              <w:tc>
                <w:tcPr>
                  <w:tcW w:w="1137"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日 期</w:t>
                  </w:r>
                </w:p>
              </w:tc>
              <w:tc>
                <w:tcPr>
                  <w:tcW w:w="993"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时 段</w:t>
                  </w:r>
                </w:p>
              </w:tc>
              <w:tc>
                <w:tcPr>
                  <w:tcW w:w="1277"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测试前</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校准值</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（dB）</w:t>
                  </w:r>
                </w:p>
              </w:tc>
              <w:tc>
                <w:tcPr>
                  <w:tcW w:w="993"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测试后</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校准值</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（dB）</w:t>
                  </w:r>
                </w:p>
              </w:tc>
              <w:tc>
                <w:tcPr>
                  <w:tcW w:w="1132"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标准声源</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数值</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（dB）</w:t>
                  </w:r>
                </w:p>
              </w:tc>
              <w:tc>
                <w:tcPr>
                  <w:tcW w:w="847"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允许</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偏差</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（dB）</w:t>
                  </w:r>
                </w:p>
              </w:tc>
              <w:tc>
                <w:tcPr>
                  <w:tcW w:w="691"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质控</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18"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噪声频谱</w:t>
                  </w:r>
                </w:p>
                <w:p>
                  <w:pPr>
                    <w:widowControl w:val="0"/>
                    <w:spacing w:line="276" w:lineRule="auto"/>
                    <w:jc w:val="center"/>
                    <w:rPr>
                      <w:rFonts w:ascii="Times New Roman" w:hAnsi="Times New Roman" w:cs="Times New Roman"/>
                    </w:rPr>
                  </w:pPr>
                  <w:r>
                    <w:rPr>
                      <w:rFonts w:ascii="Times New Roman" w:hAnsi="Times New Roman" w:cs="Times New Roman"/>
                    </w:rPr>
                    <w:t>分析仪</w:t>
                  </w:r>
                </w:p>
                <w:p>
                  <w:pPr>
                    <w:pStyle w:val="37"/>
                    <w:spacing w:before="120" w:line="276"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HS6288B</w:t>
                  </w:r>
                </w:p>
              </w:tc>
              <w:tc>
                <w:tcPr>
                  <w:tcW w:w="1137"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2021.8.3</w:t>
                  </w:r>
                </w:p>
              </w:tc>
              <w:tc>
                <w:tcPr>
                  <w:tcW w:w="993" w:type="dxa"/>
                  <w:vAlign w:val="center"/>
                </w:tcPr>
                <w:p>
                  <w:pPr>
                    <w:widowControl w:val="0"/>
                    <w:spacing w:line="276" w:lineRule="auto"/>
                    <w:jc w:val="center"/>
                    <w:rPr>
                      <w:rFonts w:ascii="Times New Roman" w:hAnsi="Times New Roman" w:cs="Times New Roman"/>
                    </w:rPr>
                  </w:pPr>
                  <w:r>
                    <w:rPr>
                      <w:rFonts w:ascii="Times New Roman" w:hAnsi="Times New Roman" w:cs="Times New Roman"/>
                    </w:rPr>
                    <w:t>昼间</w:t>
                  </w:r>
                </w:p>
              </w:tc>
              <w:tc>
                <w:tcPr>
                  <w:tcW w:w="1277" w:type="dxa"/>
                  <w:vAlign w:val="center"/>
                </w:tcPr>
                <w:p>
                  <w:pPr>
                    <w:widowControl w:val="0"/>
                    <w:spacing w:line="276" w:lineRule="auto"/>
                    <w:jc w:val="center"/>
                    <w:rPr>
                      <w:rFonts w:ascii="Times New Roman" w:hAnsi="Times New Roman" w:cs="Times New Roman"/>
                    </w:rPr>
                  </w:pPr>
                  <w:r>
                    <w:rPr>
                      <w:rFonts w:ascii="Times New Roman" w:hAnsi="Times New Roman" w:cs="Times New Roman"/>
                    </w:rPr>
                    <w:t>94.1</w:t>
                  </w:r>
                </w:p>
              </w:tc>
              <w:tc>
                <w:tcPr>
                  <w:tcW w:w="993" w:type="dxa"/>
                  <w:vAlign w:val="center"/>
                </w:tcPr>
                <w:p>
                  <w:pPr>
                    <w:widowControl w:val="0"/>
                    <w:spacing w:line="276" w:lineRule="auto"/>
                    <w:jc w:val="center"/>
                    <w:rPr>
                      <w:rFonts w:ascii="Times New Roman" w:hAnsi="Times New Roman" w:cs="Times New Roman"/>
                    </w:rPr>
                  </w:pPr>
                  <w:r>
                    <w:rPr>
                      <w:rFonts w:ascii="Times New Roman" w:hAnsi="Times New Roman" w:cs="Times New Roman"/>
                    </w:rPr>
                    <w:t>94.0</w:t>
                  </w:r>
                </w:p>
              </w:tc>
              <w:tc>
                <w:tcPr>
                  <w:tcW w:w="1132"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94.0</w:t>
                  </w:r>
                </w:p>
              </w:tc>
              <w:tc>
                <w:tcPr>
                  <w:tcW w:w="847"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±0.5</w:t>
                  </w:r>
                </w:p>
              </w:tc>
              <w:tc>
                <w:tcPr>
                  <w:tcW w:w="691"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18"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1137"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993"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夜间</w:t>
                  </w:r>
                </w:p>
              </w:tc>
              <w:tc>
                <w:tcPr>
                  <w:tcW w:w="1277"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94.1</w:t>
                  </w:r>
                </w:p>
              </w:tc>
              <w:tc>
                <w:tcPr>
                  <w:tcW w:w="993"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94.2</w:t>
                  </w:r>
                </w:p>
              </w:tc>
              <w:tc>
                <w:tcPr>
                  <w:tcW w:w="1132"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847"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691" w:type="dxa"/>
                  <w:vMerge w:val="continue"/>
                  <w:vAlign w:val="center"/>
                </w:tcPr>
                <w:p>
                  <w:pPr>
                    <w:pStyle w:val="37"/>
                    <w:spacing w:before="120" w:line="276" w:lineRule="auto"/>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18"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1137" w:type="dxa"/>
                  <w:vMerge w:val="restart"/>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2021.8.4</w:t>
                  </w:r>
                </w:p>
              </w:tc>
              <w:tc>
                <w:tcPr>
                  <w:tcW w:w="993"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昼间</w:t>
                  </w:r>
                </w:p>
              </w:tc>
              <w:tc>
                <w:tcPr>
                  <w:tcW w:w="1277"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94.2</w:t>
                  </w:r>
                </w:p>
              </w:tc>
              <w:tc>
                <w:tcPr>
                  <w:tcW w:w="993"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94.0</w:t>
                  </w:r>
                </w:p>
              </w:tc>
              <w:tc>
                <w:tcPr>
                  <w:tcW w:w="1132"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847"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691" w:type="dxa"/>
                  <w:vMerge w:val="continue"/>
                  <w:vAlign w:val="center"/>
                </w:tcPr>
                <w:p>
                  <w:pPr>
                    <w:pStyle w:val="37"/>
                    <w:spacing w:before="120" w:line="276" w:lineRule="auto"/>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18"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1137"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993"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夜间</w:t>
                  </w:r>
                </w:p>
              </w:tc>
              <w:tc>
                <w:tcPr>
                  <w:tcW w:w="1277"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94.2</w:t>
                  </w:r>
                </w:p>
              </w:tc>
              <w:tc>
                <w:tcPr>
                  <w:tcW w:w="993"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94.1</w:t>
                  </w:r>
                </w:p>
              </w:tc>
              <w:tc>
                <w:tcPr>
                  <w:tcW w:w="1132"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847" w:type="dxa"/>
                  <w:vMerge w:val="continue"/>
                  <w:vAlign w:val="center"/>
                </w:tcPr>
                <w:p>
                  <w:pPr>
                    <w:pStyle w:val="37"/>
                    <w:spacing w:before="120" w:line="276" w:lineRule="auto"/>
                    <w:jc w:val="center"/>
                    <w:rPr>
                      <w:rFonts w:ascii="Times New Roman" w:hAnsi="Times New Roman" w:cs="Times New Roman"/>
                      <w:color w:val="auto"/>
                      <w:sz w:val="21"/>
                      <w:szCs w:val="21"/>
                    </w:rPr>
                  </w:pPr>
                </w:p>
              </w:tc>
              <w:tc>
                <w:tcPr>
                  <w:tcW w:w="691" w:type="dxa"/>
                  <w:vMerge w:val="continue"/>
                  <w:vAlign w:val="center"/>
                </w:tcPr>
                <w:p>
                  <w:pPr>
                    <w:pStyle w:val="37"/>
                    <w:spacing w:before="120" w:line="276" w:lineRule="auto"/>
                    <w:jc w:val="center"/>
                    <w:rPr>
                      <w:rFonts w:ascii="Times New Roman" w:hAnsi="Times New Roman" w:cs="Times New Roman"/>
                      <w:color w:val="auto"/>
                      <w:sz w:val="21"/>
                      <w:szCs w:val="21"/>
                    </w:rPr>
                  </w:pPr>
                </w:p>
              </w:tc>
            </w:tr>
          </w:tbl>
          <w:p>
            <w:pPr>
              <w:pStyle w:val="32"/>
              <w:jc w:val="center"/>
              <w:rPr>
                <w:sz w:val="24"/>
                <w:szCs w:val="24"/>
              </w:rPr>
            </w:pPr>
          </w:p>
          <w:p>
            <w:pPr>
              <w:pStyle w:val="32"/>
              <w:ind w:firstLine="480" w:firstLineChars="200"/>
              <w:rPr>
                <w:sz w:val="24"/>
                <w:szCs w:val="24"/>
              </w:rPr>
            </w:pPr>
            <w:r>
              <w:rPr>
                <w:sz w:val="24"/>
                <w:szCs w:val="24"/>
              </w:rPr>
              <w:t>监测仪器流量校准记录见下表：</w:t>
            </w:r>
          </w:p>
          <w:p>
            <w:pPr>
              <w:pStyle w:val="32"/>
              <w:jc w:val="center"/>
              <w:rPr>
                <w:sz w:val="24"/>
                <w:szCs w:val="24"/>
              </w:rPr>
            </w:pPr>
            <w:r>
              <w:rPr>
                <w:sz w:val="24"/>
                <w:szCs w:val="24"/>
              </w:rPr>
              <w:t>表1</w:t>
            </w:r>
            <w:r>
              <w:rPr>
                <w:rFonts w:hint="eastAsia"/>
                <w:sz w:val="24"/>
                <w:szCs w:val="24"/>
              </w:rPr>
              <w:t>8</w:t>
            </w:r>
            <w:r>
              <w:rPr>
                <w:sz w:val="24"/>
                <w:szCs w:val="24"/>
              </w:rPr>
              <w:t xml:space="preserve">  监测仪器流量校准记录表</w:t>
            </w:r>
          </w:p>
          <w:tbl>
            <w:tblPr>
              <w:tblStyle w:val="21"/>
              <w:tblW w:w="8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9"/>
              <w:gridCol w:w="1398"/>
              <w:gridCol w:w="909"/>
              <w:gridCol w:w="857"/>
              <w:gridCol w:w="266"/>
              <w:gridCol w:w="349"/>
              <w:gridCol w:w="565"/>
              <w:gridCol w:w="601"/>
              <w:gridCol w:w="592"/>
              <w:gridCol w:w="722"/>
              <w:gridCol w:w="599"/>
              <w:gridCol w:w="601"/>
              <w:gridCol w:w="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restart"/>
                  <w:tcBorders>
                    <w:top w:val="single" w:color="auto" w:sz="4" w:space="0"/>
                  </w:tcBorders>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排气筒</w:t>
                  </w:r>
                </w:p>
                <w:p>
                  <w:pPr>
                    <w:spacing w:line="276" w:lineRule="auto"/>
                    <w:jc w:val="center"/>
                    <w:rPr>
                      <w:rFonts w:ascii="Times New Roman" w:hAnsi="Times New Roman" w:cs="Times New Roman"/>
                    </w:rPr>
                  </w:pPr>
                  <w:r>
                    <w:rPr>
                      <w:rFonts w:ascii="Times New Roman" w:hAnsi="Times New Roman" w:cs="Times New Roman"/>
                      <w:b/>
                      <w:spacing w:val="-20"/>
                    </w:rPr>
                    <w:t>编号</w:t>
                  </w:r>
                </w:p>
              </w:tc>
              <w:tc>
                <w:tcPr>
                  <w:tcW w:w="1398" w:type="dxa"/>
                  <w:vMerge w:val="restart"/>
                  <w:tcBorders>
                    <w:top w:val="single" w:color="auto" w:sz="4" w:space="0"/>
                  </w:tcBorders>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仪器名称</w:t>
                  </w:r>
                </w:p>
                <w:p>
                  <w:pPr>
                    <w:spacing w:line="276" w:lineRule="auto"/>
                    <w:jc w:val="center"/>
                    <w:rPr>
                      <w:rFonts w:ascii="Times New Roman" w:hAnsi="Times New Roman" w:cs="Times New Roman"/>
                      <w:b/>
                      <w:spacing w:val="-20"/>
                    </w:rPr>
                  </w:pPr>
                  <w:r>
                    <w:rPr>
                      <w:rFonts w:ascii="Times New Roman" w:hAnsi="Times New Roman" w:cs="Times New Roman"/>
                      <w:b/>
                      <w:spacing w:val="-20"/>
                    </w:rPr>
                    <w:t>及型号</w:t>
                  </w:r>
                </w:p>
              </w:tc>
              <w:tc>
                <w:tcPr>
                  <w:tcW w:w="909" w:type="dxa"/>
                  <w:vMerge w:val="restart"/>
                  <w:tcBorders>
                    <w:top w:val="single" w:color="auto" w:sz="4" w:space="0"/>
                  </w:tcBorders>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仪器</w:t>
                  </w:r>
                </w:p>
                <w:p>
                  <w:pPr>
                    <w:spacing w:line="276" w:lineRule="auto"/>
                    <w:jc w:val="center"/>
                    <w:rPr>
                      <w:rFonts w:ascii="Times New Roman" w:hAnsi="Times New Roman" w:cs="Times New Roman"/>
                      <w:b/>
                      <w:spacing w:val="-20"/>
                    </w:rPr>
                  </w:pPr>
                  <w:r>
                    <w:rPr>
                      <w:rFonts w:ascii="Times New Roman" w:hAnsi="Times New Roman" w:cs="Times New Roman"/>
                      <w:b/>
                      <w:spacing w:val="-20"/>
                    </w:rPr>
                    <w:t>编号</w:t>
                  </w:r>
                </w:p>
              </w:tc>
              <w:tc>
                <w:tcPr>
                  <w:tcW w:w="857" w:type="dxa"/>
                  <w:vMerge w:val="restart"/>
                  <w:tcBorders>
                    <w:top w:val="single" w:color="auto" w:sz="4" w:space="0"/>
                  </w:tcBorders>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校准</w:t>
                  </w:r>
                </w:p>
                <w:p>
                  <w:pPr>
                    <w:spacing w:line="276" w:lineRule="auto"/>
                    <w:jc w:val="center"/>
                    <w:rPr>
                      <w:rFonts w:ascii="Times New Roman" w:hAnsi="Times New Roman" w:cs="Times New Roman"/>
                      <w:b/>
                      <w:spacing w:val="-20"/>
                    </w:rPr>
                  </w:pPr>
                  <w:r>
                    <w:rPr>
                      <w:rFonts w:ascii="Times New Roman" w:hAnsi="Times New Roman" w:cs="Times New Roman"/>
                      <w:b/>
                      <w:spacing w:val="-20"/>
                    </w:rPr>
                    <w:t>日期</w:t>
                  </w:r>
                </w:p>
              </w:tc>
              <w:tc>
                <w:tcPr>
                  <w:tcW w:w="615" w:type="dxa"/>
                  <w:gridSpan w:val="2"/>
                  <w:vMerge w:val="restart"/>
                  <w:tcBorders>
                    <w:top w:val="single" w:color="auto" w:sz="4" w:space="0"/>
                  </w:tcBorders>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气路</w:t>
                  </w:r>
                </w:p>
                <w:p>
                  <w:pPr>
                    <w:spacing w:line="276" w:lineRule="auto"/>
                    <w:jc w:val="center"/>
                    <w:rPr>
                      <w:rFonts w:ascii="Times New Roman" w:hAnsi="Times New Roman" w:cs="Times New Roman"/>
                      <w:b/>
                      <w:spacing w:val="-20"/>
                    </w:rPr>
                  </w:pPr>
                  <w:r>
                    <w:rPr>
                      <w:rFonts w:ascii="Times New Roman" w:hAnsi="Times New Roman" w:cs="Times New Roman"/>
                      <w:b/>
                      <w:spacing w:val="-20"/>
                    </w:rPr>
                    <w:t>名称</w:t>
                  </w:r>
                </w:p>
              </w:tc>
              <w:tc>
                <w:tcPr>
                  <w:tcW w:w="565" w:type="dxa"/>
                  <w:vMerge w:val="restart"/>
                  <w:tcBorders>
                    <w:top w:val="single" w:color="auto" w:sz="4" w:space="0"/>
                  </w:tcBorders>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标准值</w:t>
                  </w:r>
                </w:p>
              </w:tc>
              <w:tc>
                <w:tcPr>
                  <w:tcW w:w="601" w:type="dxa"/>
                  <w:vMerge w:val="restart"/>
                  <w:tcBorders>
                    <w:top w:val="single" w:color="auto" w:sz="4" w:space="0"/>
                  </w:tcBorders>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单位</w:t>
                  </w:r>
                </w:p>
              </w:tc>
              <w:tc>
                <w:tcPr>
                  <w:tcW w:w="1314" w:type="dxa"/>
                  <w:gridSpan w:val="2"/>
                  <w:tcBorders>
                    <w:top w:val="single" w:color="auto" w:sz="4" w:space="0"/>
                  </w:tcBorders>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仪器示值</w:t>
                  </w:r>
                </w:p>
              </w:tc>
              <w:tc>
                <w:tcPr>
                  <w:tcW w:w="1200" w:type="dxa"/>
                  <w:gridSpan w:val="2"/>
                  <w:tcBorders>
                    <w:top w:val="single" w:color="auto" w:sz="4" w:space="0"/>
                  </w:tcBorders>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误差</w:t>
                  </w:r>
                </w:p>
              </w:tc>
              <w:tc>
                <w:tcPr>
                  <w:tcW w:w="648" w:type="dxa"/>
                  <w:vMerge w:val="restart"/>
                  <w:tcBorders>
                    <w:top w:val="single" w:color="auto" w:sz="4" w:space="0"/>
                  </w:tcBorders>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校准</w:t>
                  </w:r>
                </w:p>
                <w:p>
                  <w:pPr>
                    <w:spacing w:line="276" w:lineRule="auto"/>
                    <w:jc w:val="center"/>
                    <w:rPr>
                      <w:rFonts w:ascii="Times New Roman" w:hAnsi="Times New Roman" w:cs="Times New Roman"/>
                      <w:b/>
                      <w:spacing w:val="-20"/>
                    </w:rPr>
                  </w:pPr>
                  <w:r>
                    <w:rPr>
                      <w:rFonts w:ascii="Times New Roman" w:hAnsi="Times New Roman" w:cs="Times New Roman"/>
                      <w:b/>
                      <w:spacing w:val="-20"/>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spacing w:val="-20"/>
                    </w:rPr>
                  </w:pPr>
                </w:p>
              </w:tc>
              <w:tc>
                <w:tcPr>
                  <w:tcW w:w="909" w:type="dxa"/>
                  <w:vMerge w:val="continue"/>
                  <w:vAlign w:val="center"/>
                </w:tcPr>
                <w:p>
                  <w:pPr>
                    <w:spacing w:line="276" w:lineRule="auto"/>
                    <w:jc w:val="center"/>
                    <w:rPr>
                      <w:rFonts w:ascii="Times New Roman" w:hAnsi="Times New Roman" w:cs="Times New Roman"/>
                      <w:spacing w:val="-20"/>
                    </w:rPr>
                  </w:pPr>
                </w:p>
              </w:tc>
              <w:tc>
                <w:tcPr>
                  <w:tcW w:w="857" w:type="dxa"/>
                  <w:vMerge w:val="continue"/>
                  <w:vAlign w:val="center"/>
                </w:tcPr>
                <w:p>
                  <w:pPr>
                    <w:spacing w:line="276" w:lineRule="auto"/>
                    <w:jc w:val="center"/>
                    <w:rPr>
                      <w:rFonts w:ascii="Times New Roman" w:hAnsi="Times New Roman" w:cs="Times New Roman"/>
                      <w:spacing w:val="-20"/>
                    </w:rPr>
                  </w:pPr>
                </w:p>
              </w:tc>
              <w:tc>
                <w:tcPr>
                  <w:tcW w:w="615" w:type="dxa"/>
                  <w:gridSpan w:val="2"/>
                  <w:vMerge w:val="continue"/>
                  <w:vAlign w:val="center"/>
                </w:tcPr>
                <w:p>
                  <w:pPr>
                    <w:spacing w:line="276" w:lineRule="auto"/>
                    <w:jc w:val="center"/>
                    <w:rPr>
                      <w:rFonts w:ascii="Times New Roman" w:hAnsi="Times New Roman" w:cs="Times New Roman"/>
                      <w:spacing w:val="-20"/>
                    </w:rPr>
                  </w:pPr>
                </w:p>
              </w:tc>
              <w:tc>
                <w:tcPr>
                  <w:tcW w:w="565" w:type="dxa"/>
                  <w:vMerge w:val="continue"/>
                  <w:vAlign w:val="center"/>
                </w:tcPr>
                <w:p>
                  <w:pPr>
                    <w:spacing w:line="276" w:lineRule="auto"/>
                    <w:jc w:val="center"/>
                    <w:rPr>
                      <w:rFonts w:ascii="Times New Roman" w:hAnsi="Times New Roman" w:cs="Times New Roman"/>
                      <w:spacing w:val="-20"/>
                    </w:rPr>
                  </w:pPr>
                </w:p>
              </w:tc>
              <w:tc>
                <w:tcPr>
                  <w:tcW w:w="601" w:type="dxa"/>
                  <w:vMerge w:val="continue"/>
                  <w:vAlign w:val="center"/>
                </w:tcPr>
                <w:p>
                  <w:pPr>
                    <w:spacing w:line="276" w:lineRule="auto"/>
                    <w:jc w:val="center"/>
                    <w:rPr>
                      <w:rFonts w:ascii="Times New Roman" w:hAnsi="Times New Roman" w:cs="Times New Roman"/>
                      <w:b/>
                      <w:spacing w:val="-20"/>
                    </w:rPr>
                  </w:pPr>
                </w:p>
              </w:tc>
              <w:tc>
                <w:tcPr>
                  <w:tcW w:w="592" w:type="dxa"/>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测试前</w:t>
                  </w:r>
                </w:p>
              </w:tc>
              <w:tc>
                <w:tcPr>
                  <w:tcW w:w="722" w:type="dxa"/>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测试后</w:t>
                  </w:r>
                </w:p>
              </w:tc>
              <w:tc>
                <w:tcPr>
                  <w:tcW w:w="599" w:type="dxa"/>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测试前</w:t>
                  </w:r>
                </w:p>
              </w:tc>
              <w:tc>
                <w:tcPr>
                  <w:tcW w:w="601" w:type="dxa"/>
                  <w:vAlign w:val="center"/>
                </w:tcPr>
                <w:p>
                  <w:pPr>
                    <w:spacing w:line="276" w:lineRule="auto"/>
                    <w:jc w:val="center"/>
                    <w:rPr>
                      <w:rFonts w:ascii="Times New Roman" w:hAnsi="Times New Roman" w:cs="Times New Roman"/>
                      <w:b/>
                      <w:spacing w:val="-20"/>
                    </w:rPr>
                  </w:pPr>
                  <w:r>
                    <w:rPr>
                      <w:rFonts w:ascii="Times New Roman" w:hAnsi="Times New Roman" w:cs="Times New Roman"/>
                      <w:b/>
                      <w:spacing w:val="-20"/>
                    </w:rPr>
                    <w:t>测试后</w:t>
                  </w:r>
                </w:p>
              </w:tc>
              <w:tc>
                <w:tcPr>
                  <w:tcW w:w="648" w:type="dxa"/>
                  <w:vMerge w:val="continue"/>
                  <w:vAlign w:val="center"/>
                </w:tcPr>
                <w:p>
                  <w:pPr>
                    <w:spacing w:line="276" w:lineRule="auto"/>
                    <w:jc w:val="center"/>
                    <w:rPr>
                      <w:rFonts w:ascii="Times New Roman" w:hAnsi="Times New Roman" w:cs="Times New Roman"/>
                      <w:spacing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DA024</w:t>
                  </w: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3012H(D)</w:t>
                  </w:r>
                </w:p>
                <w:p>
                  <w:pPr>
                    <w:spacing w:line="276" w:lineRule="auto"/>
                    <w:jc w:val="center"/>
                    <w:rPr>
                      <w:rFonts w:ascii="Times New Roman" w:hAnsi="Times New Roman" w:cs="Times New Roman"/>
                    </w:rPr>
                  </w:pPr>
                  <w:r>
                    <w:rPr>
                      <w:rFonts w:ascii="Times New Roman" w:hAnsi="Times New Roman" w:cs="Times New Roman"/>
                    </w:rPr>
                    <w:t>全自动烟尘（气）测试仪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TGHJ-195</w:t>
                  </w:r>
                </w:p>
              </w:tc>
              <w:tc>
                <w:tcPr>
                  <w:tcW w:w="857"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2021.8.3</w:t>
                  </w:r>
                </w:p>
              </w:tc>
              <w:tc>
                <w:tcPr>
                  <w:tcW w:w="266" w:type="dxa"/>
                  <w:vMerge w:val="restart"/>
                  <w:tcBorders>
                    <w:right w:val="nil"/>
                  </w:tcBorders>
                  <w:vAlign w:val="center"/>
                </w:tcPr>
                <w:p>
                  <w:pPr>
                    <w:spacing w:line="276" w:lineRule="auto"/>
                    <w:jc w:val="center"/>
                    <w:rPr>
                      <w:rFonts w:ascii="Times New Roman" w:hAnsi="Times New Roman" w:cs="Times New Roman"/>
                    </w:rPr>
                  </w:pPr>
                  <w:r>
                    <w:rPr>
                      <w:rFonts w:ascii="Times New Roman" w:hAnsi="Times New Roman" w:cs="Times New Roman"/>
                    </w:rPr>
                    <w:t>尘</w:t>
                  </w:r>
                </w:p>
              </w:tc>
              <w:tc>
                <w:tcPr>
                  <w:tcW w:w="349" w:type="dxa"/>
                  <w:vMerge w:val="restart"/>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路</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30.0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L/min</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28.5</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30.5</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-5.0</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1.7</w:t>
                  </w:r>
                </w:p>
              </w:tc>
              <w:tc>
                <w:tcPr>
                  <w:tcW w:w="64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nil"/>
                  </w:tcBorders>
                  <w:vAlign w:val="center"/>
                </w:tcPr>
                <w:p>
                  <w:pPr>
                    <w:spacing w:line="276" w:lineRule="auto"/>
                    <w:jc w:val="center"/>
                    <w:rPr>
                      <w:rFonts w:ascii="Times New Roman" w:hAnsi="Times New Roman" w:cs="Times New Roman"/>
                    </w:rPr>
                  </w:pPr>
                </w:p>
              </w:tc>
              <w:tc>
                <w:tcPr>
                  <w:tcW w:w="349" w:type="dxa"/>
                  <w:vMerge w:val="continue"/>
                  <w:tcBorders>
                    <w:left w:val="nil"/>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40.8</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41.3</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3.2</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nil"/>
                  </w:tcBorders>
                  <w:vAlign w:val="center"/>
                </w:tcPr>
                <w:p>
                  <w:pPr>
                    <w:spacing w:line="276" w:lineRule="auto"/>
                    <w:jc w:val="center"/>
                    <w:rPr>
                      <w:rFonts w:ascii="Times New Roman" w:hAnsi="Times New Roman" w:cs="Times New Roman"/>
                    </w:rPr>
                  </w:pPr>
                </w:p>
              </w:tc>
              <w:tc>
                <w:tcPr>
                  <w:tcW w:w="349" w:type="dxa"/>
                  <w:vMerge w:val="continue"/>
                  <w:tcBorders>
                    <w:left w:val="nil"/>
                    <w:bottom w:val="single" w:color="auto" w:sz="4" w:space="0"/>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50.0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50.3</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49.0</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0.6</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红外烟气综合分析仪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TGHJ-092</w:t>
                  </w: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气路</w:t>
                  </w: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Ppm</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99</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99</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NO</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101</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99</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909"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857" w:type="dxa"/>
                  <w:vMerge w:val="continue"/>
                  <w:tcBorders>
                    <w:bottom w:val="single" w:color="auto" w:sz="4" w:space="0"/>
                  </w:tcBorders>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O</w:t>
                  </w:r>
                  <w:r>
                    <w:rPr>
                      <w:rFonts w:ascii="Times New Roman" w:hAnsi="Times New Roman" w:cs="Times New Roman"/>
                      <w:vertAlign w:val="subscript"/>
                    </w:rPr>
                    <w:t>2</w:t>
                  </w: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w:t>
                  </w:r>
                </w:p>
              </w:tc>
              <w:tc>
                <w:tcPr>
                  <w:tcW w:w="648" w:type="dxa"/>
                  <w:vMerge w:val="continue"/>
                  <w:tcBorders>
                    <w:bottom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3012H(D)</w:t>
                  </w:r>
                </w:p>
                <w:p>
                  <w:pPr>
                    <w:spacing w:line="276" w:lineRule="auto"/>
                    <w:jc w:val="center"/>
                    <w:rPr>
                      <w:rFonts w:ascii="Times New Roman" w:hAnsi="Times New Roman" w:cs="Times New Roman"/>
                    </w:rPr>
                  </w:pPr>
                  <w:r>
                    <w:rPr>
                      <w:rFonts w:ascii="Times New Roman" w:hAnsi="Times New Roman" w:cs="Times New Roman"/>
                    </w:rPr>
                    <w:t>全自动烟尘（气）测试仪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TGHJ-195</w:t>
                  </w:r>
                </w:p>
              </w:tc>
              <w:tc>
                <w:tcPr>
                  <w:tcW w:w="857"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2021.8.4</w:t>
                  </w:r>
                </w:p>
              </w:tc>
              <w:tc>
                <w:tcPr>
                  <w:tcW w:w="266" w:type="dxa"/>
                  <w:vMerge w:val="restart"/>
                  <w:tcBorders>
                    <w:right w:val="nil"/>
                  </w:tcBorders>
                  <w:vAlign w:val="center"/>
                </w:tcPr>
                <w:p>
                  <w:pPr>
                    <w:spacing w:line="276" w:lineRule="auto"/>
                    <w:jc w:val="center"/>
                    <w:rPr>
                      <w:rFonts w:ascii="Times New Roman" w:hAnsi="Times New Roman" w:cs="Times New Roman"/>
                    </w:rPr>
                  </w:pPr>
                  <w:r>
                    <w:rPr>
                      <w:rFonts w:ascii="Times New Roman" w:hAnsi="Times New Roman" w:cs="Times New Roman"/>
                    </w:rPr>
                    <w:t>尘</w:t>
                  </w:r>
                </w:p>
              </w:tc>
              <w:tc>
                <w:tcPr>
                  <w:tcW w:w="349" w:type="dxa"/>
                  <w:vMerge w:val="restart"/>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路</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30.0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L/min</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29.5</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29.3</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-1.7</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-2.3</w:t>
                  </w:r>
                </w:p>
              </w:tc>
              <w:tc>
                <w:tcPr>
                  <w:tcW w:w="64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nil"/>
                  </w:tcBorders>
                  <w:vAlign w:val="center"/>
                </w:tcPr>
                <w:p>
                  <w:pPr>
                    <w:spacing w:line="276" w:lineRule="auto"/>
                    <w:jc w:val="center"/>
                    <w:rPr>
                      <w:rFonts w:ascii="Times New Roman" w:hAnsi="Times New Roman" w:cs="Times New Roman"/>
                    </w:rPr>
                  </w:pPr>
                </w:p>
              </w:tc>
              <w:tc>
                <w:tcPr>
                  <w:tcW w:w="349" w:type="dxa"/>
                  <w:vMerge w:val="continue"/>
                  <w:tcBorders>
                    <w:left w:val="nil"/>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41.4</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40.1</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3.5</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nil"/>
                  </w:tcBorders>
                  <w:vAlign w:val="center"/>
                </w:tcPr>
                <w:p>
                  <w:pPr>
                    <w:spacing w:line="276" w:lineRule="auto"/>
                    <w:jc w:val="center"/>
                    <w:rPr>
                      <w:rFonts w:ascii="Times New Roman" w:hAnsi="Times New Roman" w:cs="Times New Roman"/>
                    </w:rPr>
                  </w:pPr>
                </w:p>
              </w:tc>
              <w:tc>
                <w:tcPr>
                  <w:tcW w:w="349" w:type="dxa"/>
                  <w:vMerge w:val="continue"/>
                  <w:tcBorders>
                    <w:left w:val="nil"/>
                    <w:bottom w:val="single" w:color="auto" w:sz="4" w:space="0"/>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50.0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48.0</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48.4</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-4.0</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-3.2</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红外烟气综合分析仪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TGHJ-092</w:t>
                  </w: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气路</w:t>
                  </w: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Ppm</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99</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99</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NO</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101</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101</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909"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857" w:type="dxa"/>
                  <w:vMerge w:val="continue"/>
                  <w:tcBorders>
                    <w:bottom w:val="single" w:color="auto" w:sz="4" w:space="0"/>
                  </w:tcBorders>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O</w:t>
                  </w:r>
                  <w:r>
                    <w:rPr>
                      <w:rFonts w:ascii="Times New Roman" w:hAnsi="Times New Roman" w:cs="Times New Roman"/>
                      <w:vertAlign w:val="subscript"/>
                    </w:rPr>
                    <w:t>2</w:t>
                  </w: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w:t>
                  </w:r>
                </w:p>
              </w:tc>
              <w:tc>
                <w:tcPr>
                  <w:tcW w:w="648" w:type="dxa"/>
                  <w:vMerge w:val="continue"/>
                  <w:tcBorders>
                    <w:bottom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3012H(D)</w:t>
                  </w:r>
                </w:p>
                <w:p>
                  <w:pPr>
                    <w:spacing w:line="276" w:lineRule="auto"/>
                    <w:jc w:val="center"/>
                    <w:rPr>
                      <w:rFonts w:ascii="Times New Roman" w:hAnsi="Times New Roman" w:cs="Times New Roman"/>
                    </w:rPr>
                  </w:pPr>
                  <w:r>
                    <w:rPr>
                      <w:rFonts w:ascii="Times New Roman" w:hAnsi="Times New Roman" w:cs="Times New Roman"/>
                    </w:rPr>
                    <w:t>全自动烟尘（气）测试仪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TGHJ-061</w:t>
                  </w:r>
                </w:p>
              </w:tc>
              <w:tc>
                <w:tcPr>
                  <w:tcW w:w="857"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2021.8.3</w:t>
                  </w:r>
                </w:p>
              </w:tc>
              <w:tc>
                <w:tcPr>
                  <w:tcW w:w="266" w:type="dxa"/>
                  <w:vMerge w:val="restart"/>
                  <w:tcBorders>
                    <w:right w:val="nil"/>
                  </w:tcBorders>
                  <w:vAlign w:val="center"/>
                </w:tcPr>
                <w:p>
                  <w:pPr>
                    <w:spacing w:line="276" w:lineRule="auto"/>
                    <w:jc w:val="center"/>
                    <w:rPr>
                      <w:rFonts w:ascii="Times New Roman" w:hAnsi="Times New Roman" w:cs="Times New Roman"/>
                    </w:rPr>
                  </w:pPr>
                  <w:r>
                    <w:rPr>
                      <w:rFonts w:ascii="Times New Roman" w:hAnsi="Times New Roman" w:cs="Times New Roman"/>
                    </w:rPr>
                    <w:t>尘</w:t>
                  </w:r>
                </w:p>
              </w:tc>
              <w:tc>
                <w:tcPr>
                  <w:tcW w:w="349" w:type="dxa"/>
                  <w:vMerge w:val="restart"/>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路</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30.0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L/min</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30.3</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30.0</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w:t>
                  </w:r>
                </w:p>
              </w:tc>
              <w:tc>
                <w:tcPr>
                  <w:tcW w:w="64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nil"/>
                  </w:tcBorders>
                  <w:vAlign w:val="center"/>
                </w:tcPr>
                <w:p>
                  <w:pPr>
                    <w:spacing w:line="276" w:lineRule="auto"/>
                    <w:jc w:val="center"/>
                    <w:rPr>
                      <w:rFonts w:ascii="Times New Roman" w:hAnsi="Times New Roman" w:cs="Times New Roman"/>
                    </w:rPr>
                  </w:pPr>
                </w:p>
              </w:tc>
              <w:tc>
                <w:tcPr>
                  <w:tcW w:w="349" w:type="dxa"/>
                  <w:vMerge w:val="continue"/>
                  <w:tcBorders>
                    <w:left w:val="nil"/>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40.2</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40.2</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0.5</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0.5</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nil"/>
                  </w:tcBorders>
                  <w:vAlign w:val="center"/>
                </w:tcPr>
                <w:p>
                  <w:pPr>
                    <w:spacing w:line="276" w:lineRule="auto"/>
                    <w:jc w:val="center"/>
                    <w:rPr>
                      <w:rFonts w:ascii="Times New Roman" w:hAnsi="Times New Roman" w:cs="Times New Roman"/>
                    </w:rPr>
                  </w:pPr>
                </w:p>
              </w:tc>
              <w:tc>
                <w:tcPr>
                  <w:tcW w:w="349" w:type="dxa"/>
                  <w:vMerge w:val="continue"/>
                  <w:tcBorders>
                    <w:left w:val="nil"/>
                    <w:bottom w:val="single" w:color="auto" w:sz="4" w:space="0"/>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50.0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50.2</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50.4</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0.8</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红外烟气综合分析仪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TGHJ-202</w:t>
                  </w: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气路</w:t>
                  </w: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Ppm</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101</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102</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NO</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30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29</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31</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909"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857" w:type="dxa"/>
                  <w:vMerge w:val="continue"/>
                  <w:tcBorders>
                    <w:bottom w:val="single" w:color="auto" w:sz="4" w:space="0"/>
                  </w:tcBorders>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O</w:t>
                  </w:r>
                  <w:r>
                    <w:rPr>
                      <w:rFonts w:ascii="Times New Roman" w:hAnsi="Times New Roman" w:cs="Times New Roman"/>
                      <w:vertAlign w:val="subscript"/>
                    </w:rPr>
                    <w:t>2</w:t>
                  </w: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9.9</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10.1</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48" w:type="dxa"/>
                  <w:vMerge w:val="continue"/>
                  <w:tcBorders>
                    <w:bottom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3012H(D)</w:t>
                  </w:r>
                </w:p>
                <w:p>
                  <w:pPr>
                    <w:spacing w:line="276" w:lineRule="auto"/>
                    <w:jc w:val="center"/>
                    <w:rPr>
                      <w:rFonts w:ascii="Times New Roman" w:hAnsi="Times New Roman" w:cs="Times New Roman"/>
                    </w:rPr>
                  </w:pPr>
                  <w:r>
                    <w:rPr>
                      <w:rFonts w:ascii="Times New Roman" w:hAnsi="Times New Roman" w:cs="Times New Roman"/>
                    </w:rPr>
                    <w:t>全自动烟尘（气）测试仪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TGHJ-061</w:t>
                  </w:r>
                </w:p>
              </w:tc>
              <w:tc>
                <w:tcPr>
                  <w:tcW w:w="857"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2021.8.4</w:t>
                  </w:r>
                </w:p>
              </w:tc>
              <w:tc>
                <w:tcPr>
                  <w:tcW w:w="266" w:type="dxa"/>
                  <w:vMerge w:val="restart"/>
                  <w:tcBorders>
                    <w:right w:val="nil"/>
                  </w:tcBorders>
                  <w:vAlign w:val="center"/>
                </w:tcPr>
                <w:p>
                  <w:pPr>
                    <w:spacing w:line="276" w:lineRule="auto"/>
                    <w:jc w:val="center"/>
                    <w:rPr>
                      <w:rFonts w:ascii="Times New Roman" w:hAnsi="Times New Roman" w:cs="Times New Roman"/>
                    </w:rPr>
                  </w:pPr>
                  <w:r>
                    <w:rPr>
                      <w:rFonts w:ascii="Times New Roman" w:hAnsi="Times New Roman" w:cs="Times New Roman"/>
                    </w:rPr>
                    <w:t>尘</w:t>
                  </w:r>
                </w:p>
              </w:tc>
              <w:tc>
                <w:tcPr>
                  <w:tcW w:w="349" w:type="dxa"/>
                  <w:vMerge w:val="restart"/>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路</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30.0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L/min</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29.8</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30.2</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-0.7</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0.7</w:t>
                  </w:r>
                </w:p>
              </w:tc>
              <w:tc>
                <w:tcPr>
                  <w:tcW w:w="64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nil"/>
                  </w:tcBorders>
                  <w:vAlign w:val="center"/>
                </w:tcPr>
                <w:p>
                  <w:pPr>
                    <w:spacing w:line="276" w:lineRule="auto"/>
                    <w:jc w:val="center"/>
                    <w:rPr>
                      <w:rFonts w:ascii="Times New Roman" w:hAnsi="Times New Roman" w:cs="Times New Roman"/>
                    </w:rPr>
                  </w:pPr>
                </w:p>
              </w:tc>
              <w:tc>
                <w:tcPr>
                  <w:tcW w:w="349" w:type="dxa"/>
                  <w:vMerge w:val="continue"/>
                  <w:tcBorders>
                    <w:left w:val="nil"/>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40.1</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40.2</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0.5</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nil"/>
                  </w:tcBorders>
                  <w:vAlign w:val="center"/>
                </w:tcPr>
                <w:p>
                  <w:pPr>
                    <w:spacing w:line="276" w:lineRule="auto"/>
                    <w:jc w:val="center"/>
                    <w:rPr>
                      <w:rFonts w:ascii="Times New Roman" w:hAnsi="Times New Roman" w:cs="Times New Roman"/>
                    </w:rPr>
                  </w:pPr>
                </w:p>
              </w:tc>
              <w:tc>
                <w:tcPr>
                  <w:tcW w:w="349" w:type="dxa"/>
                  <w:vMerge w:val="continue"/>
                  <w:tcBorders>
                    <w:left w:val="nil"/>
                    <w:bottom w:val="single" w:color="auto" w:sz="4" w:space="0"/>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50.0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49.8</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49.9</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-0.2</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红外烟气综合分析仪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TGHJ-202</w:t>
                  </w: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气路</w:t>
                  </w: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Ppm</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98</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99</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NO</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30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29</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28</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909"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857" w:type="dxa"/>
                  <w:vMerge w:val="continue"/>
                  <w:tcBorders>
                    <w:bottom w:val="single" w:color="auto" w:sz="4" w:space="0"/>
                  </w:tcBorders>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O</w:t>
                  </w:r>
                  <w:r>
                    <w:rPr>
                      <w:rFonts w:ascii="Times New Roman" w:hAnsi="Times New Roman" w:cs="Times New Roman"/>
                      <w:vertAlign w:val="subscript"/>
                    </w:rPr>
                    <w:t>2</w:t>
                  </w: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9.9</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9.9</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48" w:type="dxa"/>
                  <w:vMerge w:val="continue"/>
                  <w:tcBorders>
                    <w:bottom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3012H(D)</w:t>
                  </w:r>
                </w:p>
                <w:p>
                  <w:pPr>
                    <w:spacing w:line="276" w:lineRule="auto"/>
                    <w:jc w:val="center"/>
                    <w:rPr>
                      <w:rFonts w:ascii="Times New Roman" w:hAnsi="Times New Roman" w:cs="Times New Roman"/>
                    </w:rPr>
                  </w:pPr>
                  <w:r>
                    <w:rPr>
                      <w:rFonts w:ascii="Times New Roman" w:hAnsi="Times New Roman" w:cs="Times New Roman"/>
                    </w:rPr>
                    <w:t>全自动烟尘（气）测试仪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TGHJ-194</w:t>
                  </w:r>
                </w:p>
              </w:tc>
              <w:tc>
                <w:tcPr>
                  <w:tcW w:w="857"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2021.8.3</w:t>
                  </w:r>
                </w:p>
              </w:tc>
              <w:tc>
                <w:tcPr>
                  <w:tcW w:w="266" w:type="dxa"/>
                  <w:vMerge w:val="restart"/>
                  <w:tcBorders>
                    <w:right w:val="nil"/>
                  </w:tcBorders>
                  <w:vAlign w:val="center"/>
                </w:tcPr>
                <w:p>
                  <w:pPr>
                    <w:spacing w:line="276" w:lineRule="auto"/>
                    <w:jc w:val="center"/>
                    <w:rPr>
                      <w:rFonts w:ascii="Times New Roman" w:hAnsi="Times New Roman" w:cs="Times New Roman"/>
                    </w:rPr>
                  </w:pPr>
                  <w:r>
                    <w:rPr>
                      <w:rFonts w:ascii="Times New Roman" w:hAnsi="Times New Roman" w:cs="Times New Roman"/>
                    </w:rPr>
                    <w:t>尘</w:t>
                  </w:r>
                </w:p>
              </w:tc>
              <w:tc>
                <w:tcPr>
                  <w:tcW w:w="349" w:type="dxa"/>
                  <w:vMerge w:val="restart"/>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路</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30.0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L/min</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30.1</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30.1</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64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nil"/>
                  </w:tcBorders>
                  <w:vAlign w:val="center"/>
                </w:tcPr>
                <w:p>
                  <w:pPr>
                    <w:spacing w:line="276" w:lineRule="auto"/>
                    <w:jc w:val="center"/>
                    <w:rPr>
                      <w:rFonts w:ascii="Times New Roman" w:hAnsi="Times New Roman" w:cs="Times New Roman"/>
                    </w:rPr>
                  </w:pPr>
                </w:p>
              </w:tc>
              <w:tc>
                <w:tcPr>
                  <w:tcW w:w="349" w:type="dxa"/>
                  <w:vMerge w:val="continue"/>
                  <w:tcBorders>
                    <w:left w:val="nil"/>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40.8</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40.8</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nil"/>
                  </w:tcBorders>
                  <w:vAlign w:val="center"/>
                </w:tcPr>
                <w:p>
                  <w:pPr>
                    <w:spacing w:line="276" w:lineRule="auto"/>
                    <w:jc w:val="center"/>
                    <w:rPr>
                      <w:rFonts w:ascii="Times New Roman" w:hAnsi="Times New Roman" w:cs="Times New Roman"/>
                    </w:rPr>
                  </w:pPr>
                </w:p>
              </w:tc>
              <w:tc>
                <w:tcPr>
                  <w:tcW w:w="349" w:type="dxa"/>
                  <w:vMerge w:val="continue"/>
                  <w:tcBorders>
                    <w:left w:val="nil"/>
                    <w:bottom w:val="single" w:color="auto" w:sz="4" w:space="0"/>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50.0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50.3</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50.3</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0.6</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0.6</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红外烟气综合分析仪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TGHJ-202</w:t>
                  </w: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气路</w:t>
                  </w: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Ppm</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9</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9</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NO</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30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29</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29</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909"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857" w:type="dxa"/>
                  <w:vMerge w:val="continue"/>
                  <w:tcBorders>
                    <w:bottom w:val="single" w:color="auto" w:sz="4" w:space="0"/>
                  </w:tcBorders>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O</w:t>
                  </w:r>
                  <w:r>
                    <w:rPr>
                      <w:rFonts w:ascii="Times New Roman" w:hAnsi="Times New Roman" w:cs="Times New Roman"/>
                      <w:vertAlign w:val="subscript"/>
                    </w:rPr>
                    <w:t>2</w:t>
                  </w: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10.1</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10.1</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48" w:type="dxa"/>
                  <w:vMerge w:val="continue"/>
                  <w:tcBorders>
                    <w:bottom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3012H(D)</w:t>
                  </w:r>
                </w:p>
                <w:p>
                  <w:pPr>
                    <w:spacing w:line="276" w:lineRule="auto"/>
                    <w:jc w:val="center"/>
                    <w:rPr>
                      <w:rFonts w:ascii="Times New Roman" w:hAnsi="Times New Roman" w:cs="Times New Roman"/>
                    </w:rPr>
                  </w:pPr>
                  <w:r>
                    <w:rPr>
                      <w:rFonts w:ascii="Times New Roman" w:hAnsi="Times New Roman" w:cs="Times New Roman"/>
                    </w:rPr>
                    <w:t>全自动烟尘（气）测试仪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TGHJ-194</w:t>
                  </w:r>
                </w:p>
              </w:tc>
              <w:tc>
                <w:tcPr>
                  <w:tcW w:w="857"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2021.8.4</w:t>
                  </w:r>
                </w:p>
              </w:tc>
              <w:tc>
                <w:tcPr>
                  <w:tcW w:w="266" w:type="dxa"/>
                  <w:vMerge w:val="restart"/>
                  <w:tcBorders>
                    <w:right w:val="nil"/>
                  </w:tcBorders>
                  <w:vAlign w:val="center"/>
                </w:tcPr>
                <w:p>
                  <w:pPr>
                    <w:spacing w:line="276" w:lineRule="auto"/>
                    <w:jc w:val="center"/>
                    <w:rPr>
                      <w:rFonts w:ascii="Times New Roman" w:hAnsi="Times New Roman" w:cs="Times New Roman"/>
                    </w:rPr>
                  </w:pPr>
                  <w:r>
                    <w:rPr>
                      <w:rFonts w:ascii="Times New Roman" w:hAnsi="Times New Roman" w:cs="Times New Roman"/>
                    </w:rPr>
                    <w:t>尘</w:t>
                  </w:r>
                </w:p>
              </w:tc>
              <w:tc>
                <w:tcPr>
                  <w:tcW w:w="349" w:type="dxa"/>
                  <w:vMerge w:val="restart"/>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路</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30.0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L/min</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30.3</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30.3</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0.7</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0.7</w:t>
                  </w:r>
                </w:p>
              </w:tc>
              <w:tc>
                <w:tcPr>
                  <w:tcW w:w="64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nil"/>
                  </w:tcBorders>
                  <w:vAlign w:val="center"/>
                </w:tcPr>
                <w:p>
                  <w:pPr>
                    <w:spacing w:line="276" w:lineRule="auto"/>
                    <w:jc w:val="center"/>
                    <w:rPr>
                      <w:rFonts w:ascii="Times New Roman" w:hAnsi="Times New Roman" w:cs="Times New Roman"/>
                    </w:rPr>
                  </w:pPr>
                </w:p>
              </w:tc>
              <w:tc>
                <w:tcPr>
                  <w:tcW w:w="349" w:type="dxa"/>
                  <w:vMerge w:val="continue"/>
                  <w:tcBorders>
                    <w:left w:val="nil"/>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41.5</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41.5</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3.8</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3.8</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nil"/>
                  </w:tcBorders>
                  <w:vAlign w:val="center"/>
                </w:tcPr>
                <w:p>
                  <w:pPr>
                    <w:spacing w:line="276" w:lineRule="auto"/>
                    <w:jc w:val="center"/>
                    <w:rPr>
                      <w:rFonts w:ascii="Times New Roman" w:hAnsi="Times New Roman" w:cs="Times New Roman"/>
                    </w:rPr>
                  </w:pPr>
                </w:p>
              </w:tc>
              <w:tc>
                <w:tcPr>
                  <w:tcW w:w="349" w:type="dxa"/>
                  <w:vMerge w:val="continue"/>
                  <w:tcBorders>
                    <w:left w:val="nil"/>
                    <w:bottom w:val="single" w:color="auto" w:sz="4" w:space="0"/>
                  </w:tcBorders>
                  <w:vAlign w:val="center"/>
                </w:tcPr>
                <w:p>
                  <w:pPr>
                    <w:spacing w:line="276" w:lineRule="auto"/>
                    <w:jc w:val="center"/>
                    <w:rPr>
                      <w:rFonts w:ascii="Times New Roman" w:hAnsi="Times New Roman" w:cs="Times New Roman"/>
                    </w:rPr>
                  </w:pP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50.0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50.2</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50.2</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红外烟气综合分析仪</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TGHJ-202</w:t>
                  </w: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气路</w:t>
                  </w: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Ppm</w:t>
                  </w: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11</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11</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266"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NO</w:t>
                  </w:r>
                </w:p>
              </w:tc>
              <w:tc>
                <w:tcPr>
                  <w:tcW w:w="565" w:type="dxa"/>
                  <w:vAlign w:val="center"/>
                </w:tcPr>
                <w:p>
                  <w:pPr>
                    <w:spacing w:line="276" w:lineRule="auto"/>
                    <w:jc w:val="center"/>
                    <w:rPr>
                      <w:rFonts w:ascii="Times New Roman" w:hAnsi="Times New Roman" w:cs="Times New Roman"/>
                    </w:rPr>
                  </w:pPr>
                  <w:r>
                    <w:rPr>
                      <w:rFonts w:ascii="Times New Roman" w:hAnsi="Times New Roman" w:cs="Times New Roman"/>
                    </w:rPr>
                    <w:t>30</w:t>
                  </w:r>
                </w:p>
              </w:tc>
              <w:tc>
                <w:tcPr>
                  <w:tcW w:w="601" w:type="dxa"/>
                  <w:vMerge w:val="continue"/>
                  <w:vAlign w:val="center"/>
                </w:tcPr>
                <w:p>
                  <w:pPr>
                    <w:spacing w:line="276" w:lineRule="auto"/>
                    <w:jc w:val="center"/>
                    <w:rPr>
                      <w:rFonts w:ascii="Times New Roman" w:hAnsi="Times New Roman" w:cs="Times New Roman"/>
                    </w:rPr>
                  </w:pPr>
                </w:p>
              </w:tc>
              <w:tc>
                <w:tcPr>
                  <w:tcW w:w="592" w:type="dxa"/>
                  <w:vAlign w:val="center"/>
                </w:tcPr>
                <w:p>
                  <w:pPr>
                    <w:spacing w:line="276" w:lineRule="auto"/>
                    <w:jc w:val="center"/>
                    <w:rPr>
                      <w:rFonts w:ascii="Times New Roman" w:hAnsi="Times New Roman" w:cs="Times New Roman"/>
                    </w:rPr>
                  </w:pPr>
                  <w:r>
                    <w:rPr>
                      <w:rFonts w:ascii="Times New Roman" w:hAnsi="Times New Roman" w:cs="Times New Roman"/>
                    </w:rPr>
                    <w:t>31</w:t>
                  </w:r>
                </w:p>
              </w:tc>
              <w:tc>
                <w:tcPr>
                  <w:tcW w:w="722" w:type="dxa"/>
                  <w:vAlign w:val="center"/>
                </w:tcPr>
                <w:p>
                  <w:pPr>
                    <w:spacing w:line="276" w:lineRule="auto"/>
                    <w:jc w:val="center"/>
                    <w:rPr>
                      <w:rFonts w:ascii="Times New Roman" w:hAnsi="Times New Roman" w:cs="Times New Roman"/>
                    </w:rPr>
                  </w:pPr>
                  <w:r>
                    <w:rPr>
                      <w:rFonts w:ascii="Times New Roman" w:hAnsi="Times New Roman" w:cs="Times New Roman"/>
                    </w:rPr>
                    <w:t>31</w:t>
                  </w:r>
                </w:p>
              </w:tc>
              <w:tc>
                <w:tcPr>
                  <w:tcW w:w="599"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01"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909"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857" w:type="dxa"/>
                  <w:vMerge w:val="continue"/>
                  <w:tcBorders>
                    <w:bottom w:val="single" w:color="auto" w:sz="4" w:space="0"/>
                  </w:tcBorders>
                  <w:vAlign w:val="center"/>
                </w:tcPr>
                <w:p>
                  <w:pPr>
                    <w:spacing w:line="276" w:lineRule="auto"/>
                    <w:jc w:val="center"/>
                    <w:rPr>
                      <w:rFonts w:ascii="Times New Roman" w:hAnsi="Times New Roman" w:cs="Times New Roman"/>
                      <w:spacing w:val="-20"/>
                    </w:rPr>
                  </w:pPr>
                </w:p>
              </w:tc>
              <w:tc>
                <w:tcPr>
                  <w:tcW w:w="266" w:type="dxa"/>
                  <w:vMerge w:val="continue"/>
                  <w:tcBorders>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349" w:type="dxa"/>
                  <w:tcBorders>
                    <w:left w:val="single" w:color="auto" w:sz="4" w:space="0"/>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O</w:t>
                  </w:r>
                  <w:r>
                    <w:rPr>
                      <w:rFonts w:ascii="Times New Roman" w:hAnsi="Times New Roman" w:cs="Times New Roman"/>
                      <w:vertAlign w:val="subscript"/>
                    </w:rPr>
                    <w:t>2</w:t>
                  </w: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10.2</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10.2</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648" w:type="dxa"/>
                  <w:vMerge w:val="continue"/>
                  <w:tcBorders>
                    <w:bottom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3072智能双路烟气采样器</w:t>
                  </w:r>
                </w:p>
              </w:tc>
              <w:tc>
                <w:tcPr>
                  <w:tcW w:w="909"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TGHJ-073</w:t>
                  </w:r>
                </w:p>
              </w:tc>
              <w:tc>
                <w:tcPr>
                  <w:tcW w:w="857" w:type="dxa"/>
                  <w:vMerge w:val="restart"/>
                  <w:vAlign w:val="center"/>
                </w:tcPr>
                <w:p>
                  <w:pPr>
                    <w:spacing w:line="276" w:lineRule="auto"/>
                    <w:jc w:val="center"/>
                    <w:rPr>
                      <w:rFonts w:ascii="Times New Roman" w:hAnsi="Times New Roman" w:cs="Times New Roman"/>
                      <w:spacing w:val="-20"/>
                    </w:rPr>
                  </w:pPr>
                  <w:r>
                    <w:rPr>
                      <w:rFonts w:ascii="Times New Roman" w:hAnsi="Times New Roman" w:cs="Times New Roman"/>
                      <w:spacing w:val="-20"/>
                    </w:rPr>
                    <w:t>2021.8.3</w:t>
                  </w:r>
                </w:p>
              </w:tc>
              <w:tc>
                <w:tcPr>
                  <w:tcW w:w="615" w:type="dxa"/>
                  <w:gridSpan w:val="2"/>
                  <w:vMerge w:val="restart"/>
                  <w:vAlign w:val="center"/>
                </w:tcPr>
                <w:p>
                  <w:pPr>
                    <w:spacing w:line="276" w:lineRule="auto"/>
                    <w:jc w:val="center"/>
                    <w:rPr>
                      <w:rFonts w:ascii="Times New Roman" w:hAnsi="Times New Roman" w:cs="Times New Roman"/>
                    </w:rPr>
                  </w:pPr>
                  <w:r>
                    <w:rPr>
                      <w:rFonts w:ascii="Times New Roman" w:hAnsi="Times New Roman" w:cs="Times New Roman"/>
                    </w:rPr>
                    <w:t>A</w:t>
                  </w: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L/min</w:t>
                  </w: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0.52</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0.52</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4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615" w:type="dxa"/>
                  <w:gridSpan w:val="2"/>
                  <w:vMerge w:val="continue"/>
                  <w:vAlign w:val="center"/>
                </w:tcPr>
                <w:p>
                  <w:pPr>
                    <w:spacing w:line="276" w:lineRule="auto"/>
                    <w:jc w:val="center"/>
                    <w:rPr>
                      <w:rFonts w:ascii="Times New Roman" w:hAnsi="Times New Roman" w:cs="Times New Roman"/>
                    </w:rPr>
                  </w:pP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vMerge w:val="continue"/>
                  <w:vAlign w:val="center"/>
                </w:tcPr>
                <w:p>
                  <w:pPr>
                    <w:spacing w:line="276" w:lineRule="auto"/>
                    <w:jc w:val="center"/>
                    <w:rPr>
                      <w:rFonts w:ascii="Times New Roman" w:hAnsi="Times New Roman" w:cs="Times New Roman"/>
                    </w:rPr>
                  </w:pP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0.97</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1.02</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-3.00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2.00</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615" w:type="dxa"/>
                  <w:gridSpan w:val="2"/>
                  <w:vMerge w:val="continue"/>
                  <w:tcBorders>
                    <w:bottom w:val="single" w:color="auto" w:sz="4" w:space="0"/>
                  </w:tcBorders>
                  <w:vAlign w:val="center"/>
                </w:tcPr>
                <w:p>
                  <w:pPr>
                    <w:spacing w:line="276" w:lineRule="auto"/>
                    <w:jc w:val="center"/>
                    <w:rPr>
                      <w:rFonts w:ascii="Times New Roman" w:hAnsi="Times New Roman" w:cs="Times New Roman"/>
                    </w:rPr>
                  </w:pP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1.50</w:t>
                  </w:r>
                </w:p>
              </w:tc>
              <w:tc>
                <w:tcPr>
                  <w:tcW w:w="601"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1.43</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1.56</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-4.67</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48" w:type="dxa"/>
                  <w:vMerge w:val="continue"/>
                  <w:tcBorders>
                    <w:bottom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615" w:type="dxa"/>
                  <w:gridSpan w:val="2"/>
                  <w:vMerge w:val="restart"/>
                  <w:vAlign w:val="center"/>
                </w:tcPr>
                <w:p>
                  <w:pPr>
                    <w:spacing w:line="276" w:lineRule="auto"/>
                    <w:jc w:val="center"/>
                    <w:rPr>
                      <w:rFonts w:ascii="Times New Roman" w:hAnsi="Times New Roman" w:cs="Times New Roman"/>
                    </w:rPr>
                  </w:pPr>
                  <w:r>
                    <w:rPr>
                      <w:rFonts w:ascii="Times New Roman" w:hAnsi="Times New Roman" w:cs="Times New Roman"/>
                    </w:rPr>
                    <w:t>B</w:t>
                  </w: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L/min</w:t>
                  </w: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0.49</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0.48</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4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615" w:type="dxa"/>
                  <w:gridSpan w:val="2"/>
                  <w:vMerge w:val="continue"/>
                  <w:vAlign w:val="center"/>
                </w:tcPr>
                <w:p>
                  <w:pPr>
                    <w:spacing w:line="276" w:lineRule="auto"/>
                    <w:jc w:val="center"/>
                    <w:rPr>
                      <w:rFonts w:ascii="Times New Roman" w:hAnsi="Times New Roman" w:cs="Times New Roman"/>
                    </w:rPr>
                  </w:pP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vMerge w:val="continue"/>
                  <w:vAlign w:val="center"/>
                </w:tcPr>
                <w:p>
                  <w:pPr>
                    <w:spacing w:line="276" w:lineRule="auto"/>
                    <w:jc w:val="center"/>
                    <w:rPr>
                      <w:rFonts w:ascii="Times New Roman" w:hAnsi="Times New Roman" w:cs="Times New Roman"/>
                    </w:rPr>
                  </w:pP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1.03</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0.98</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3.00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-2.00</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tcBorders>
                    <w:bottom w:val="single" w:color="auto" w:sz="4" w:space="0"/>
                  </w:tcBorders>
                  <w:vAlign w:val="center"/>
                </w:tcPr>
                <w:p>
                  <w:pPr>
                    <w:spacing w:line="276" w:lineRule="auto"/>
                    <w:jc w:val="center"/>
                    <w:rPr>
                      <w:rFonts w:ascii="Times New Roman" w:hAnsi="Times New Roman" w:cs="Times New Roman"/>
                      <w:spacing w:val="-20"/>
                    </w:rPr>
                  </w:pPr>
                </w:p>
              </w:tc>
              <w:tc>
                <w:tcPr>
                  <w:tcW w:w="615" w:type="dxa"/>
                  <w:gridSpan w:val="2"/>
                  <w:vMerge w:val="continue"/>
                  <w:tcBorders>
                    <w:bottom w:val="single" w:color="auto" w:sz="4" w:space="0"/>
                  </w:tcBorders>
                  <w:vAlign w:val="center"/>
                </w:tcPr>
                <w:p>
                  <w:pPr>
                    <w:spacing w:line="276" w:lineRule="auto"/>
                    <w:jc w:val="center"/>
                    <w:rPr>
                      <w:rFonts w:ascii="Times New Roman" w:hAnsi="Times New Roman" w:cs="Times New Roman"/>
                    </w:rPr>
                  </w:pP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1.50</w:t>
                  </w:r>
                </w:p>
              </w:tc>
              <w:tc>
                <w:tcPr>
                  <w:tcW w:w="601"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1.52</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1.51</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1.33</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0.67</w:t>
                  </w:r>
                </w:p>
              </w:tc>
              <w:tc>
                <w:tcPr>
                  <w:tcW w:w="648" w:type="dxa"/>
                  <w:vMerge w:val="continue"/>
                  <w:tcBorders>
                    <w:bottom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restart"/>
                  <w:vAlign w:val="center"/>
                </w:tcPr>
                <w:p>
                  <w:pPr>
                    <w:spacing w:line="276" w:lineRule="auto"/>
                    <w:jc w:val="center"/>
                    <w:rPr>
                      <w:rFonts w:ascii="Times New Roman" w:hAnsi="Times New Roman" w:cs="Times New Roman"/>
                      <w:spacing w:val="-20"/>
                    </w:rPr>
                  </w:pPr>
                  <w:r>
                    <w:rPr>
                      <w:rFonts w:ascii="Times New Roman" w:hAnsi="Times New Roman" w:cs="Times New Roman"/>
                      <w:spacing w:val="-20"/>
                    </w:rPr>
                    <w:t>2021.8.4</w:t>
                  </w:r>
                </w:p>
              </w:tc>
              <w:tc>
                <w:tcPr>
                  <w:tcW w:w="615" w:type="dxa"/>
                  <w:gridSpan w:val="2"/>
                  <w:vMerge w:val="restart"/>
                  <w:vAlign w:val="center"/>
                </w:tcPr>
                <w:p>
                  <w:pPr>
                    <w:spacing w:line="276" w:lineRule="auto"/>
                    <w:jc w:val="center"/>
                    <w:rPr>
                      <w:rFonts w:ascii="Times New Roman" w:hAnsi="Times New Roman" w:cs="Times New Roman"/>
                    </w:rPr>
                  </w:pPr>
                  <w:r>
                    <w:rPr>
                      <w:rFonts w:ascii="Times New Roman" w:hAnsi="Times New Roman" w:cs="Times New Roman"/>
                    </w:rPr>
                    <w:t>A</w:t>
                  </w: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L/min</w:t>
                  </w: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0.51</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0.52</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4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615" w:type="dxa"/>
                  <w:gridSpan w:val="2"/>
                  <w:vMerge w:val="continue"/>
                  <w:vAlign w:val="center"/>
                </w:tcPr>
                <w:p>
                  <w:pPr>
                    <w:spacing w:line="276" w:lineRule="auto"/>
                    <w:jc w:val="center"/>
                    <w:rPr>
                      <w:rFonts w:ascii="Times New Roman" w:hAnsi="Times New Roman" w:cs="Times New Roman"/>
                    </w:rPr>
                  </w:pP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vMerge w:val="continue"/>
                  <w:vAlign w:val="center"/>
                </w:tcPr>
                <w:p>
                  <w:pPr>
                    <w:spacing w:line="276" w:lineRule="auto"/>
                    <w:jc w:val="center"/>
                    <w:rPr>
                      <w:rFonts w:ascii="Times New Roman" w:hAnsi="Times New Roman" w:cs="Times New Roman"/>
                    </w:rPr>
                  </w:pP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0.96</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0.99</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615" w:type="dxa"/>
                  <w:gridSpan w:val="2"/>
                  <w:vMerge w:val="continue"/>
                  <w:tcBorders>
                    <w:bottom w:val="single" w:color="auto" w:sz="4" w:space="0"/>
                  </w:tcBorders>
                  <w:vAlign w:val="center"/>
                </w:tcPr>
                <w:p>
                  <w:pPr>
                    <w:spacing w:line="276" w:lineRule="auto"/>
                    <w:jc w:val="center"/>
                    <w:rPr>
                      <w:rFonts w:ascii="Times New Roman" w:hAnsi="Times New Roman" w:cs="Times New Roman"/>
                    </w:rPr>
                  </w:pP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1.50</w:t>
                  </w:r>
                </w:p>
              </w:tc>
              <w:tc>
                <w:tcPr>
                  <w:tcW w:w="601"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1.53</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1.43</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-4.67</w:t>
                  </w:r>
                </w:p>
              </w:tc>
              <w:tc>
                <w:tcPr>
                  <w:tcW w:w="648" w:type="dxa"/>
                  <w:vMerge w:val="continue"/>
                  <w:tcBorders>
                    <w:bottom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615" w:type="dxa"/>
                  <w:gridSpan w:val="2"/>
                  <w:vMerge w:val="restart"/>
                  <w:vAlign w:val="center"/>
                </w:tcPr>
                <w:p>
                  <w:pPr>
                    <w:spacing w:line="276" w:lineRule="auto"/>
                    <w:jc w:val="center"/>
                    <w:rPr>
                      <w:rFonts w:ascii="Times New Roman" w:hAnsi="Times New Roman" w:cs="Times New Roman"/>
                    </w:rPr>
                  </w:pPr>
                  <w:r>
                    <w:rPr>
                      <w:rFonts w:ascii="Times New Roman" w:hAnsi="Times New Roman" w:cs="Times New Roman"/>
                    </w:rPr>
                    <w:t>B</w:t>
                  </w: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0.50</w:t>
                  </w:r>
                </w:p>
              </w:tc>
              <w:tc>
                <w:tcPr>
                  <w:tcW w:w="60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L/min</w:t>
                  </w: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0.48</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0.52</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4.00</w:t>
                  </w:r>
                </w:p>
              </w:tc>
              <w:tc>
                <w:tcPr>
                  <w:tcW w:w="648"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vAlign w:val="center"/>
                </w:tcPr>
                <w:p>
                  <w:pPr>
                    <w:spacing w:line="276" w:lineRule="auto"/>
                    <w:jc w:val="center"/>
                    <w:rPr>
                      <w:rFonts w:ascii="Times New Roman" w:hAnsi="Times New Roman" w:cs="Times New Roman"/>
                    </w:rPr>
                  </w:pPr>
                </w:p>
              </w:tc>
              <w:tc>
                <w:tcPr>
                  <w:tcW w:w="1398" w:type="dxa"/>
                  <w:vMerge w:val="continue"/>
                  <w:vAlign w:val="center"/>
                </w:tcPr>
                <w:p>
                  <w:pPr>
                    <w:spacing w:line="276" w:lineRule="auto"/>
                    <w:jc w:val="center"/>
                    <w:rPr>
                      <w:rFonts w:ascii="Times New Roman" w:hAnsi="Times New Roman" w:cs="Times New Roman"/>
                    </w:rPr>
                  </w:pPr>
                </w:p>
              </w:tc>
              <w:tc>
                <w:tcPr>
                  <w:tcW w:w="909" w:type="dxa"/>
                  <w:vMerge w:val="continue"/>
                  <w:vAlign w:val="center"/>
                </w:tcPr>
                <w:p>
                  <w:pPr>
                    <w:spacing w:line="276" w:lineRule="auto"/>
                    <w:jc w:val="center"/>
                    <w:rPr>
                      <w:rFonts w:ascii="Times New Roman" w:hAnsi="Times New Roman" w:cs="Times New Roman"/>
                    </w:rPr>
                  </w:pPr>
                </w:p>
              </w:tc>
              <w:tc>
                <w:tcPr>
                  <w:tcW w:w="857" w:type="dxa"/>
                  <w:vMerge w:val="continue"/>
                  <w:vAlign w:val="center"/>
                </w:tcPr>
                <w:p>
                  <w:pPr>
                    <w:spacing w:line="276" w:lineRule="auto"/>
                    <w:jc w:val="center"/>
                    <w:rPr>
                      <w:rFonts w:ascii="Times New Roman" w:hAnsi="Times New Roman" w:cs="Times New Roman"/>
                      <w:spacing w:val="-20"/>
                    </w:rPr>
                  </w:pPr>
                </w:p>
              </w:tc>
              <w:tc>
                <w:tcPr>
                  <w:tcW w:w="615" w:type="dxa"/>
                  <w:gridSpan w:val="2"/>
                  <w:vMerge w:val="continue"/>
                  <w:vAlign w:val="center"/>
                </w:tcPr>
                <w:p>
                  <w:pPr>
                    <w:spacing w:line="276" w:lineRule="auto"/>
                    <w:jc w:val="center"/>
                    <w:rPr>
                      <w:rFonts w:ascii="Times New Roman" w:hAnsi="Times New Roman" w:cs="Times New Roman"/>
                    </w:rPr>
                  </w:pP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vMerge w:val="continue"/>
                  <w:vAlign w:val="center"/>
                </w:tcPr>
                <w:p>
                  <w:pPr>
                    <w:spacing w:line="276" w:lineRule="auto"/>
                    <w:jc w:val="center"/>
                    <w:rPr>
                      <w:rFonts w:ascii="Times New Roman" w:hAnsi="Times New Roman" w:cs="Times New Roman"/>
                    </w:rPr>
                  </w:pP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0.99</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1.02</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-1.00</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2.00</w:t>
                  </w:r>
                </w:p>
              </w:tc>
              <w:tc>
                <w:tcPr>
                  <w:tcW w:w="648"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1398"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909"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857" w:type="dxa"/>
                  <w:vMerge w:val="continue"/>
                  <w:tcBorders>
                    <w:bottom w:val="single" w:color="auto" w:sz="4" w:space="0"/>
                  </w:tcBorders>
                  <w:vAlign w:val="center"/>
                </w:tcPr>
                <w:p>
                  <w:pPr>
                    <w:spacing w:line="276" w:lineRule="auto"/>
                    <w:jc w:val="center"/>
                    <w:rPr>
                      <w:rFonts w:ascii="Times New Roman" w:hAnsi="Times New Roman" w:cs="Times New Roman"/>
                      <w:spacing w:val="-20"/>
                    </w:rPr>
                  </w:pPr>
                </w:p>
              </w:tc>
              <w:tc>
                <w:tcPr>
                  <w:tcW w:w="615" w:type="dxa"/>
                  <w:gridSpan w:val="2"/>
                  <w:vMerge w:val="continue"/>
                  <w:tcBorders>
                    <w:bottom w:val="single" w:color="auto" w:sz="4" w:space="0"/>
                  </w:tcBorders>
                  <w:vAlign w:val="center"/>
                </w:tcPr>
                <w:p>
                  <w:pPr>
                    <w:spacing w:line="276" w:lineRule="auto"/>
                    <w:jc w:val="center"/>
                    <w:rPr>
                      <w:rFonts w:ascii="Times New Roman" w:hAnsi="Times New Roman" w:cs="Times New Roman"/>
                    </w:rPr>
                  </w:pPr>
                </w:p>
              </w:tc>
              <w:tc>
                <w:tcPr>
                  <w:tcW w:w="565"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1.50</w:t>
                  </w:r>
                </w:p>
              </w:tc>
              <w:tc>
                <w:tcPr>
                  <w:tcW w:w="601" w:type="dxa"/>
                  <w:vMerge w:val="continue"/>
                  <w:tcBorders>
                    <w:bottom w:val="single" w:color="auto" w:sz="4" w:space="0"/>
                  </w:tcBorders>
                  <w:vAlign w:val="center"/>
                </w:tcPr>
                <w:p>
                  <w:pPr>
                    <w:spacing w:line="276" w:lineRule="auto"/>
                    <w:jc w:val="center"/>
                    <w:rPr>
                      <w:rFonts w:ascii="Times New Roman" w:hAnsi="Times New Roman" w:cs="Times New Roman"/>
                    </w:rPr>
                  </w:pPr>
                </w:p>
              </w:tc>
              <w:tc>
                <w:tcPr>
                  <w:tcW w:w="59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1.51</w:t>
                  </w:r>
                </w:p>
              </w:tc>
              <w:tc>
                <w:tcPr>
                  <w:tcW w:w="722"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1.50</w:t>
                  </w:r>
                </w:p>
              </w:tc>
              <w:tc>
                <w:tcPr>
                  <w:tcW w:w="599"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0.67</w:t>
                  </w:r>
                </w:p>
              </w:tc>
              <w:tc>
                <w:tcPr>
                  <w:tcW w:w="601" w:type="dxa"/>
                  <w:tcBorders>
                    <w:bottom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w:t>
                  </w:r>
                </w:p>
              </w:tc>
              <w:tc>
                <w:tcPr>
                  <w:tcW w:w="648" w:type="dxa"/>
                  <w:vMerge w:val="continue"/>
                  <w:tcBorders>
                    <w:bottom w:val="single" w:color="auto" w:sz="4" w:space="0"/>
                  </w:tcBorders>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tblHeader/>
                <w:jc w:val="center"/>
              </w:trPr>
              <w:tc>
                <w:tcPr>
                  <w:tcW w:w="629" w:type="dxa"/>
                  <w:vAlign w:val="center"/>
                </w:tcPr>
                <w:p>
                  <w:pPr>
                    <w:spacing w:line="276" w:lineRule="auto"/>
                    <w:jc w:val="center"/>
                    <w:rPr>
                      <w:rFonts w:ascii="Times New Roman" w:hAnsi="Times New Roman" w:cs="Times New Roman"/>
                      <w:spacing w:val="-20"/>
                    </w:rPr>
                  </w:pPr>
                  <w:r>
                    <w:rPr>
                      <w:rFonts w:ascii="Times New Roman" w:hAnsi="Times New Roman" w:cs="Times New Roman"/>
                      <w:spacing w:val="-20"/>
                    </w:rPr>
                    <w:t>备注：</w:t>
                  </w:r>
                </w:p>
              </w:tc>
              <w:tc>
                <w:tcPr>
                  <w:tcW w:w="8107" w:type="dxa"/>
                  <w:gridSpan w:val="12"/>
                  <w:vAlign w:val="center"/>
                </w:tcPr>
                <w:p>
                  <w:pPr>
                    <w:spacing w:line="276" w:lineRule="auto"/>
                    <w:jc w:val="center"/>
                    <w:rPr>
                      <w:rFonts w:ascii="Times New Roman" w:hAnsi="Times New Roman" w:cs="Times New Roman"/>
                    </w:rPr>
                  </w:pPr>
                  <w:r>
                    <w:rPr>
                      <w:rFonts w:ascii="Times New Roman" w:hAnsi="Times New Roman" w:cs="Times New Roman"/>
                    </w:rPr>
                    <w:t>示值误差绝对值：≤5%（浓度＜100μmol/mol时，≤5μmol/mol）</w:t>
                  </w:r>
                </w:p>
              </w:tc>
            </w:tr>
          </w:tbl>
          <w:p>
            <w:pPr>
              <w:pStyle w:val="32"/>
              <w:spacing w:line="276" w:lineRule="auto"/>
              <w:ind w:firstLine="480" w:firstLineChars="200"/>
              <w:rPr>
                <w:sz w:val="24"/>
                <w:szCs w:val="24"/>
              </w:rPr>
            </w:pPr>
            <w:r>
              <w:rPr>
                <w:sz w:val="24"/>
                <w:szCs w:val="24"/>
              </w:rPr>
              <w:t>（5）污染源监测质量控制数据</w:t>
            </w:r>
          </w:p>
          <w:p>
            <w:pPr>
              <w:pStyle w:val="32"/>
              <w:spacing w:line="276" w:lineRule="auto"/>
              <w:jc w:val="center"/>
              <w:rPr>
                <w:sz w:val="24"/>
                <w:szCs w:val="24"/>
              </w:rPr>
            </w:pPr>
            <w:r>
              <w:rPr>
                <w:sz w:val="24"/>
                <w:szCs w:val="24"/>
              </w:rPr>
              <w:t>表1</w:t>
            </w:r>
            <w:r>
              <w:rPr>
                <w:rFonts w:hint="eastAsia"/>
                <w:sz w:val="24"/>
                <w:szCs w:val="24"/>
              </w:rPr>
              <w:t>9</w:t>
            </w:r>
            <w:r>
              <w:rPr>
                <w:sz w:val="24"/>
                <w:szCs w:val="24"/>
              </w:rPr>
              <w:t xml:space="preserve">  颗粒物质量控制一览表</w:t>
            </w:r>
          </w:p>
          <w:tbl>
            <w:tblPr>
              <w:tblStyle w:val="21"/>
              <w:tblW w:w="8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2032"/>
              <w:gridCol w:w="1046"/>
              <w:gridCol w:w="1014"/>
              <w:gridCol w:w="1178"/>
              <w:gridCol w:w="1275"/>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restart"/>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监测</w:t>
                  </w:r>
                </w:p>
                <w:p>
                  <w:pPr>
                    <w:spacing w:line="276" w:lineRule="auto"/>
                    <w:jc w:val="center"/>
                    <w:rPr>
                      <w:rFonts w:ascii="Times New Roman" w:hAnsi="Times New Roman" w:cs="Times New Roman"/>
                      <w:b/>
                    </w:rPr>
                  </w:pPr>
                  <w:r>
                    <w:rPr>
                      <w:rFonts w:ascii="Times New Roman" w:hAnsi="Times New Roman" w:cs="Times New Roman"/>
                      <w:b/>
                    </w:rPr>
                    <w:t>项目</w:t>
                  </w:r>
                </w:p>
              </w:tc>
              <w:tc>
                <w:tcPr>
                  <w:tcW w:w="2032" w:type="dxa"/>
                  <w:vMerge w:val="restart"/>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样品/标准编号</w:t>
                  </w:r>
                </w:p>
                <w:p>
                  <w:pPr>
                    <w:spacing w:line="276" w:lineRule="auto"/>
                    <w:jc w:val="center"/>
                    <w:rPr>
                      <w:rFonts w:ascii="Times New Roman" w:hAnsi="Times New Roman" w:cs="Times New Roman"/>
                      <w:b/>
                    </w:rPr>
                  </w:pPr>
                  <w:r>
                    <w:rPr>
                      <w:rFonts w:ascii="Times New Roman" w:hAnsi="Times New Roman" w:cs="Times New Roman"/>
                      <w:b/>
                    </w:rPr>
                    <w:t>全程序空白</w:t>
                  </w:r>
                </w:p>
              </w:tc>
              <w:tc>
                <w:tcPr>
                  <w:tcW w:w="3238" w:type="dxa"/>
                  <w:gridSpan w:val="3"/>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空白(标准)检查</w:t>
                  </w:r>
                </w:p>
              </w:tc>
              <w:tc>
                <w:tcPr>
                  <w:tcW w:w="1275" w:type="dxa"/>
                  <w:vMerge w:val="restart"/>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要求范围(g)</w:t>
                  </w:r>
                </w:p>
              </w:tc>
              <w:tc>
                <w:tcPr>
                  <w:tcW w:w="1134" w:type="dxa"/>
                  <w:vMerge w:val="restart"/>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结果评判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continue"/>
                  <w:vAlign w:val="center"/>
                </w:tcPr>
                <w:p>
                  <w:pPr>
                    <w:spacing w:line="276" w:lineRule="auto"/>
                    <w:jc w:val="center"/>
                    <w:rPr>
                      <w:rFonts w:ascii="Times New Roman" w:hAnsi="Times New Roman" w:cs="Times New Roman"/>
                      <w:b/>
                    </w:rPr>
                  </w:pPr>
                </w:p>
              </w:tc>
              <w:tc>
                <w:tcPr>
                  <w:tcW w:w="2032" w:type="dxa"/>
                  <w:vMerge w:val="continue"/>
                  <w:vAlign w:val="center"/>
                </w:tcPr>
                <w:p>
                  <w:pPr>
                    <w:spacing w:line="276" w:lineRule="auto"/>
                    <w:jc w:val="center"/>
                    <w:rPr>
                      <w:rFonts w:ascii="Times New Roman" w:hAnsi="Times New Roman" w:cs="Times New Roman"/>
                      <w:b/>
                    </w:rPr>
                  </w:pPr>
                </w:p>
              </w:tc>
              <w:tc>
                <w:tcPr>
                  <w:tcW w:w="1046" w:type="dxa"/>
                  <w:vAlign w:val="center"/>
                </w:tcPr>
                <w:p>
                  <w:pPr>
                    <w:spacing w:line="276" w:lineRule="auto"/>
                    <w:jc w:val="center"/>
                    <w:rPr>
                      <w:rFonts w:ascii="Times New Roman" w:hAnsi="Times New Roman" w:cs="Times New Roman"/>
                      <w:b/>
                    </w:rPr>
                  </w:pPr>
                  <w:r>
                    <w:rPr>
                      <w:rFonts w:ascii="Times New Roman" w:hAnsi="Times New Roman" w:cs="Times New Roman"/>
                      <w:b/>
                    </w:rPr>
                    <w:t>初重(g)</w:t>
                  </w:r>
                </w:p>
              </w:tc>
              <w:tc>
                <w:tcPr>
                  <w:tcW w:w="1014" w:type="dxa"/>
                  <w:vAlign w:val="center"/>
                </w:tcPr>
                <w:p>
                  <w:pPr>
                    <w:spacing w:line="276" w:lineRule="auto"/>
                    <w:jc w:val="center"/>
                    <w:rPr>
                      <w:rFonts w:ascii="Times New Roman" w:hAnsi="Times New Roman" w:cs="Times New Roman"/>
                      <w:b/>
                    </w:rPr>
                  </w:pPr>
                  <w:r>
                    <w:rPr>
                      <w:rFonts w:ascii="Times New Roman" w:hAnsi="Times New Roman" w:cs="Times New Roman"/>
                      <w:b/>
                    </w:rPr>
                    <w:t>终重(g)</w:t>
                  </w:r>
                </w:p>
              </w:tc>
              <w:tc>
                <w:tcPr>
                  <w:tcW w:w="1178" w:type="dxa"/>
                  <w:vAlign w:val="center"/>
                </w:tcPr>
                <w:p>
                  <w:pPr>
                    <w:spacing w:line="276" w:lineRule="auto"/>
                    <w:jc w:val="center"/>
                    <w:rPr>
                      <w:rFonts w:ascii="Times New Roman" w:hAnsi="Times New Roman" w:cs="Times New Roman"/>
                      <w:b/>
                    </w:rPr>
                  </w:pPr>
                  <w:r>
                    <w:rPr>
                      <w:rFonts w:ascii="Times New Roman" w:hAnsi="Times New Roman" w:cs="Times New Roman"/>
                      <w:b/>
                    </w:rPr>
                    <w:t>增重(g)</w:t>
                  </w:r>
                </w:p>
              </w:tc>
              <w:tc>
                <w:tcPr>
                  <w:tcW w:w="1275" w:type="dxa"/>
                  <w:vMerge w:val="continue"/>
                  <w:vAlign w:val="center"/>
                </w:tcPr>
                <w:p>
                  <w:pPr>
                    <w:spacing w:line="276" w:lineRule="auto"/>
                    <w:jc w:val="center"/>
                    <w:rPr>
                      <w:rFonts w:ascii="Times New Roman" w:hAnsi="Times New Roman" w:cs="Times New Roman"/>
                      <w:b/>
                    </w:rPr>
                  </w:pPr>
                </w:p>
              </w:tc>
              <w:tc>
                <w:tcPr>
                  <w:tcW w:w="1134" w:type="dxa"/>
                  <w:vMerge w:val="continue"/>
                  <w:vAlign w:val="center"/>
                </w:tcPr>
                <w:p>
                  <w:pPr>
                    <w:spacing w:line="276" w:lineRule="auto"/>
                    <w:jc w:val="center"/>
                    <w:rPr>
                      <w:rFonts w:ascii="Times New Roman" w:hAnsi="Times New Roman"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restart"/>
                  <w:tcBorders>
                    <w:top w:val="single" w:color="auto" w:sz="4" w:space="0"/>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颗粒物</w:t>
                  </w:r>
                </w:p>
              </w:tc>
              <w:tc>
                <w:tcPr>
                  <w:tcW w:w="203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YQ21080302402011</w:t>
                  </w:r>
                </w:p>
              </w:tc>
              <w:tc>
                <w:tcPr>
                  <w:tcW w:w="104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14.74235</w:t>
                  </w:r>
                </w:p>
              </w:tc>
              <w:tc>
                <w:tcPr>
                  <w:tcW w:w="101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14.74242</w:t>
                  </w:r>
                </w:p>
              </w:tc>
              <w:tc>
                <w:tcPr>
                  <w:tcW w:w="1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0.00007</w:t>
                  </w:r>
                </w:p>
              </w:tc>
              <w:tc>
                <w:tcPr>
                  <w:tcW w:w="1275" w:type="dxa"/>
                  <w:tcBorders>
                    <w:top w:val="single" w:color="auto" w:sz="4" w:space="0"/>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±0.0005</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203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YQ21080402402041</w:t>
                  </w:r>
                </w:p>
              </w:tc>
              <w:tc>
                <w:tcPr>
                  <w:tcW w:w="104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14.76506</w:t>
                  </w:r>
                </w:p>
              </w:tc>
              <w:tc>
                <w:tcPr>
                  <w:tcW w:w="101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14.76511</w:t>
                  </w:r>
                </w:p>
              </w:tc>
              <w:tc>
                <w:tcPr>
                  <w:tcW w:w="1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0.00005</w:t>
                  </w:r>
                </w:p>
              </w:tc>
              <w:tc>
                <w:tcPr>
                  <w:tcW w:w="1275" w:type="dxa"/>
                  <w:tcBorders>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±0.0005</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203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YQ21080302402012</w:t>
                  </w:r>
                </w:p>
              </w:tc>
              <w:tc>
                <w:tcPr>
                  <w:tcW w:w="104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14.62616</w:t>
                  </w:r>
                </w:p>
              </w:tc>
              <w:tc>
                <w:tcPr>
                  <w:tcW w:w="101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14.62628</w:t>
                  </w:r>
                </w:p>
              </w:tc>
              <w:tc>
                <w:tcPr>
                  <w:tcW w:w="1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0.00012</w:t>
                  </w:r>
                </w:p>
              </w:tc>
              <w:tc>
                <w:tcPr>
                  <w:tcW w:w="1275" w:type="dxa"/>
                  <w:tcBorders>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±0.0005</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203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YQ21080402402042</w:t>
                  </w:r>
                </w:p>
              </w:tc>
              <w:tc>
                <w:tcPr>
                  <w:tcW w:w="104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14.39329</w:t>
                  </w:r>
                </w:p>
              </w:tc>
              <w:tc>
                <w:tcPr>
                  <w:tcW w:w="101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14.39338</w:t>
                  </w:r>
                </w:p>
              </w:tc>
              <w:tc>
                <w:tcPr>
                  <w:tcW w:w="1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0.00009</w:t>
                  </w:r>
                </w:p>
              </w:tc>
              <w:tc>
                <w:tcPr>
                  <w:tcW w:w="1275" w:type="dxa"/>
                  <w:tcBorders>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±0.0005</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203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YQ21080302402010</w:t>
                  </w:r>
                </w:p>
              </w:tc>
              <w:tc>
                <w:tcPr>
                  <w:tcW w:w="104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13.84670</w:t>
                  </w:r>
                </w:p>
              </w:tc>
              <w:tc>
                <w:tcPr>
                  <w:tcW w:w="101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13.84680</w:t>
                  </w:r>
                </w:p>
              </w:tc>
              <w:tc>
                <w:tcPr>
                  <w:tcW w:w="1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0.00010</w:t>
                  </w:r>
                </w:p>
              </w:tc>
              <w:tc>
                <w:tcPr>
                  <w:tcW w:w="1275" w:type="dxa"/>
                  <w:tcBorders>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±0.0005</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6"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203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YQ21080402402040</w:t>
                  </w:r>
                </w:p>
              </w:tc>
              <w:tc>
                <w:tcPr>
                  <w:tcW w:w="104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13.94182</w:t>
                  </w:r>
                </w:p>
              </w:tc>
              <w:tc>
                <w:tcPr>
                  <w:tcW w:w="101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13.94194</w:t>
                  </w:r>
                </w:p>
              </w:tc>
              <w:tc>
                <w:tcPr>
                  <w:tcW w:w="1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0.00012</w:t>
                  </w:r>
                </w:p>
              </w:tc>
              <w:tc>
                <w:tcPr>
                  <w:tcW w:w="1275" w:type="dxa"/>
                  <w:tcBorders>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±0.0005</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合格</w:t>
                  </w:r>
                </w:p>
              </w:tc>
            </w:tr>
          </w:tbl>
          <w:p>
            <w:pPr>
              <w:pStyle w:val="32"/>
              <w:spacing w:line="276" w:lineRule="auto"/>
              <w:jc w:val="center"/>
              <w:rPr>
                <w:sz w:val="24"/>
                <w:szCs w:val="24"/>
              </w:rPr>
            </w:pPr>
          </w:p>
          <w:p>
            <w:pPr>
              <w:pStyle w:val="32"/>
              <w:spacing w:line="276" w:lineRule="auto"/>
              <w:jc w:val="center"/>
              <w:rPr>
                <w:sz w:val="24"/>
                <w:szCs w:val="24"/>
              </w:rPr>
            </w:pPr>
          </w:p>
          <w:p>
            <w:pPr>
              <w:pStyle w:val="32"/>
              <w:spacing w:line="276" w:lineRule="auto"/>
              <w:jc w:val="center"/>
              <w:rPr>
                <w:sz w:val="24"/>
                <w:szCs w:val="24"/>
              </w:rPr>
            </w:pPr>
          </w:p>
          <w:p>
            <w:pPr>
              <w:pStyle w:val="32"/>
              <w:spacing w:line="276" w:lineRule="auto"/>
              <w:jc w:val="center"/>
              <w:rPr>
                <w:sz w:val="24"/>
                <w:szCs w:val="24"/>
              </w:rPr>
            </w:pPr>
          </w:p>
          <w:p>
            <w:pPr>
              <w:pStyle w:val="32"/>
              <w:spacing w:line="276" w:lineRule="auto"/>
              <w:jc w:val="center"/>
              <w:rPr>
                <w:sz w:val="24"/>
                <w:szCs w:val="24"/>
              </w:rPr>
            </w:pPr>
          </w:p>
          <w:p>
            <w:pPr>
              <w:pStyle w:val="32"/>
              <w:spacing w:line="276" w:lineRule="auto"/>
              <w:jc w:val="center"/>
              <w:rPr>
                <w:sz w:val="24"/>
                <w:szCs w:val="24"/>
              </w:rPr>
            </w:pPr>
            <w:r>
              <w:rPr>
                <w:sz w:val="24"/>
                <w:szCs w:val="24"/>
              </w:rPr>
              <w:t>表</w:t>
            </w:r>
            <w:r>
              <w:rPr>
                <w:rFonts w:hint="eastAsia"/>
                <w:sz w:val="24"/>
                <w:szCs w:val="24"/>
              </w:rPr>
              <w:t>20</w:t>
            </w:r>
            <w:r>
              <w:rPr>
                <w:sz w:val="24"/>
                <w:szCs w:val="24"/>
              </w:rPr>
              <w:t xml:space="preserve">  氨质量控制一览表</w:t>
            </w:r>
          </w:p>
          <w:tbl>
            <w:tblPr>
              <w:tblStyle w:val="21"/>
              <w:tblW w:w="8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990"/>
              <w:gridCol w:w="1187"/>
              <w:gridCol w:w="862"/>
              <w:gridCol w:w="951"/>
              <w:gridCol w:w="1117"/>
              <w:gridCol w:w="1117"/>
              <w:gridCol w:w="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3" w:type="dxa"/>
                  <w:tcBorders>
                    <w:top w:val="single" w:color="auto" w:sz="4" w:space="0"/>
                  </w:tcBorders>
                  <w:vAlign w:val="center"/>
                </w:tcPr>
                <w:p>
                  <w:pPr>
                    <w:spacing w:line="276" w:lineRule="auto"/>
                    <w:jc w:val="center"/>
                    <w:rPr>
                      <w:rFonts w:ascii="Times New Roman" w:hAnsi="Times New Roman" w:cs="Times New Roman"/>
                      <w:b/>
                    </w:rPr>
                  </w:pPr>
                  <w:bookmarkStart w:id="26" w:name="_Hlk68086491"/>
                  <w:r>
                    <w:rPr>
                      <w:rFonts w:ascii="Times New Roman" w:hAnsi="Times New Roman" w:cs="Times New Roman"/>
                      <w:b/>
                    </w:rPr>
                    <w:t>监测</w:t>
                  </w:r>
                </w:p>
                <w:p>
                  <w:pPr>
                    <w:spacing w:line="276" w:lineRule="auto"/>
                    <w:jc w:val="center"/>
                    <w:rPr>
                      <w:rFonts w:ascii="Times New Roman" w:hAnsi="Times New Roman" w:cs="Times New Roman"/>
                      <w:b/>
                    </w:rPr>
                  </w:pPr>
                  <w:r>
                    <w:rPr>
                      <w:rFonts w:ascii="Times New Roman" w:hAnsi="Times New Roman" w:cs="Times New Roman"/>
                      <w:b/>
                    </w:rPr>
                    <w:t>项目</w:t>
                  </w:r>
                </w:p>
              </w:tc>
              <w:tc>
                <w:tcPr>
                  <w:tcW w:w="1990" w:type="dxa"/>
                  <w:tcBorders>
                    <w:left w:val="nil"/>
                  </w:tcBorders>
                  <w:vAlign w:val="center"/>
                </w:tcPr>
                <w:p>
                  <w:pPr>
                    <w:spacing w:line="276" w:lineRule="auto"/>
                    <w:jc w:val="center"/>
                    <w:rPr>
                      <w:rFonts w:ascii="Times New Roman" w:hAnsi="Times New Roman" w:cs="Times New Roman"/>
                      <w:b/>
                    </w:rPr>
                  </w:pPr>
                  <w:r>
                    <w:rPr>
                      <w:rFonts w:ascii="Times New Roman" w:hAnsi="Times New Roman" w:cs="Times New Roman"/>
                      <w:b/>
                    </w:rPr>
                    <w:t>空白样品编号</w:t>
                  </w:r>
                </w:p>
              </w:tc>
              <w:tc>
                <w:tcPr>
                  <w:tcW w:w="1187" w:type="dxa"/>
                  <w:tcBorders>
                    <w:left w:val="nil"/>
                  </w:tcBorders>
                  <w:vAlign w:val="center"/>
                </w:tcPr>
                <w:p>
                  <w:pPr>
                    <w:spacing w:line="276" w:lineRule="auto"/>
                    <w:jc w:val="center"/>
                    <w:rPr>
                      <w:rFonts w:ascii="Times New Roman" w:hAnsi="Times New Roman" w:cs="Times New Roman"/>
                      <w:b/>
                    </w:rPr>
                  </w:pPr>
                  <w:r>
                    <w:rPr>
                      <w:rFonts w:ascii="Times New Roman" w:hAnsi="Times New Roman" w:cs="Times New Roman"/>
                      <w:b/>
                    </w:rPr>
                    <w:t>空白样品测定值</w:t>
                  </w:r>
                </w:p>
                <w:p>
                  <w:pPr>
                    <w:spacing w:line="276" w:lineRule="auto"/>
                    <w:jc w:val="center"/>
                    <w:rPr>
                      <w:rFonts w:ascii="Times New Roman" w:hAnsi="Times New Roman" w:cs="Times New Roman"/>
                      <w:b/>
                    </w:rPr>
                  </w:pPr>
                  <w:r>
                    <w:rPr>
                      <w:rFonts w:ascii="Times New Roman" w:hAnsi="Times New Roman" w:cs="Times New Roman"/>
                      <w:b/>
                    </w:rPr>
                    <w:t>（μg）</w:t>
                  </w:r>
                </w:p>
              </w:tc>
              <w:tc>
                <w:tcPr>
                  <w:tcW w:w="862"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最低检出含量</w:t>
                  </w:r>
                </w:p>
                <w:p>
                  <w:pPr>
                    <w:spacing w:line="276" w:lineRule="auto"/>
                    <w:jc w:val="center"/>
                    <w:rPr>
                      <w:rFonts w:ascii="Times New Roman" w:hAnsi="Times New Roman" w:cs="Times New Roman"/>
                      <w:b/>
                    </w:rPr>
                  </w:pPr>
                  <w:r>
                    <w:rPr>
                      <w:rFonts w:ascii="Times New Roman" w:hAnsi="Times New Roman" w:cs="Times New Roman"/>
                      <w:b/>
                    </w:rPr>
                    <w:t>（μg）</w:t>
                  </w:r>
                </w:p>
              </w:tc>
              <w:tc>
                <w:tcPr>
                  <w:tcW w:w="951"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质控样编号</w:t>
                  </w:r>
                </w:p>
              </w:tc>
              <w:tc>
                <w:tcPr>
                  <w:tcW w:w="1117"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测定值</w:t>
                  </w:r>
                </w:p>
                <w:p>
                  <w:pPr>
                    <w:spacing w:line="276" w:lineRule="auto"/>
                    <w:jc w:val="center"/>
                    <w:rPr>
                      <w:rFonts w:ascii="Times New Roman" w:hAnsi="Times New Roman" w:cs="Times New Roman"/>
                      <w:b/>
                    </w:rPr>
                  </w:pPr>
                  <w:r>
                    <w:rPr>
                      <w:rFonts w:ascii="Times New Roman" w:hAnsi="Times New Roman" w:cs="Times New Roman"/>
                      <w:b/>
                    </w:rPr>
                    <w:t>（mg/L）</w:t>
                  </w:r>
                </w:p>
              </w:tc>
              <w:tc>
                <w:tcPr>
                  <w:tcW w:w="1117"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保证值</w:t>
                  </w:r>
                </w:p>
                <w:p>
                  <w:pPr>
                    <w:spacing w:line="276" w:lineRule="auto"/>
                    <w:jc w:val="center"/>
                    <w:rPr>
                      <w:rFonts w:ascii="Times New Roman" w:hAnsi="Times New Roman" w:cs="Times New Roman"/>
                      <w:b/>
                    </w:rPr>
                  </w:pPr>
                  <w:r>
                    <w:rPr>
                      <w:rFonts w:ascii="Times New Roman" w:hAnsi="Times New Roman" w:cs="Times New Roman"/>
                      <w:b/>
                    </w:rPr>
                    <w:t>（mg/L）</w:t>
                  </w:r>
                </w:p>
              </w:tc>
              <w:tc>
                <w:tcPr>
                  <w:tcW w:w="742"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结果</w:t>
                  </w:r>
                </w:p>
                <w:p>
                  <w:pPr>
                    <w:spacing w:line="276" w:lineRule="auto"/>
                    <w:jc w:val="center"/>
                    <w:rPr>
                      <w:rFonts w:ascii="Times New Roman" w:hAnsi="Times New Roman" w:cs="Times New Roman"/>
                      <w:b/>
                    </w:rPr>
                  </w:pPr>
                  <w:r>
                    <w:rPr>
                      <w:rFonts w:ascii="Times New Roman" w:hAnsi="Times New Roman" w:cs="Times New Roman"/>
                      <w:b/>
                    </w:rPr>
                    <w:t>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3" w:type="dxa"/>
                  <w:vMerge w:val="restart"/>
                  <w:vAlign w:val="center"/>
                </w:tcPr>
                <w:p>
                  <w:pPr>
                    <w:spacing w:line="276" w:lineRule="auto"/>
                    <w:jc w:val="center"/>
                    <w:rPr>
                      <w:rFonts w:ascii="Times New Roman" w:hAnsi="Times New Roman" w:cs="Times New Roman"/>
                    </w:rPr>
                  </w:pPr>
                  <w:bookmarkStart w:id="27" w:name="_Hlk68089196"/>
                  <w:r>
                    <w:rPr>
                      <w:rFonts w:ascii="Times New Roman" w:hAnsi="Times New Roman" w:cs="Times New Roman"/>
                    </w:rPr>
                    <w:t>氨</w:t>
                  </w:r>
                </w:p>
              </w:tc>
              <w:tc>
                <w:tcPr>
                  <w:tcW w:w="1990" w:type="dxa"/>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YQ20108030241504</w:t>
                  </w:r>
                </w:p>
              </w:tc>
              <w:tc>
                <w:tcPr>
                  <w:tcW w:w="1187" w:type="dxa"/>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0.407</w:t>
                  </w:r>
                </w:p>
              </w:tc>
              <w:tc>
                <w:tcPr>
                  <w:tcW w:w="862"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2.5</w:t>
                  </w:r>
                </w:p>
              </w:tc>
              <w:tc>
                <w:tcPr>
                  <w:tcW w:w="951"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2005149</w:t>
                  </w:r>
                </w:p>
              </w:tc>
              <w:tc>
                <w:tcPr>
                  <w:tcW w:w="1117"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5.11</w:t>
                  </w:r>
                </w:p>
              </w:tc>
              <w:tc>
                <w:tcPr>
                  <w:tcW w:w="1117"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5.23±0.25</w:t>
                  </w:r>
                </w:p>
              </w:tc>
              <w:tc>
                <w:tcPr>
                  <w:tcW w:w="742"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3" w:type="dxa"/>
                  <w:vMerge w:val="continue"/>
                  <w:vAlign w:val="center"/>
                </w:tcPr>
                <w:p>
                  <w:pPr>
                    <w:spacing w:line="276" w:lineRule="auto"/>
                    <w:jc w:val="center"/>
                    <w:rPr>
                      <w:rFonts w:ascii="Times New Roman" w:hAnsi="Times New Roman" w:cs="Times New Roman"/>
                    </w:rPr>
                  </w:pPr>
                </w:p>
              </w:tc>
              <w:tc>
                <w:tcPr>
                  <w:tcW w:w="1990" w:type="dxa"/>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YQ20108030241505</w:t>
                  </w:r>
                </w:p>
              </w:tc>
              <w:tc>
                <w:tcPr>
                  <w:tcW w:w="1187" w:type="dxa"/>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0.291</w:t>
                  </w:r>
                </w:p>
              </w:tc>
              <w:tc>
                <w:tcPr>
                  <w:tcW w:w="862" w:type="dxa"/>
                  <w:vMerge w:val="continue"/>
                  <w:vAlign w:val="center"/>
                </w:tcPr>
                <w:p>
                  <w:pPr>
                    <w:spacing w:line="276" w:lineRule="auto"/>
                    <w:jc w:val="center"/>
                    <w:rPr>
                      <w:rFonts w:ascii="Times New Roman" w:hAnsi="Times New Roman" w:cs="Times New Roman"/>
                    </w:rPr>
                  </w:pPr>
                </w:p>
              </w:tc>
              <w:tc>
                <w:tcPr>
                  <w:tcW w:w="951" w:type="dxa"/>
                  <w:vMerge w:val="continue"/>
                  <w:vAlign w:val="center"/>
                </w:tcPr>
                <w:p>
                  <w:pPr>
                    <w:spacing w:line="276" w:lineRule="auto"/>
                    <w:jc w:val="center"/>
                    <w:rPr>
                      <w:rFonts w:ascii="Times New Roman" w:hAnsi="Times New Roman" w:cs="Times New Roman"/>
                    </w:rPr>
                  </w:pPr>
                </w:p>
              </w:tc>
              <w:tc>
                <w:tcPr>
                  <w:tcW w:w="1117" w:type="dxa"/>
                  <w:vMerge w:val="continue"/>
                  <w:vAlign w:val="center"/>
                </w:tcPr>
                <w:p>
                  <w:pPr>
                    <w:spacing w:line="276" w:lineRule="auto"/>
                    <w:jc w:val="center"/>
                    <w:rPr>
                      <w:rFonts w:ascii="Times New Roman" w:hAnsi="Times New Roman" w:cs="Times New Roman"/>
                    </w:rPr>
                  </w:pPr>
                </w:p>
              </w:tc>
              <w:tc>
                <w:tcPr>
                  <w:tcW w:w="1117" w:type="dxa"/>
                  <w:vMerge w:val="continue"/>
                  <w:vAlign w:val="center"/>
                </w:tcPr>
                <w:p>
                  <w:pPr>
                    <w:spacing w:line="276" w:lineRule="auto"/>
                    <w:jc w:val="center"/>
                    <w:rPr>
                      <w:rFonts w:ascii="Times New Roman" w:hAnsi="Times New Roman" w:cs="Times New Roman"/>
                    </w:rPr>
                  </w:pPr>
                </w:p>
              </w:tc>
              <w:tc>
                <w:tcPr>
                  <w:tcW w:w="742"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3" w:type="dxa"/>
                  <w:vMerge w:val="continue"/>
                  <w:vAlign w:val="center"/>
                </w:tcPr>
                <w:p>
                  <w:pPr>
                    <w:spacing w:line="276" w:lineRule="auto"/>
                    <w:jc w:val="center"/>
                    <w:rPr>
                      <w:rFonts w:ascii="Times New Roman" w:hAnsi="Times New Roman" w:cs="Times New Roman"/>
                    </w:rPr>
                  </w:pPr>
                </w:p>
              </w:tc>
              <w:tc>
                <w:tcPr>
                  <w:tcW w:w="1990" w:type="dxa"/>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YQ20108040241504</w:t>
                  </w:r>
                </w:p>
              </w:tc>
              <w:tc>
                <w:tcPr>
                  <w:tcW w:w="1187" w:type="dxa"/>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0.116</w:t>
                  </w:r>
                </w:p>
              </w:tc>
              <w:tc>
                <w:tcPr>
                  <w:tcW w:w="862" w:type="dxa"/>
                  <w:vMerge w:val="continue"/>
                  <w:vAlign w:val="center"/>
                </w:tcPr>
                <w:p>
                  <w:pPr>
                    <w:spacing w:line="276" w:lineRule="auto"/>
                    <w:jc w:val="center"/>
                    <w:rPr>
                      <w:rFonts w:ascii="Times New Roman" w:hAnsi="Times New Roman" w:cs="Times New Roman"/>
                    </w:rPr>
                  </w:pPr>
                </w:p>
              </w:tc>
              <w:tc>
                <w:tcPr>
                  <w:tcW w:w="951" w:type="dxa"/>
                  <w:vMerge w:val="continue"/>
                  <w:vAlign w:val="center"/>
                </w:tcPr>
                <w:p>
                  <w:pPr>
                    <w:spacing w:line="276" w:lineRule="auto"/>
                    <w:jc w:val="center"/>
                    <w:rPr>
                      <w:rFonts w:ascii="Times New Roman" w:hAnsi="Times New Roman" w:cs="Times New Roman"/>
                    </w:rPr>
                  </w:pPr>
                </w:p>
              </w:tc>
              <w:tc>
                <w:tcPr>
                  <w:tcW w:w="1117" w:type="dxa"/>
                  <w:vMerge w:val="continue"/>
                  <w:vAlign w:val="center"/>
                </w:tcPr>
                <w:p>
                  <w:pPr>
                    <w:spacing w:line="276" w:lineRule="auto"/>
                    <w:jc w:val="center"/>
                    <w:rPr>
                      <w:rFonts w:ascii="Times New Roman" w:hAnsi="Times New Roman" w:cs="Times New Roman"/>
                    </w:rPr>
                  </w:pPr>
                </w:p>
              </w:tc>
              <w:tc>
                <w:tcPr>
                  <w:tcW w:w="1117" w:type="dxa"/>
                  <w:vMerge w:val="continue"/>
                  <w:vAlign w:val="center"/>
                </w:tcPr>
                <w:p>
                  <w:pPr>
                    <w:spacing w:line="276" w:lineRule="auto"/>
                    <w:jc w:val="center"/>
                    <w:rPr>
                      <w:rFonts w:ascii="Times New Roman" w:hAnsi="Times New Roman" w:cs="Times New Roman"/>
                    </w:rPr>
                  </w:pPr>
                </w:p>
              </w:tc>
              <w:tc>
                <w:tcPr>
                  <w:tcW w:w="742" w:type="dxa"/>
                  <w:vMerge w:val="continue"/>
                  <w:vAlign w:val="center"/>
                </w:tcPr>
                <w:p>
                  <w:pPr>
                    <w:spacing w:line="276" w:lineRule="auto"/>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3" w:type="dxa"/>
                  <w:vMerge w:val="continue"/>
                  <w:vAlign w:val="center"/>
                </w:tcPr>
                <w:p>
                  <w:pPr>
                    <w:spacing w:line="276" w:lineRule="auto"/>
                    <w:jc w:val="center"/>
                    <w:rPr>
                      <w:rFonts w:ascii="Times New Roman" w:hAnsi="Times New Roman" w:cs="Times New Roman"/>
                    </w:rPr>
                  </w:pPr>
                </w:p>
              </w:tc>
              <w:tc>
                <w:tcPr>
                  <w:tcW w:w="1990" w:type="dxa"/>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YQ20108040241505</w:t>
                  </w:r>
                </w:p>
              </w:tc>
              <w:tc>
                <w:tcPr>
                  <w:tcW w:w="1187" w:type="dxa"/>
                  <w:tcBorders>
                    <w:left w:val="nil"/>
                  </w:tcBorders>
                  <w:vAlign w:val="center"/>
                </w:tcPr>
                <w:p>
                  <w:pPr>
                    <w:spacing w:line="276" w:lineRule="auto"/>
                    <w:jc w:val="center"/>
                    <w:rPr>
                      <w:rFonts w:ascii="Times New Roman" w:hAnsi="Times New Roman" w:cs="Times New Roman"/>
                    </w:rPr>
                  </w:pPr>
                  <w:r>
                    <w:rPr>
                      <w:rFonts w:ascii="Times New Roman" w:hAnsi="Times New Roman" w:cs="Times New Roman"/>
                    </w:rPr>
                    <w:t>0.174</w:t>
                  </w:r>
                </w:p>
              </w:tc>
              <w:tc>
                <w:tcPr>
                  <w:tcW w:w="862" w:type="dxa"/>
                  <w:vMerge w:val="continue"/>
                  <w:vAlign w:val="center"/>
                </w:tcPr>
                <w:p>
                  <w:pPr>
                    <w:spacing w:line="276" w:lineRule="auto"/>
                    <w:jc w:val="center"/>
                    <w:rPr>
                      <w:rFonts w:ascii="Times New Roman" w:hAnsi="Times New Roman" w:cs="Times New Roman"/>
                    </w:rPr>
                  </w:pPr>
                </w:p>
              </w:tc>
              <w:tc>
                <w:tcPr>
                  <w:tcW w:w="951" w:type="dxa"/>
                  <w:vMerge w:val="continue"/>
                  <w:vAlign w:val="center"/>
                </w:tcPr>
                <w:p>
                  <w:pPr>
                    <w:spacing w:line="276" w:lineRule="auto"/>
                    <w:jc w:val="center"/>
                    <w:rPr>
                      <w:rFonts w:ascii="Times New Roman" w:hAnsi="Times New Roman" w:cs="Times New Roman"/>
                    </w:rPr>
                  </w:pPr>
                </w:p>
              </w:tc>
              <w:tc>
                <w:tcPr>
                  <w:tcW w:w="1117" w:type="dxa"/>
                  <w:vMerge w:val="continue"/>
                  <w:vAlign w:val="center"/>
                </w:tcPr>
                <w:p>
                  <w:pPr>
                    <w:spacing w:line="276" w:lineRule="auto"/>
                    <w:jc w:val="center"/>
                    <w:rPr>
                      <w:rFonts w:ascii="Times New Roman" w:hAnsi="Times New Roman" w:cs="Times New Roman"/>
                    </w:rPr>
                  </w:pPr>
                </w:p>
              </w:tc>
              <w:tc>
                <w:tcPr>
                  <w:tcW w:w="1117" w:type="dxa"/>
                  <w:vMerge w:val="continue"/>
                  <w:vAlign w:val="center"/>
                </w:tcPr>
                <w:p>
                  <w:pPr>
                    <w:spacing w:line="276" w:lineRule="auto"/>
                    <w:jc w:val="center"/>
                    <w:rPr>
                      <w:rFonts w:ascii="Times New Roman" w:hAnsi="Times New Roman" w:cs="Times New Roman"/>
                    </w:rPr>
                  </w:pPr>
                </w:p>
              </w:tc>
              <w:tc>
                <w:tcPr>
                  <w:tcW w:w="742" w:type="dxa"/>
                  <w:vMerge w:val="continue"/>
                  <w:vAlign w:val="center"/>
                </w:tcPr>
                <w:p>
                  <w:pPr>
                    <w:spacing w:line="276" w:lineRule="auto"/>
                    <w:jc w:val="center"/>
                    <w:rPr>
                      <w:rFonts w:ascii="Times New Roman" w:hAnsi="Times New Roman" w:cs="Times New Roman"/>
                    </w:rPr>
                  </w:pPr>
                </w:p>
              </w:tc>
            </w:tr>
            <w:bookmarkEnd w:id="26"/>
            <w:bookmarkEnd w:id="27"/>
          </w:tbl>
          <w:p>
            <w:pPr>
              <w:pStyle w:val="32"/>
              <w:spacing w:line="276" w:lineRule="auto"/>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pPr>
          </w:p>
        </w:tc>
      </w:tr>
    </w:tbl>
    <w:p>
      <w:pPr>
        <w:pStyle w:val="4"/>
        <w:rPr>
          <w:rFonts w:ascii="Times New Roman" w:hAnsi="Times New Roman" w:cs="Times New Roman"/>
        </w:rPr>
        <w:sectPr>
          <w:pgSz w:w="11906" w:h="16838"/>
          <w:pgMar w:top="1440" w:right="1800" w:bottom="1440" w:left="1800" w:header="708" w:footer="708" w:gutter="0"/>
          <w:cols w:space="720" w:num="1"/>
          <w:docGrid w:linePitch="360" w:charSpace="0"/>
        </w:sectPr>
      </w:pPr>
    </w:p>
    <w:p>
      <w:pPr>
        <w:pStyle w:val="4"/>
        <w:rPr>
          <w:rFonts w:ascii="Times New Roman" w:hAnsi="Times New Roman" w:cs="Times New Roman"/>
        </w:rPr>
      </w:pPr>
      <w:bookmarkStart w:id="28" w:name="_Toc86072630"/>
      <w:r>
        <w:rPr>
          <w:rFonts w:ascii="Times New Roman" w:hAnsi="Times New Roman" w:cs="Times New Roman"/>
        </w:rPr>
        <w:t>表六  验收监测内容</w:t>
      </w:r>
      <w:bookmarkEnd w:id="28"/>
    </w:p>
    <w:tbl>
      <w:tblPr>
        <w:tblStyle w:val="21"/>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87"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2"/>
              <w:rPr>
                <w:b/>
                <w:bCs/>
                <w:sz w:val="24"/>
                <w:szCs w:val="24"/>
              </w:rPr>
            </w:pPr>
            <w:r>
              <w:rPr>
                <w:b/>
                <w:bCs/>
                <w:sz w:val="24"/>
                <w:szCs w:val="24"/>
              </w:rPr>
              <w:t>一、废气监测</w:t>
            </w:r>
          </w:p>
          <w:p>
            <w:pPr>
              <w:pStyle w:val="32"/>
              <w:ind w:firstLine="480" w:firstLineChars="200"/>
              <w:rPr>
                <w:sz w:val="24"/>
                <w:szCs w:val="24"/>
              </w:rPr>
            </w:pPr>
            <w:r>
              <w:rPr>
                <w:sz w:val="24"/>
                <w:szCs w:val="24"/>
              </w:rPr>
              <w:t>本项目锅炉烟气分别经过脱硝系统（低氮燃烧器+烟气再循环+SCR脱硝）和脱硫系统（石灰石－石膏湿法脱硫）处理后，经60m高烟囱排放。</w:t>
            </w:r>
          </w:p>
          <w:p>
            <w:pPr>
              <w:pStyle w:val="32"/>
              <w:ind w:firstLine="480" w:firstLineChars="200"/>
              <w:rPr>
                <w:sz w:val="24"/>
                <w:szCs w:val="24"/>
              </w:rPr>
            </w:pPr>
            <w:r>
              <w:rPr>
                <w:sz w:val="24"/>
                <w:szCs w:val="24"/>
              </w:rPr>
              <w:t>1、有组织废气监测内容</w:t>
            </w:r>
          </w:p>
          <w:p>
            <w:pPr>
              <w:pStyle w:val="32"/>
              <w:ind w:firstLine="480" w:firstLineChars="200"/>
              <w:rPr>
                <w:sz w:val="24"/>
                <w:szCs w:val="24"/>
              </w:rPr>
            </w:pPr>
            <w:r>
              <w:rPr>
                <w:sz w:val="24"/>
                <w:szCs w:val="24"/>
              </w:rPr>
              <w:t>本次分别对脱硝系统进口，脱硫系统进、出口的颗粒物、二氧化硫、氮氧化物浓度进行监测，并对出口氨逃逸进行监测。监测频率及要求见下表。</w:t>
            </w:r>
          </w:p>
          <w:p>
            <w:pPr>
              <w:pStyle w:val="32"/>
              <w:jc w:val="center"/>
              <w:rPr>
                <w:sz w:val="24"/>
                <w:szCs w:val="24"/>
              </w:rPr>
            </w:pPr>
            <w:r>
              <w:rPr>
                <w:sz w:val="24"/>
                <w:szCs w:val="24"/>
              </w:rPr>
              <w:t>表2</w:t>
            </w:r>
            <w:r>
              <w:rPr>
                <w:rFonts w:hint="eastAsia"/>
                <w:sz w:val="24"/>
                <w:szCs w:val="24"/>
              </w:rPr>
              <w:t>1</w:t>
            </w:r>
            <w:r>
              <w:rPr>
                <w:sz w:val="24"/>
                <w:szCs w:val="24"/>
              </w:rPr>
              <w:t xml:space="preserve">  废气监测内容一览表</w:t>
            </w:r>
          </w:p>
          <w:tbl>
            <w:tblPr>
              <w:tblStyle w:val="21"/>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90"/>
              <w:gridCol w:w="1075"/>
              <w:gridCol w:w="1122"/>
              <w:gridCol w:w="1122"/>
              <w:gridCol w:w="701"/>
              <w:gridCol w:w="2155"/>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590" w:type="dxa"/>
                  <w:vAlign w:val="center"/>
                </w:tcPr>
                <w:p>
                  <w:pPr>
                    <w:spacing w:line="276" w:lineRule="auto"/>
                    <w:jc w:val="center"/>
                    <w:rPr>
                      <w:rFonts w:ascii="Times New Roman" w:hAnsi="Times New Roman" w:cs="Times New Roman"/>
                      <w:b/>
                    </w:rPr>
                  </w:pPr>
                  <w:r>
                    <w:rPr>
                      <w:rFonts w:ascii="Times New Roman" w:hAnsi="Times New Roman" w:cs="Times New Roman"/>
                      <w:b/>
                    </w:rPr>
                    <w:t>类别</w:t>
                  </w:r>
                </w:p>
              </w:tc>
              <w:tc>
                <w:tcPr>
                  <w:tcW w:w="1075" w:type="dxa"/>
                  <w:vAlign w:val="center"/>
                </w:tcPr>
                <w:p>
                  <w:pPr>
                    <w:spacing w:line="276" w:lineRule="auto"/>
                    <w:jc w:val="center"/>
                    <w:rPr>
                      <w:rFonts w:ascii="Times New Roman" w:hAnsi="Times New Roman" w:cs="Times New Roman"/>
                      <w:b/>
                    </w:rPr>
                  </w:pPr>
                  <w:r>
                    <w:rPr>
                      <w:rFonts w:ascii="Times New Roman" w:hAnsi="Times New Roman" w:cs="Times New Roman"/>
                      <w:b/>
                    </w:rPr>
                    <w:t>污染源</w:t>
                  </w:r>
                </w:p>
                <w:p>
                  <w:pPr>
                    <w:spacing w:line="276" w:lineRule="auto"/>
                    <w:jc w:val="center"/>
                    <w:rPr>
                      <w:rFonts w:ascii="Times New Roman" w:hAnsi="Times New Roman" w:cs="Times New Roman"/>
                      <w:b/>
                    </w:rPr>
                  </w:pPr>
                  <w:r>
                    <w:rPr>
                      <w:rFonts w:ascii="Times New Roman" w:hAnsi="Times New Roman" w:cs="Times New Roman"/>
                      <w:b/>
                    </w:rPr>
                    <w:t>名称</w:t>
                  </w:r>
                </w:p>
              </w:tc>
              <w:tc>
                <w:tcPr>
                  <w:tcW w:w="1122" w:type="dxa"/>
                  <w:vAlign w:val="center"/>
                </w:tcPr>
                <w:p>
                  <w:pPr>
                    <w:spacing w:line="276" w:lineRule="auto"/>
                    <w:jc w:val="center"/>
                    <w:rPr>
                      <w:rFonts w:ascii="Times New Roman" w:hAnsi="Times New Roman" w:cs="Times New Roman"/>
                      <w:b/>
                    </w:rPr>
                  </w:pPr>
                  <w:r>
                    <w:rPr>
                      <w:rFonts w:ascii="Times New Roman" w:hAnsi="Times New Roman" w:cs="Times New Roman"/>
                      <w:b/>
                    </w:rPr>
                    <w:t>环保</w:t>
                  </w:r>
                </w:p>
                <w:p>
                  <w:pPr>
                    <w:spacing w:line="276" w:lineRule="auto"/>
                    <w:jc w:val="center"/>
                    <w:rPr>
                      <w:rFonts w:ascii="Times New Roman" w:hAnsi="Times New Roman" w:cs="Times New Roman"/>
                      <w:b/>
                    </w:rPr>
                  </w:pPr>
                  <w:r>
                    <w:rPr>
                      <w:rFonts w:ascii="Times New Roman" w:hAnsi="Times New Roman" w:cs="Times New Roman"/>
                      <w:b/>
                    </w:rPr>
                    <w:t>设施</w:t>
                  </w:r>
                </w:p>
              </w:tc>
              <w:tc>
                <w:tcPr>
                  <w:tcW w:w="1122" w:type="dxa"/>
                  <w:vAlign w:val="center"/>
                </w:tcPr>
                <w:p>
                  <w:pPr>
                    <w:spacing w:line="276" w:lineRule="auto"/>
                    <w:jc w:val="center"/>
                    <w:rPr>
                      <w:rFonts w:ascii="Times New Roman" w:hAnsi="Times New Roman" w:cs="Times New Roman"/>
                      <w:b/>
                    </w:rPr>
                  </w:pPr>
                  <w:r>
                    <w:rPr>
                      <w:rFonts w:ascii="Times New Roman" w:hAnsi="Times New Roman" w:cs="Times New Roman"/>
                      <w:b/>
                    </w:rPr>
                    <w:t>监测</w:t>
                  </w:r>
                </w:p>
                <w:p>
                  <w:pPr>
                    <w:spacing w:line="276" w:lineRule="auto"/>
                    <w:jc w:val="center"/>
                    <w:rPr>
                      <w:rFonts w:ascii="Times New Roman" w:hAnsi="Times New Roman" w:cs="Times New Roman"/>
                      <w:b/>
                    </w:rPr>
                  </w:pPr>
                  <w:r>
                    <w:rPr>
                      <w:rFonts w:ascii="Times New Roman" w:hAnsi="Times New Roman" w:cs="Times New Roman"/>
                      <w:b/>
                    </w:rPr>
                    <w:t>点位</w:t>
                  </w:r>
                </w:p>
              </w:tc>
              <w:tc>
                <w:tcPr>
                  <w:tcW w:w="701" w:type="dxa"/>
                  <w:vAlign w:val="center"/>
                </w:tcPr>
                <w:p>
                  <w:pPr>
                    <w:spacing w:line="276" w:lineRule="auto"/>
                    <w:jc w:val="center"/>
                    <w:rPr>
                      <w:rFonts w:ascii="Times New Roman" w:hAnsi="Times New Roman" w:cs="Times New Roman"/>
                      <w:b/>
                    </w:rPr>
                  </w:pPr>
                  <w:r>
                    <w:rPr>
                      <w:rFonts w:ascii="Times New Roman" w:hAnsi="Times New Roman" w:cs="Times New Roman"/>
                      <w:b/>
                    </w:rPr>
                    <w:t>测点</w:t>
                  </w:r>
                </w:p>
                <w:p>
                  <w:pPr>
                    <w:spacing w:line="276" w:lineRule="auto"/>
                    <w:jc w:val="center"/>
                    <w:rPr>
                      <w:rFonts w:ascii="Times New Roman" w:hAnsi="Times New Roman" w:cs="Times New Roman"/>
                      <w:b/>
                    </w:rPr>
                  </w:pPr>
                  <w:r>
                    <w:rPr>
                      <w:rFonts w:ascii="Times New Roman" w:hAnsi="Times New Roman" w:cs="Times New Roman"/>
                      <w:b/>
                    </w:rPr>
                    <w:t>个数</w:t>
                  </w:r>
                </w:p>
              </w:tc>
              <w:tc>
                <w:tcPr>
                  <w:tcW w:w="2155" w:type="dxa"/>
                  <w:vAlign w:val="center"/>
                </w:tcPr>
                <w:p>
                  <w:pPr>
                    <w:spacing w:line="276" w:lineRule="auto"/>
                    <w:jc w:val="center"/>
                    <w:rPr>
                      <w:rFonts w:ascii="Times New Roman" w:hAnsi="Times New Roman" w:cs="Times New Roman"/>
                      <w:b/>
                    </w:rPr>
                  </w:pPr>
                  <w:r>
                    <w:rPr>
                      <w:rFonts w:ascii="Times New Roman" w:hAnsi="Times New Roman" w:cs="Times New Roman"/>
                      <w:b/>
                    </w:rPr>
                    <w:t>监测项目及频次</w:t>
                  </w:r>
                </w:p>
              </w:tc>
              <w:tc>
                <w:tcPr>
                  <w:tcW w:w="2080" w:type="dxa"/>
                  <w:vAlign w:val="center"/>
                </w:tcPr>
                <w:p>
                  <w:pPr>
                    <w:spacing w:line="276" w:lineRule="auto"/>
                    <w:jc w:val="center"/>
                    <w:rPr>
                      <w:rFonts w:ascii="Times New Roman" w:hAnsi="Times New Roman" w:cs="Times New Roman"/>
                      <w:b/>
                    </w:rPr>
                  </w:pPr>
                  <w:r>
                    <w:rPr>
                      <w:rFonts w:ascii="Times New Roman" w:hAnsi="Times New Roman" w:cs="Times New Roman"/>
                      <w:b/>
                    </w:rPr>
                    <w:t>负荷</w:t>
                  </w:r>
                </w:p>
                <w:p>
                  <w:pPr>
                    <w:spacing w:line="276" w:lineRule="auto"/>
                    <w:jc w:val="center"/>
                    <w:rPr>
                      <w:rFonts w:ascii="Times New Roman" w:hAnsi="Times New Roman" w:cs="Times New Roman"/>
                      <w:b/>
                    </w:rPr>
                  </w:pPr>
                  <w:r>
                    <w:rPr>
                      <w:rFonts w:ascii="Times New Roman" w:hAnsi="Times New Roman" w:cs="Times New Roman"/>
                      <w:b/>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590" w:type="dxa"/>
                  <w:vAlign w:val="center"/>
                </w:tcPr>
                <w:p>
                  <w:pPr>
                    <w:spacing w:line="276" w:lineRule="auto"/>
                    <w:jc w:val="center"/>
                    <w:rPr>
                      <w:rFonts w:ascii="Times New Roman" w:hAnsi="Times New Roman" w:cs="Times New Roman"/>
                      <w:bCs/>
                    </w:rPr>
                  </w:pPr>
                  <w:r>
                    <w:rPr>
                      <w:rFonts w:ascii="Times New Roman" w:hAnsi="Times New Roman" w:cs="Times New Roman"/>
                      <w:bCs/>
                    </w:rPr>
                    <w:t>有组织废气</w:t>
                  </w:r>
                </w:p>
              </w:tc>
              <w:tc>
                <w:tcPr>
                  <w:tcW w:w="1075" w:type="dxa"/>
                  <w:vAlign w:val="center"/>
                </w:tcPr>
                <w:p>
                  <w:pPr>
                    <w:spacing w:line="276" w:lineRule="auto"/>
                    <w:jc w:val="center"/>
                    <w:rPr>
                      <w:rFonts w:ascii="Times New Roman" w:hAnsi="Times New Roman" w:cs="Times New Roman"/>
                      <w:bCs/>
                    </w:rPr>
                  </w:pPr>
                  <w:r>
                    <w:rPr>
                      <w:rFonts w:ascii="Times New Roman" w:hAnsi="Times New Roman" w:cs="Times New Roman"/>
                      <w:bCs/>
                    </w:rPr>
                    <w:t>锅炉烟气</w:t>
                  </w:r>
                </w:p>
              </w:tc>
              <w:tc>
                <w:tcPr>
                  <w:tcW w:w="1122" w:type="dxa"/>
                  <w:vAlign w:val="center"/>
                </w:tcPr>
                <w:p>
                  <w:pPr>
                    <w:spacing w:line="276" w:lineRule="auto"/>
                    <w:jc w:val="center"/>
                    <w:rPr>
                      <w:rFonts w:ascii="Times New Roman" w:hAnsi="Times New Roman" w:cs="Times New Roman"/>
                      <w:bCs/>
                    </w:rPr>
                  </w:pPr>
                  <w:r>
                    <w:rPr>
                      <w:rFonts w:ascii="Times New Roman" w:hAnsi="Times New Roman" w:cs="Times New Roman"/>
                      <w:bCs/>
                    </w:rPr>
                    <w:t>低氮燃烧+ SCR脱硝，石灰-石膏湿式脱硫</w:t>
                  </w:r>
                </w:p>
              </w:tc>
              <w:tc>
                <w:tcPr>
                  <w:tcW w:w="1122" w:type="dxa"/>
                  <w:vAlign w:val="center"/>
                </w:tcPr>
                <w:p>
                  <w:pPr>
                    <w:spacing w:line="276" w:lineRule="auto"/>
                    <w:jc w:val="center"/>
                    <w:rPr>
                      <w:rFonts w:ascii="Times New Roman" w:hAnsi="Times New Roman" w:cs="Times New Roman"/>
                      <w:bCs/>
                    </w:rPr>
                  </w:pPr>
                  <w:r>
                    <w:rPr>
                      <w:rFonts w:ascii="Times New Roman" w:hAnsi="Times New Roman" w:cs="Times New Roman"/>
                      <w:bCs/>
                    </w:rPr>
                    <w:t>脱硝系统进口；脱硫系统进、出口。</w:t>
                  </w:r>
                </w:p>
              </w:tc>
              <w:tc>
                <w:tcPr>
                  <w:tcW w:w="701" w:type="dxa"/>
                  <w:vAlign w:val="center"/>
                </w:tcPr>
                <w:p>
                  <w:pPr>
                    <w:spacing w:line="276" w:lineRule="auto"/>
                    <w:jc w:val="center"/>
                    <w:rPr>
                      <w:rFonts w:ascii="Times New Roman" w:hAnsi="Times New Roman" w:cs="Times New Roman"/>
                      <w:bCs/>
                    </w:rPr>
                  </w:pPr>
                  <w:r>
                    <w:rPr>
                      <w:rFonts w:ascii="Times New Roman" w:hAnsi="Times New Roman" w:cs="Times New Roman"/>
                      <w:bCs/>
                    </w:rPr>
                    <w:t>3</w:t>
                  </w:r>
                </w:p>
              </w:tc>
              <w:tc>
                <w:tcPr>
                  <w:tcW w:w="2155" w:type="dxa"/>
                  <w:vAlign w:val="center"/>
                </w:tcPr>
                <w:p>
                  <w:pPr>
                    <w:spacing w:line="276" w:lineRule="auto"/>
                    <w:jc w:val="center"/>
                    <w:rPr>
                      <w:rFonts w:ascii="Times New Roman" w:hAnsi="Times New Roman" w:cs="Times New Roman"/>
                      <w:bCs/>
                    </w:rPr>
                  </w:pPr>
                  <w:r>
                    <w:rPr>
                      <w:rFonts w:ascii="Times New Roman" w:hAnsi="Times New Roman" w:cs="Times New Roman"/>
                      <w:bCs/>
                    </w:rPr>
                    <w:t>颗粒物、二氧化硫、氮氧化物排放浓度，出口氨逃逸，监测2天，每天采样3次</w:t>
                  </w:r>
                </w:p>
              </w:tc>
              <w:tc>
                <w:tcPr>
                  <w:tcW w:w="2080" w:type="dxa"/>
                  <w:vAlign w:val="center"/>
                </w:tcPr>
                <w:p>
                  <w:pPr>
                    <w:spacing w:line="276" w:lineRule="auto"/>
                    <w:jc w:val="center"/>
                    <w:rPr>
                      <w:rFonts w:ascii="Times New Roman" w:hAnsi="Times New Roman" w:cs="Times New Roman"/>
                      <w:bCs/>
                    </w:rPr>
                  </w:pPr>
                  <w:r>
                    <w:rPr>
                      <w:rFonts w:ascii="Times New Roman" w:hAnsi="Times New Roman" w:cs="Times New Roman"/>
                      <w:bCs/>
                    </w:rPr>
                    <w:t>运行负荷≥75%，同时记录烟气流量、温度、压力、湿度、含氧量等基础数据</w:t>
                  </w:r>
                </w:p>
              </w:tc>
            </w:tr>
          </w:tbl>
          <w:p>
            <w:pPr>
              <w:pStyle w:val="32"/>
              <w:ind w:firstLine="480" w:firstLineChars="200"/>
              <w:rPr>
                <w:sz w:val="24"/>
                <w:szCs w:val="24"/>
              </w:rPr>
            </w:pPr>
            <w:r>
              <w:rPr>
                <w:sz w:val="24"/>
                <w:szCs w:val="24"/>
              </w:rPr>
              <w:t>2、有组织废气监测点位示意图</w:t>
            </w:r>
          </w:p>
          <w:p>
            <w:pPr>
              <w:pStyle w:val="32"/>
              <w:jc w:val="center"/>
              <w:rPr>
                <w:sz w:val="24"/>
                <w:szCs w:val="24"/>
              </w:rPr>
            </w:pPr>
            <w:r>
              <w:rPr>
                <w:rFonts w:ascii="Times New Roman" w:hAnsi="Times New Roman" w:eastAsia="宋体" w:cs="Times New Roman"/>
                <w:kern w:val="2"/>
                <w:sz w:val="28"/>
                <w:szCs w:val="28"/>
                <w:lang w:val="en-US" w:eastAsia="zh-CN" w:bidi="ar-SA"/>
              </w:rPr>
              <w:pict>
                <v:shape id="图片 1" o:spid="_x0000_s1086" type="#_x0000_t75" style="height:341.25pt;width:371.25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pStyle w:val="32"/>
              <w:jc w:val="center"/>
              <w:rPr>
                <w:sz w:val="24"/>
                <w:szCs w:val="24"/>
              </w:rPr>
            </w:pPr>
            <w:r>
              <w:rPr>
                <w:sz w:val="24"/>
                <w:szCs w:val="24"/>
              </w:rPr>
              <w:t>图3  有组织废气监测点位示意图</w:t>
            </w:r>
          </w:p>
          <w:p>
            <w:pPr>
              <w:pStyle w:val="32"/>
              <w:rPr>
                <w:b/>
                <w:bCs/>
                <w:sz w:val="24"/>
                <w:szCs w:val="24"/>
              </w:rPr>
            </w:pPr>
            <w:r>
              <w:rPr>
                <w:b/>
                <w:bCs/>
                <w:sz w:val="24"/>
                <w:szCs w:val="24"/>
              </w:rPr>
              <w:t>二、噪声监测</w:t>
            </w:r>
          </w:p>
          <w:p>
            <w:pPr>
              <w:pStyle w:val="32"/>
              <w:ind w:firstLine="480" w:firstLineChars="200"/>
              <w:rPr>
                <w:sz w:val="24"/>
                <w:szCs w:val="24"/>
              </w:rPr>
            </w:pPr>
            <w:r>
              <w:rPr>
                <w:sz w:val="24"/>
                <w:szCs w:val="24"/>
              </w:rPr>
              <w:t>1、厂界噪声监测项目、频率和要求</w:t>
            </w:r>
          </w:p>
          <w:p>
            <w:pPr>
              <w:pStyle w:val="32"/>
              <w:jc w:val="center"/>
              <w:rPr>
                <w:sz w:val="24"/>
                <w:szCs w:val="24"/>
              </w:rPr>
            </w:pPr>
            <w:r>
              <w:rPr>
                <w:sz w:val="24"/>
                <w:szCs w:val="24"/>
              </w:rPr>
              <w:t>表2</w:t>
            </w:r>
            <w:r>
              <w:rPr>
                <w:rFonts w:hint="eastAsia"/>
                <w:sz w:val="24"/>
                <w:szCs w:val="24"/>
              </w:rPr>
              <w:t>2</w:t>
            </w:r>
            <w:r>
              <w:rPr>
                <w:sz w:val="24"/>
                <w:szCs w:val="24"/>
              </w:rPr>
              <w:t xml:space="preserve">  厂界噪声监测内容一览表</w:t>
            </w:r>
          </w:p>
          <w:tbl>
            <w:tblPr>
              <w:tblStyle w:val="21"/>
              <w:tblW w:w="8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90"/>
              <w:gridCol w:w="1076"/>
              <w:gridCol w:w="1124"/>
              <w:gridCol w:w="740"/>
              <w:gridCol w:w="709"/>
              <w:gridCol w:w="1984"/>
              <w:gridCol w:w="2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590" w:type="dxa"/>
                  <w:vAlign w:val="center"/>
                </w:tcPr>
                <w:p>
                  <w:pPr>
                    <w:spacing w:line="276" w:lineRule="auto"/>
                    <w:jc w:val="center"/>
                    <w:rPr>
                      <w:rFonts w:ascii="Times New Roman" w:hAnsi="Times New Roman" w:cs="Times New Roman"/>
                      <w:b/>
                    </w:rPr>
                  </w:pPr>
                  <w:r>
                    <w:rPr>
                      <w:rFonts w:ascii="Times New Roman" w:hAnsi="Times New Roman" w:cs="Times New Roman"/>
                      <w:b/>
                    </w:rPr>
                    <w:t>类别</w:t>
                  </w:r>
                </w:p>
              </w:tc>
              <w:tc>
                <w:tcPr>
                  <w:tcW w:w="1076" w:type="dxa"/>
                  <w:vAlign w:val="center"/>
                </w:tcPr>
                <w:p>
                  <w:pPr>
                    <w:spacing w:line="276" w:lineRule="auto"/>
                    <w:jc w:val="center"/>
                    <w:rPr>
                      <w:rFonts w:ascii="Times New Roman" w:hAnsi="Times New Roman" w:cs="Times New Roman"/>
                      <w:b/>
                    </w:rPr>
                  </w:pPr>
                  <w:r>
                    <w:rPr>
                      <w:rFonts w:ascii="Times New Roman" w:hAnsi="Times New Roman" w:cs="Times New Roman"/>
                      <w:b/>
                    </w:rPr>
                    <w:t>污染源</w:t>
                  </w:r>
                </w:p>
                <w:p>
                  <w:pPr>
                    <w:spacing w:line="276" w:lineRule="auto"/>
                    <w:jc w:val="center"/>
                    <w:rPr>
                      <w:rFonts w:ascii="Times New Roman" w:hAnsi="Times New Roman" w:cs="Times New Roman"/>
                      <w:b/>
                    </w:rPr>
                  </w:pPr>
                  <w:r>
                    <w:rPr>
                      <w:rFonts w:ascii="Times New Roman" w:hAnsi="Times New Roman" w:cs="Times New Roman"/>
                      <w:b/>
                    </w:rPr>
                    <w:t>名称</w:t>
                  </w:r>
                </w:p>
              </w:tc>
              <w:tc>
                <w:tcPr>
                  <w:tcW w:w="1124" w:type="dxa"/>
                  <w:vAlign w:val="center"/>
                </w:tcPr>
                <w:p>
                  <w:pPr>
                    <w:spacing w:line="276" w:lineRule="auto"/>
                    <w:jc w:val="center"/>
                    <w:rPr>
                      <w:rFonts w:ascii="Times New Roman" w:hAnsi="Times New Roman" w:cs="Times New Roman"/>
                      <w:b/>
                    </w:rPr>
                  </w:pPr>
                  <w:r>
                    <w:rPr>
                      <w:rFonts w:ascii="Times New Roman" w:hAnsi="Times New Roman" w:cs="Times New Roman"/>
                      <w:b/>
                    </w:rPr>
                    <w:t>环保</w:t>
                  </w:r>
                </w:p>
                <w:p>
                  <w:pPr>
                    <w:spacing w:line="276" w:lineRule="auto"/>
                    <w:jc w:val="center"/>
                    <w:rPr>
                      <w:rFonts w:ascii="Times New Roman" w:hAnsi="Times New Roman" w:cs="Times New Roman"/>
                      <w:b/>
                    </w:rPr>
                  </w:pPr>
                  <w:r>
                    <w:rPr>
                      <w:rFonts w:ascii="Times New Roman" w:hAnsi="Times New Roman" w:cs="Times New Roman"/>
                      <w:b/>
                    </w:rPr>
                    <w:t>设施</w:t>
                  </w:r>
                </w:p>
              </w:tc>
              <w:tc>
                <w:tcPr>
                  <w:tcW w:w="740" w:type="dxa"/>
                  <w:vAlign w:val="center"/>
                </w:tcPr>
                <w:p>
                  <w:pPr>
                    <w:spacing w:line="276" w:lineRule="auto"/>
                    <w:jc w:val="center"/>
                    <w:rPr>
                      <w:rFonts w:ascii="Times New Roman" w:hAnsi="Times New Roman" w:cs="Times New Roman"/>
                      <w:b/>
                    </w:rPr>
                  </w:pPr>
                  <w:r>
                    <w:rPr>
                      <w:rFonts w:ascii="Times New Roman" w:hAnsi="Times New Roman" w:cs="Times New Roman"/>
                      <w:b/>
                    </w:rPr>
                    <w:t>监测</w:t>
                  </w:r>
                </w:p>
                <w:p>
                  <w:pPr>
                    <w:spacing w:line="276" w:lineRule="auto"/>
                    <w:jc w:val="center"/>
                    <w:rPr>
                      <w:rFonts w:ascii="Times New Roman" w:hAnsi="Times New Roman" w:cs="Times New Roman"/>
                      <w:b/>
                    </w:rPr>
                  </w:pPr>
                  <w:r>
                    <w:rPr>
                      <w:rFonts w:ascii="Times New Roman" w:hAnsi="Times New Roman" w:cs="Times New Roman"/>
                      <w:b/>
                    </w:rPr>
                    <w:t>点位</w:t>
                  </w:r>
                </w:p>
              </w:tc>
              <w:tc>
                <w:tcPr>
                  <w:tcW w:w="709" w:type="dxa"/>
                  <w:vAlign w:val="center"/>
                </w:tcPr>
                <w:p>
                  <w:pPr>
                    <w:spacing w:line="276" w:lineRule="auto"/>
                    <w:jc w:val="center"/>
                    <w:rPr>
                      <w:rFonts w:ascii="Times New Roman" w:hAnsi="Times New Roman" w:cs="Times New Roman"/>
                      <w:b/>
                    </w:rPr>
                  </w:pPr>
                  <w:r>
                    <w:rPr>
                      <w:rFonts w:ascii="Times New Roman" w:hAnsi="Times New Roman" w:cs="Times New Roman"/>
                      <w:b/>
                    </w:rPr>
                    <w:t>测点</w:t>
                  </w:r>
                </w:p>
                <w:p>
                  <w:pPr>
                    <w:spacing w:line="276" w:lineRule="auto"/>
                    <w:jc w:val="center"/>
                    <w:rPr>
                      <w:rFonts w:ascii="Times New Roman" w:hAnsi="Times New Roman" w:cs="Times New Roman"/>
                      <w:b/>
                    </w:rPr>
                  </w:pPr>
                  <w:r>
                    <w:rPr>
                      <w:rFonts w:ascii="Times New Roman" w:hAnsi="Times New Roman" w:cs="Times New Roman"/>
                      <w:b/>
                    </w:rPr>
                    <w:t>个数</w:t>
                  </w:r>
                </w:p>
              </w:tc>
              <w:tc>
                <w:tcPr>
                  <w:tcW w:w="1984" w:type="dxa"/>
                  <w:vAlign w:val="center"/>
                </w:tcPr>
                <w:p>
                  <w:pPr>
                    <w:spacing w:line="276" w:lineRule="auto"/>
                    <w:jc w:val="center"/>
                    <w:rPr>
                      <w:rFonts w:ascii="Times New Roman" w:hAnsi="Times New Roman" w:cs="Times New Roman"/>
                      <w:b/>
                    </w:rPr>
                  </w:pPr>
                  <w:r>
                    <w:rPr>
                      <w:rFonts w:ascii="Times New Roman" w:hAnsi="Times New Roman" w:cs="Times New Roman"/>
                      <w:b/>
                    </w:rPr>
                    <w:t>监测项目及频次</w:t>
                  </w:r>
                </w:p>
              </w:tc>
              <w:tc>
                <w:tcPr>
                  <w:tcW w:w="2549" w:type="dxa"/>
                  <w:vAlign w:val="center"/>
                </w:tcPr>
                <w:p>
                  <w:pPr>
                    <w:spacing w:line="276" w:lineRule="auto"/>
                    <w:jc w:val="center"/>
                    <w:rPr>
                      <w:rFonts w:ascii="Times New Roman" w:hAnsi="Times New Roman" w:cs="Times New Roman"/>
                      <w:b/>
                    </w:rPr>
                  </w:pPr>
                  <w:r>
                    <w:rPr>
                      <w:rFonts w:ascii="Times New Roman" w:hAnsi="Times New Roman" w:cs="Times New Roman"/>
                      <w:b/>
                    </w:rPr>
                    <w:t>负荷</w:t>
                  </w:r>
                </w:p>
                <w:p>
                  <w:pPr>
                    <w:spacing w:line="276" w:lineRule="auto"/>
                    <w:jc w:val="center"/>
                    <w:rPr>
                      <w:rFonts w:ascii="Times New Roman" w:hAnsi="Times New Roman" w:cs="Times New Roman"/>
                      <w:b/>
                    </w:rPr>
                  </w:pPr>
                  <w:r>
                    <w:rPr>
                      <w:rFonts w:ascii="Times New Roman" w:hAnsi="Times New Roman" w:cs="Times New Roman"/>
                      <w:b/>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590" w:type="dxa"/>
                  <w:vAlign w:val="center"/>
                </w:tcPr>
                <w:p>
                  <w:pPr>
                    <w:spacing w:line="276" w:lineRule="auto"/>
                    <w:jc w:val="center"/>
                    <w:rPr>
                      <w:rFonts w:ascii="Times New Roman" w:hAnsi="Times New Roman" w:cs="Times New Roman"/>
                      <w:bCs/>
                    </w:rPr>
                  </w:pPr>
                  <w:r>
                    <w:rPr>
                      <w:rFonts w:ascii="Times New Roman" w:hAnsi="Times New Roman" w:cs="Times New Roman"/>
                      <w:bCs/>
                    </w:rPr>
                    <w:t>噪声</w:t>
                  </w:r>
                </w:p>
              </w:tc>
              <w:tc>
                <w:tcPr>
                  <w:tcW w:w="1076" w:type="dxa"/>
                  <w:vAlign w:val="center"/>
                </w:tcPr>
                <w:p>
                  <w:pPr>
                    <w:spacing w:line="276" w:lineRule="auto"/>
                    <w:jc w:val="center"/>
                    <w:rPr>
                      <w:rFonts w:ascii="Times New Roman" w:hAnsi="Times New Roman" w:cs="Times New Roman"/>
                      <w:bCs/>
                    </w:rPr>
                  </w:pPr>
                  <w:r>
                    <w:rPr>
                      <w:rFonts w:ascii="Times New Roman" w:hAnsi="Times New Roman" w:cs="Times New Roman"/>
                      <w:bCs/>
                    </w:rPr>
                    <w:t>主要产噪设备</w:t>
                  </w:r>
                </w:p>
              </w:tc>
              <w:tc>
                <w:tcPr>
                  <w:tcW w:w="1124" w:type="dxa"/>
                  <w:vAlign w:val="center"/>
                </w:tcPr>
                <w:p>
                  <w:pPr>
                    <w:spacing w:line="276" w:lineRule="auto"/>
                    <w:jc w:val="center"/>
                    <w:rPr>
                      <w:rFonts w:ascii="Times New Roman" w:hAnsi="Times New Roman" w:cs="Times New Roman"/>
                      <w:bCs/>
                    </w:rPr>
                  </w:pPr>
                  <w:r>
                    <w:rPr>
                      <w:rFonts w:ascii="Times New Roman" w:hAnsi="Times New Roman" w:cs="Times New Roman"/>
                      <w:bCs/>
                    </w:rPr>
                    <w:t>设置消声、吸声、阻尼材料隔声减震等</w:t>
                  </w:r>
                </w:p>
              </w:tc>
              <w:tc>
                <w:tcPr>
                  <w:tcW w:w="740" w:type="dxa"/>
                  <w:vAlign w:val="center"/>
                </w:tcPr>
                <w:p>
                  <w:pPr>
                    <w:spacing w:line="276" w:lineRule="auto"/>
                    <w:jc w:val="center"/>
                    <w:rPr>
                      <w:rFonts w:ascii="Times New Roman" w:hAnsi="Times New Roman" w:cs="Times New Roman"/>
                      <w:bCs/>
                    </w:rPr>
                  </w:pPr>
                  <w:r>
                    <w:rPr>
                      <w:rFonts w:ascii="Times New Roman" w:hAnsi="Times New Roman" w:cs="Times New Roman"/>
                      <w:bCs/>
                    </w:rPr>
                    <w:t>厂界四周</w:t>
                  </w:r>
                </w:p>
              </w:tc>
              <w:tc>
                <w:tcPr>
                  <w:tcW w:w="709" w:type="dxa"/>
                  <w:vAlign w:val="center"/>
                </w:tcPr>
                <w:p>
                  <w:pPr>
                    <w:spacing w:line="276" w:lineRule="auto"/>
                    <w:jc w:val="center"/>
                    <w:rPr>
                      <w:rFonts w:ascii="Times New Roman" w:hAnsi="Times New Roman" w:cs="Times New Roman"/>
                      <w:bCs/>
                    </w:rPr>
                  </w:pPr>
                  <w:r>
                    <w:rPr>
                      <w:rFonts w:ascii="Times New Roman" w:hAnsi="Times New Roman" w:cs="Times New Roman"/>
                      <w:bCs/>
                    </w:rPr>
                    <w:t>10</w:t>
                  </w:r>
                </w:p>
              </w:tc>
              <w:tc>
                <w:tcPr>
                  <w:tcW w:w="1984" w:type="dxa"/>
                  <w:vAlign w:val="center"/>
                </w:tcPr>
                <w:p>
                  <w:pPr>
                    <w:spacing w:line="276" w:lineRule="auto"/>
                    <w:jc w:val="center"/>
                    <w:rPr>
                      <w:rFonts w:ascii="Times New Roman" w:hAnsi="Times New Roman" w:cs="Times New Roman"/>
                      <w:bCs/>
                    </w:rPr>
                  </w:pPr>
                  <w:r>
                    <w:rPr>
                      <w:rFonts w:ascii="Times New Roman" w:hAnsi="Times New Roman" w:cs="Times New Roman"/>
                      <w:bCs/>
                    </w:rPr>
                    <w:t>Leq、L10、L50、L90、SD昼夜监测，连续两天</w:t>
                  </w:r>
                </w:p>
              </w:tc>
              <w:tc>
                <w:tcPr>
                  <w:tcW w:w="2549" w:type="dxa"/>
                  <w:vAlign w:val="center"/>
                </w:tcPr>
                <w:p>
                  <w:pPr>
                    <w:spacing w:line="276" w:lineRule="auto"/>
                    <w:jc w:val="center"/>
                    <w:rPr>
                      <w:rFonts w:ascii="Times New Roman" w:hAnsi="Times New Roman" w:cs="Times New Roman"/>
                      <w:bCs/>
                    </w:rPr>
                  </w:pPr>
                  <w:r>
                    <w:rPr>
                      <w:rFonts w:ascii="Times New Roman" w:hAnsi="Times New Roman" w:cs="Times New Roman"/>
                      <w:bCs/>
                    </w:rPr>
                    <w:t>运行负荷≥75%</w:t>
                  </w:r>
                </w:p>
                <w:p>
                  <w:pPr>
                    <w:spacing w:line="276" w:lineRule="auto"/>
                    <w:jc w:val="center"/>
                    <w:rPr>
                      <w:rFonts w:ascii="Times New Roman" w:hAnsi="Times New Roman" w:cs="Times New Roman"/>
                      <w:bCs/>
                    </w:rPr>
                  </w:pPr>
                  <w:r>
                    <w:rPr>
                      <w:rFonts w:ascii="Times New Roman" w:hAnsi="Times New Roman" w:cs="Times New Roman"/>
                      <w:bCs/>
                    </w:rPr>
                    <w:t>，工况稳定；监测在无雨、无雪的天气条件下进行，风速小于5m/s</w:t>
                  </w:r>
                </w:p>
              </w:tc>
            </w:tr>
          </w:tbl>
          <w:p>
            <w:pPr>
              <w:pStyle w:val="32"/>
              <w:ind w:firstLine="480" w:firstLineChars="200"/>
              <w:rPr>
                <w:sz w:val="24"/>
                <w:szCs w:val="24"/>
              </w:rPr>
            </w:pPr>
            <w:r>
              <w:rPr>
                <w:sz w:val="24"/>
                <w:szCs w:val="24"/>
              </w:rPr>
              <w:t>2、厂界噪声监测点位示意图</w:t>
            </w:r>
          </w:p>
          <w:p>
            <w:pPr>
              <w:pStyle w:val="32"/>
              <w:ind w:firstLine="560" w:firstLineChars="200"/>
              <w:jc w:val="center"/>
            </w:pPr>
            <w:r>
              <w:rPr>
                <w:rFonts w:ascii="Times New Roman" w:hAnsi="Times New Roman" w:eastAsia="宋体" w:cs="Times New Roman"/>
                <w:kern w:val="2"/>
                <w:sz w:val="28"/>
                <w:szCs w:val="28"/>
                <w:lang w:val="en-US" w:eastAsia="zh-CN" w:bidi="ar-SA"/>
              </w:rPr>
              <w:pict>
                <v:shape id="Picture 4" o:spid="_x0000_s1087" type="#_x0000_t75" style="height:431.25pt;width:255.75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pStyle w:val="32"/>
              <w:ind w:firstLine="480" w:firstLineChars="200"/>
              <w:jc w:val="center"/>
              <w:rPr>
                <w:sz w:val="24"/>
                <w:szCs w:val="24"/>
              </w:rPr>
            </w:pPr>
            <w:r>
              <w:rPr>
                <w:sz w:val="24"/>
                <w:szCs w:val="24"/>
              </w:rPr>
              <w:t>图4  厂界噪声监测点位示意图</w:t>
            </w:r>
          </w:p>
          <w:p>
            <w:pPr>
              <w:pStyle w:val="32"/>
              <w:rPr>
                <w:sz w:val="24"/>
                <w:szCs w:val="24"/>
              </w:rPr>
            </w:pPr>
          </w:p>
          <w:p>
            <w:pPr>
              <w:pStyle w:val="32"/>
              <w:rPr>
                <w:sz w:val="24"/>
                <w:szCs w:val="24"/>
              </w:rPr>
            </w:pPr>
          </w:p>
        </w:tc>
      </w:tr>
    </w:tbl>
    <w:p>
      <w:pPr>
        <w:pStyle w:val="4"/>
        <w:rPr>
          <w:rFonts w:ascii="Times New Roman" w:hAnsi="Times New Roman" w:cs="Times New Roman"/>
        </w:rPr>
        <w:sectPr>
          <w:pgSz w:w="11906" w:h="16838"/>
          <w:pgMar w:top="1440" w:right="1800" w:bottom="1440" w:left="1800" w:header="708" w:footer="708" w:gutter="0"/>
          <w:cols w:space="720" w:num="1"/>
          <w:docGrid w:linePitch="360" w:charSpace="0"/>
        </w:sectPr>
      </w:pPr>
    </w:p>
    <w:p>
      <w:pPr>
        <w:pStyle w:val="4"/>
        <w:rPr>
          <w:rFonts w:ascii="Times New Roman" w:hAnsi="Times New Roman" w:cs="Times New Roman"/>
        </w:rPr>
      </w:pPr>
      <w:bookmarkStart w:id="29" w:name="_Toc86072631"/>
      <w:r>
        <w:rPr>
          <w:rFonts w:ascii="Times New Roman" w:hAnsi="Times New Roman" w:cs="Times New Roman"/>
        </w:rPr>
        <w:t>表七  验收监测期间生产工况及结果</w:t>
      </w:r>
      <w:bookmarkEnd w:id="29"/>
    </w:p>
    <w:tbl>
      <w:tblPr>
        <w:tblStyle w:val="21"/>
        <w:tblW w:w="14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5" w:hRule="atLeast"/>
          <w:jc w:val="center"/>
        </w:trPr>
        <w:tc>
          <w:tcPr>
            <w:tcW w:w="14173" w:type="dxa"/>
            <w:tcBorders>
              <w:top w:val="single" w:color="auto" w:sz="12" w:space="0"/>
              <w:left w:val="single" w:color="auto" w:sz="12" w:space="0"/>
              <w:bottom w:val="single" w:color="auto" w:sz="12" w:space="0"/>
              <w:right w:val="single" w:color="auto" w:sz="12" w:space="0"/>
            </w:tcBorders>
            <w:vAlign w:val="top"/>
          </w:tcPr>
          <w:p>
            <w:pPr>
              <w:pStyle w:val="32"/>
              <w:rPr>
                <w:b/>
                <w:bCs/>
                <w:sz w:val="24"/>
                <w:szCs w:val="24"/>
              </w:rPr>
            </w:pPr>
            <w:r>
              <w:rPr>
                <w:b/>
                <w:bCs/>
                <w:sz w:val="24"/>
                <w:szCs w:val="24"/>
              </w:rPr>
              <w:t>验收监测期间生产工况记录：</w:t>
            </w:r>
          </w:p>
          <w:p>
            <w:pPr>
              <w:pStyle w:val="32"/>
              <w:jc w:val="center"/>
              <w:rPr>
                <w:sz w:val="24"/>
                <w:szCs w:val="24"/>
              </w:rPr>
            </w:pPr>
            <w:r>
              <w:rPr>
                <w:sz w:val="24"/>
                <w:szCs w:val="24"/>
              </w:rPr>
              <w:t>表2</w:t>
            </w:r>
            <w:r>
              <w:rPr>
                <w:rFonts w:hint="eastAsia"/>
                <w:sz w:val="24"/>
                <w:szCs w:val="24"/>
              </w:rPr>
              <w:t>3</w:t>
            </w:r>
            <w:r>
              <w:rPr>
                <w:sz w:val="24"/>
                <w:szCs w:val="24"/>
              </w:rPr>
              <w:t xml:space="preserve">  主要生产设施生产负荷一览表</w:t>
            </w:r>
          </w:p>
          <w:tbl>
            <w:tblPr>
              <w:tblStyle w:val="21"/>
              <w:tblW w:w="8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2"/>
              <w:gridCol w:w="1702"/>
              <w:gridCol w:w="1702"/>
              <w:gridCol w:w="170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72" w:type="dxa"/>
                  <w:vAlign w:val="center"/>
                </w:tcPr>
                <w:p>
                  <w:pPr>
                    <w:widowControl w:val="0"/>
                    <w:spacing w:line="276" w:lineRule="auto"/>
                    <w:jc w:val="center"/>
                    <w:rPr>
                      <w:rFonts w:ascii="Times New Roman" w:hAnsi="Times New Roman" w:cs="Times New Roman"/>
                      <w:b/>
                      <w:bCs/>
                    </w:rPr>
                  </w:pPr>
                  <w:bookmarkStart w:id="30" w:name="_Hlk62649864"/>
                  <w:r>
                    <w:rPr>
                      <w:rFonts w:ascii="Times New Roman" w:hAnsi="Times New Roman" w:cs="Times New Roman"/>
                      <w:b/>
                      <w:bCs/>
                    </w:rPr>
                    <w:t>监测主要</w:t>
                  </w:r>
                </w:p>
                <w:p>
                  <w:pPr>
                    <w:widowControl w:val="0"/>
                    <w:spacing w:line="276" w:lineRule="auto"/>
                    <w:jc w:val="center"/>
                    <w:rPr>
                      <w:rFonts w:ascii="Times New Roman" w:hAnsi="Times New Roman" w:cs="Times New Roman"/>
                      <w:b/>
                      <w:bCs/>
                    </w:rPr>
                  </w:pPr>
                  <w:r>
                    <w:rPr>
                      <w:rFonts w:ascii="Times New Roman" w:hAnsi="Times New Roman" w:cs="Times New Roman"/>
                      <w:b/>
                      <w:bCs/>
                    </w:rPr>
                    <w:t>生产设施</w:t>
                  </w:r>
                </w:p>
              </w:tc>
              <w:tc>
                <w:tcPr>
                  <w:tcW w:w="1702" w:type="dxa"/>
                  <w:vAlign w:val="center"/>
                </w:tcPr>
                <w:p>
                  <w:pPr>
                    <w:widowControl w:val="0"/>
                    <w:spacing w:line="276" w:lineRule="auto"/>
                    <w:jc w:val="center"/>
                    <w:rPr>
                      <w:rFonts w:ascii="Times New Roman" w:hAnsi="Times New Roman" w:cs="Times New Roman"/>
                      <w:b/>
                      <w:bCs/>
                    </w:rPr>
                  </w:pPr>
                  <w:r>
                    <w:rPr>
                      <w:rFonts w:ascii="Times New Roman" w:hAnsi="Times New Roman" w:cs="Times New Roman"/>
                      <w:b/>
                      <w:bCs/>
                    </w:rPr>
                    <w:t>设计能力</w:t>
                  </w:r>
                </w:p>
                <w:p>
                  <w:pPr>
                    <w:widowControl w:val="0"/>
                    <w:spacing w:line="276" w:lineRule="auto"/>
                    <w:jc w:val="center"/>
                    <w:rPr>
                      <w:rFonts w:ascii="Times New Roman" w:hAnsi="Times New Roman" w:cs="Times New Roman"/>
                      <w:b/>
                      <w:bCs/>
                    </w:rPr>
                  </w:pPr>
                  <w:r>
                    <w:rPr>
                      <w:rFonts w:ascii="Times New Roman" w:hAnsi="Times New Roman" w:cs="Times New Roman"/>
                      <w:b/>
                      <w:bCs/>
                    </w:rPr>
                    <w:t>（MW/d）</w:t>
                  </w:r>
                </w:p>
              </w:tc>
              <w:tc>
                <w:tcPr>
                  <w:tcW w:w="1702" w:type="dxa"/>
                  <w:vAlign w:val="center"/>
                </w:tcPr>
                <w:p>
                  <w:pPr>
                    <w:widowControl w:val="0"/>
                    <w:spacing w:line="276" w:lineRule="auto"/>
                    <w:jc w:val="center"/>
                    <w:rPr>
                      <w:rFonts w:ascii="Times New Roman" w:hAnsi="Times New Roman" w:cs="Times New Roman"/>
                      <w:b/>
                      <w:bCs/>
                    </w:rPr>
                  </w:pPr>
                  <w:r>
                    <w:rPr>
                      <w:rFonts w:ascii="Times New Roman" w:hAnsi="Times New Roman" w:cs="Times New Roman"/>
                      <w:b/>
                      <w:bCs/>
                    </w:rPr>
                    <w:t>监测时间</w:t>
                  </w:r>
                </w:p>
              </w:tc>
              <w:tc>
                <w:tcPr>
                  <w:tcW w:w="1702" w:type="dxa"/>
                  <w:vAlign w:val="center"/>
                </w:tcPr>
                <w:p>
                  <w:pPr>
                    <w:widowControl w:val="0"/>
                    <w:spacing w:line="276" w:lineRule="auto"/>
                    <w:jc w:val="center"/>
                    <w:rPr>
                      <w:rFonts w:ascii="Times New Roman" w:hAnsi="Times New Roman" w:cs="Times New Roman"/>
                      <w:b/>
                      <w:bCs/>
                    </w:rPr>
                  </w:pPr>
                  <w:r>
                    <w:rPr>
                      <w:rFonts w:ascii="Times New Roman" w:hAnsi="Times New Roman" w:cs="Times New Roman"/>
                      <w:b/>
                      <w:bCs/>
                    </w:rPr>
                    <w:t>实际能力</w:t>
                  </w:r>
                </w:p>
                <w:p>
                  <w:pPr>
                    <w:widowControl w:val="0"/>
                    <w:spacing w:line="276" w:lineRule="auto"/>
                    <w:jc w:val="center"/>
                    <w:rPr>
                      <w:rFonts w:ascii="Times New Roman" w:hAnsi="Times New Roman" w:cs="Times New Roman"/>
                      <w:b/>
                      <w:bCs/>
                    </w:rPr>
                  </w:pPr>
                  <w:r>
                    <w:rPr>
                      <w:rFonts w:ascii="Times New Roman" w:hAnsi="Times New Roman" w:cs="Times New Roman"/>
                      <w:b/>
                      <w:bCs/>
                    </w:rPr>
                    <w:t>（MW）</w:t>
                  </w:r>
                </w:p>
              </w:tc>
              <w:tc>
                <w:tcPr>
                  <w:tcW w:w="1701" w:type="dxa"/>
                  <w:vAlign w:val="center"/>
                </w:tcPr>
                <w:p>
                  <w:pPr>
                    <w:widowControl w:val="0"/>
                    <w:spacing w:line="276" w:lineRule="auto"/>
                    <w:jc w:val="center"/>
                    <w:rPr>
                      <w:rFonts w:ascii="Times New Roman" w:hAnsi="Times New Roman" w:cs="Times New Roman"/>
                      <w:b/>
                      <w:bCs/>
                    </w:rPr>
                  </w:pPr>
                  <w:r>
                    <w:rPr>
                      <w:rFonts w:ascii="Times New Roman" w:hAnsi="Times New Roman" w:cs="Times New Roman"/>
                      <w:b/>
                      <w:bCs/>
                    </w:rPr>
                    <w:t>生产负荷</w:t>
                  </w:r>
                </w:p>
                <w:p>
                  <w:pPr>
                    <w:widowControl w:val="0"/>
                    <w:spacing w:line="276" w:lineRule="auto"/>
                    <w:jc w:val="center"/>
                    <w:rPr>
                      <w:rFonts w:ascii="Times New Roman" w:hAnsi="Times New Roman" w:cs="Times New Roman"/>
                      <w:b/>
                      <w:bCs/>
                    </w:rPr>
                  </w:pPr>
                  <w:r>
                    <w:rPr>
                      <w:rFonts w:ascii="Times New Roman" w:hAnsi="Times New Roman" w:cs="Times New Roman"/>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72"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高效锅炉</w:t>
                  </w:r>
                </w:p>
              </w:tc>
              <w:tc>
                <w:tcPr>
                  <w:tcW w:w="1702"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1920</w:t>
                  </w:r>
                </w:p>
              </w:tc>
              <w:tc>
                <w:tcPr>
                  <w:tcW w:w="1702" w:type="dxa"/>
                  <w:vAlign w:val="center"/>
                </w:tcPr>
                <w:p>
                  <w:pPr>
                    <w:widowControl w:val="0"/>
                    <w:spacing w:line="276" w:lineRule="auto"/>
                    <w:jc w:val="center"/>
                    <w:rPr>
                      <w:rFonts w:ascii="Times New Roman" w:hAnsi="Times New Roman" w:cs="Times New Roman"/>
                    </w:rPr>
                  </w:pPr>
                  <w:r>
                    <w:rPr>
                      <w:rFonts w:ascii="Times New Roman" w:hAnsi="Times New Roman" w:cs="Times New Roman"/>
                    </w:rPr>
                    <w:t>2021.8.3</w:t>
                  </w:r>
                </w:p>
              </w:tc>
              <w:tc>
                <w:tcPr>
                  <w:tcW w:w="1702" w:type="dxa"/>
                  <w:vAlign w:val="center"/>
                </w:tcPr>
                <w:p>
                  <w:pPr>
                    <w:spacing w:line="276" w:lineRule="auto"/>
                    <w:jc w:val="center"/>
                    <w:rPr>
                      <w:rFonts w:ascii="Times New Roman" w:hAnsi="Times New Roman" w:cs="Times New Roman"/>
                    </w:rPr>
                  </w:pPr>
                  <w:r>
                    <w:rPr>
                      <w:rFonts w:ascii="Times New Roman" w:hAnsi="Times New Roman" w:cs="Times New Roman"/>
                    </w:rPr>
                    <w:t>1732</w:t>
                  </w:r>
                </w:p>
              </w:tc>
              <w:tc>
                <w:tcPr>
                  <w:tcW w:w="1701" w:type="dxa"/>
                  <w:vAlign w:val="center"/>
                </w:tcPr>
                <w:p>
                  <w:pPr>
                    <w:spacing w:line="276" w:lineRule="auto"/>
                    <w:jc w:val="center"/>
                    <w:rPr>
                      <w:rFonts w:ascii="Times New Roman" w:hAnsi="Times New Roman" w:cs="Times New Roman"/>
                    </w:rPr>
                  </w:pPr>
                  <w:r>
                    <w:rPr>
                      <w:rFonts w:ascii="Times New Roman" w:hAnsi="Times New Roman" w:cs="Times New Roman"/>
                    </w:rPr>
                    <w:t>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472" w:type="dxa"/>
                  <w:vMerge w:val="continue"/>
                  <w:vAlign w:val="center"/>
                </w:tcPr>
                <w:p>
                  <w:pPr>
                    <w:spacing w:line="276" w:lineRule="auto"/>
                    <w:jc w:val="center"/>
                    <w:rPr>
                      <w:rFonts w:ascii="Times New Roman" w:hAnsi="Times New Roman" w:cs="Times New Roman"/>
                      <w:bCs/>
                    </w:rPr>
                  </w:pPr>
                </w:p>
              </w:tc>
              <w:tc>
                <w:tcPr>
                  <w:tcW w:w="1702" w:type="dxa"/>
                  <w:vMerge w:val="continue"/>
                  <w:vAlign w:val="center"/>
                </w:tcPr>
                <w:p>
                  <w:pPr>
                    <w:spacing w:line="276" w:lineRule="auto"/>
                    <w:jc w:val="center"/>
                    <w:rPr>
                      <w:rFonts w:ascii="Times New Roman" w:hAnsi="Times New Roman" w:cs="Times New Roman"/>
                    </w:rPr>
                  </w:pPr>
                </w:p>
              </w:tc>
              <w:tc>
                <w:tcPr>
                  <w:tcW w:w="1702" w:type="dxa"/>
                  <w:vAlign w:val="center"/>
                </w:tcPr>
                <w:p>
                  <w:pPr>
                    <w:widowControl w:val="0"/>
                    <w:spacing w:line="276" w:lineRule="auto"/>
                    <w:jc w:val="center"/>
                    <w:rPr>
                      <w:rFonts w:ascii="Times New Roman" w:hAnsi="Times New Roman" w:cs="Times New Roman"/>
                    </w:rPr>
                  </w:pPr>
                  <w:r>
                    <w:rPr>
                      <w:rFonts w:ascii="Times New Roman" w:hAnsi="Times New Roman" w:cs="Times New Roman"/>
                    </w:rPr>
                    <w:t>2021.8.4</w:t>
                  </w:r>
                </w:p>
              </w:tc>
              <w:tc>
                <w:tcPr>
                  <w:tcW w:w="1702" w:type="dxa"/>
                  <w:vAlign w:val="center"/>
                </w:tcPr>
                <w:p>
                  <w:pPr>
                    <w:spacing w:line="276" w:lineRule="auto"/>
                    <w:jc w:val="center"/>
                    <w:rPr>
                      <w:rFonts w:ascii="Times New Roman" w:hAnsi="Times New Roman" w:cs="Times New Roman"/>
                    </w:rPr>
                  </w:pPr>
                  <w:r>
                    <w:rPr>
                      <w:rFonts w:ascii="Times New Roman" w:hAnsi="Times New Roman" w:cs="Times New Roman"/>
                    </w:rPr>
                    <w:t>1728</w:t>
                  </w:r>
                </w:p>
              </w:tc>
              <w:tc>
                <w:tcPr>
                  <w:tcW w:w="1701" w:type="dxa"/>
                  <w:vAlign w:val="center"/>
                </w:tcPr>
                <w:p>
                  <w:pPr>
                    <w:spacing w:line="276" w:lineRule="auto"/>
                    <w:jc w:val="center"/>
                    <w:rPr>
                      <w:rFonts w:ascii="Times New Roman" w:hAnsi="Times New Roman" w:cs="Times New Roman"/>
                    </w:rPr>
                  </w:pPr>
                  <w:r>
                    <w:rPr>
                      <w:rFonts w:ascii="Times New Roman" w:hAnsi="Times New Roman" w:cs="Times New Roman"/>
                    </w:rPr>
                    <w:t>90.0</w:t>
                  </w:r>
                </w:p>
              </w:tc>
            </w:tr>
            <w:bookmarkEnd w:id="30"/>
          </w:tbl>
          <w:p>
            <w:pPr>
              <w:pStyle w:val="32"/>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6" w:hRule="atLeast"/>
          <w:jc w:val="center"/>
        </w:trPr>
        <w:tc>
          <w:tcPr>
            <w:tcW w:w="14173" w:type="dxa"/>
            <w:tcBorders>
              <w:top w:val="single" w:color="auto" w:sz="12" w:space="0"/>
              <w:left w:val="single" w:color="auto" w:sz="12" w:space="0"/>
              <w:bottom w:val="single" w:color="auto" w:sz="12" w:space="0"/>
              <w:right w:val="single" w:color="auto" w:sz="12" w:space="0"/>
            </w:tcBorders>
            <w:vAlign w:val="top"/>
          </w:tcPr>
          <w:p>
            <w:pPr>
              <w:pStyle w:val="32"/>
              <w:rPr>
                <w:b/>
                <w:bCs/>
                <w:sz w:val="24"/>
                <w:szCs w:val="24"/>
              </w:rPr>
            </w:pPr>
            <w:r>
              <w:rPr>
                <w:b/>
                <w:bCs/>
                <w:sz w:val="24"/>
                <w:szCs w:val="24"/>
              </w:rPr>
              <w:t>验收监测结果：</w:t>
            </w:r>
          </w:p>
          <w:p>
            <w:pPr>
              <w:pStyle w:val="32"/>
              <w:ind w:firstLine="482" w:firstLineChars="200"/>
              <w:rPr>
                <w:b/>
                <w:bCs/>
                <w:sz w:val="24"/>
                <w:szCs w:val="24"/>
              </w:rPr>
            </w:pPr>
            <w:r>
              <w:rPr>
                <w:b/>
                <w:bCs/>
                <w:sz w:val="24"/>
                <w:szCs w:val="24"/>
              </w:rPr>
              <w:t>1、废气监测结果</w:t>
            </w:r>
          </w:p>
          <w:p>
            <w:pPr>
              <w:pStyle w:val="32"/>
              <w:ind w:firstLine="480" w:firstLineChars="200"/>
              <w:rPr>
                <w:sz w:val="24"/>
                <w:szCs w:val="24"/>
              </w:rPr>
            </w:pPr>
            <w:r>
              <w:rPr>
                <w:sz w:val="24"/>
                <w:szCs w:val="24"/>
              </w:rPr>
              <w:t>本次环保验收对脱硝系统进口、脱硫系统进、出口烟气进行监测，监测数据见下表。</w:t>
            </w:r>
          </w:p>
          <w:p>
            <w:pPr>
              <w:pStyle w:val="32"/>
              <w:jc w:val="center"/>
              <w:rPr>
                <w:sz w:val="24"/>
                <w:szCs w:val="24"/>
              </w:rPr>
            </w:pPr>
            <w:r>
              <w:rPr>
                <w:sz w:val="24"/>
                <w:szCs w:val="24"/>
              </w:rPr>
              <w:t>表2</w:t>
            </w:r>
            <w:r>
              <w:rPr>
                <w:rFonts w:hint="eastAsia"/>
                <w:sz w:val="24"/>
                <w:szCs w:val="24"/>
              </w:rPr>
              <w:t>4</w:t>
            </w:r>
            <w:r>
              <w:rPr>
                <w:sz w:val="24"/>
                <w:szCs w:val="24"/>
              </w:rPr>
              <w:t xml:space="preserve">  脱硝系统进口监测结果一览表</w:t>
            </w:r>
          </w:p>
          <w:tbl>
            <w:tblPr>
              <w:tblStyle w:val="21"/>
              <w:tblW w:w="13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6"/>
              <w:gridCol w:w="611"/>
              <w:gridCol w:w="1015"/>
              <w:gridCol w:w="728"/>
              <w:gridCol w:w="290"/>
              <w:gridCol w:w="1018"/>
              <w:gridCol w:w="435"/>
              <w:gridCol w:w="583"/>
              <w:gridCol w:w="1015"/>
              <w:gridCol w:w="145"/>
              <w:gridCol w:w="873"/>
              <w:gridCol w:w="870"/>
              <w:gridCol w:w="148"/>
              <w:gridCol w:w="1018"/>
              <w:gridCol w:w="577"/>
              <w:gridCol w:w="438"/>
              <w:gridCol w:w="1018"/>
              <w:gridCol w:w="287"/>
              <w:gridCol w:w="731"/>
              <w:gridCol w:w="1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45"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监测点位</w:t>
                  </w:r>
                </w:p>
              </w:tc>
              <w:tc>
                <w:tcPr>
                  <w:tcW w:w="12202" w:type="dxa"/>
                  <w:gridSpan w:val="18"/>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脱硝入口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监测日期</w:t>
                  </w:r>
                </w:p>
              </w:tc>
              <w:tc>
                <w:tcPr>
                  <w:tcW w:w="617" w:type="dxa"/>
                  <w:gridSpan w:val="2"/>
                  <w:tcBorders>
                    <w:top w:val="single" w:color="auto" w:sz="4" w:space="0"/>
                  </w:tcBorders>
                  <w:vAlign w:val="center"/>
                </w:tcPr>
                <w:p>
                  <w:pPr>
                    <w:spacing w:line="276" w:lineRule="auto"/>
                    <w:jc w:val="center"/>
                    <w:rPr>
                      <w:rFonts w:ascii="Times New Roman" w:hAnsi="Times New Roman" w:cs="Times New Roman"/>
                      <w:b/>
                      <w:bCs/>
                      <w:spacing w:val="-20"/>
                    </w:rPr>
                  </w:pPr>
                  <w:r>
                    <w:rPr>
                      <w:rFonts w:ascii="Times New Roman" w:hAnsi="Times New Roman" w:cs="Times New Roman"/>
                      <w:b/>
                      <w:bCs/>
                      <w:spacing w:val="-20"/>
                    </w:rPr>
                    <w:t>监测</w:t>
                  </w:r>
                </w:p>
                <w:p>
                  <w:pPr>
                    <w:spacing w:line="276" w:lineRule="auto"/>
                    <w:jc w:val="center"/>
                    <w:rPr>
                      <w:rFonts w:ascii="Times New Roman" w:hAnsi="Times New Roman" w:cs="Times New Roman"/>
                      <w:b/>
                      <w:bCs/>
                    </w:rPr>
                  </w:pPr>
                  <w:r>
                    <w:rPr>
                      <w:rFonts w:ascii="Times New Roman" w:hAnsi="Times New Roman" w:cs="Times New Roman"/>
                      <w:b/>
                      <w:bCs/>
                      <w:spacing w:val="-20"/>
                    </w:rPr>
                    <w:t>次数</w:t>
                  </w:r>
                </w:p>
              </w:tc>
              <w:tc>
                <w:tcPr>
                  <w:tcW w:w="1743" w:type="dxa"/>
                  <w:gridSpan w:val="2"/>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烟气温度℃</w:t>
                  </w:r>
                </w:p>
              </w:tc>
              <w:tc>
                <w:tcPr>
                  <w:tcW w:w="1743"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含湿量%</w:t>
                  </w:r>
                </w:p>
              </w:tc>
              <w:tc>
                <w:tcPr>
                  <w:tcW w:w="1743"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动压Pa</w:t>
                  </w:r>
                </w:p>
              </w:tc>
              <w:tc>
                <w:tcPr>
                  <w:tcW w:w="1743" w:type="dxa"/>
                  <w:gridSpan w:val="2"/>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流速m/s</w:t>
                  </w:r>
                </w:p>
              </w:tc>
              <w:tc>
                <w:tcPr>
                  <w:tcW w:w="1743"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工况流量m</w:t>
                  </w:r>
                  <w:r>
                    <w:rPr>
                      <w:rFonts w:ascii="Times New Roman" w:hAnsi="Times New Roman" w:cs="Times New Roman"/>
                      <w:b/>
                      <w:bCs/>
                      <w:vertAlign w:val="superscript"/>
                    </w:rPr>
                    <w:t>3</w:t>
                  </w:r>
                  <w:r>
                    <w:rPr>
                      <w:rFonts w:ascii="Times New Roman" w:hAnsi="Times New Roman" w:cs="Times New Roman"/>
                      <w:b/>
                      <w:bCs/>
                    </w:rPr>
                    <w:t>/h</w:t>
                  </w:r>
                </w:p>
              </w:tc>
              <w:tc>
                <w:tcPr>
                  <w:tcW w:w="1743" w:type="dxa"/>
                  <w:gridSpan w:val="3"/>
                  <w:tcBorders>
                    <w:top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标干流量m</w:t>
                  </w:r>
                  <w:r>
                    <w:rPr>
                      <w:rFonts w:ascii="Times New Roman" w:hAnsi="Times New Roman" w:cs="Times New Roman"/>
                      <w:b/>
                      <w:bCs/>
                      <w:vertAlign w:val="superscript"/>
                    </w:rPr>
                    <w:t>3</w:t>
                  </w:r>
                  <w:r>
                    <w:rPr>
                      <w:rFonts w:ascii="Times New Roman" w:hAnsi="Times New Roman" w:cs="Times New Roman"/>
                      <w:b/>
                      <w:bCs/>
                    </w:rPr>
                    <w:t>/h</w:t>
                  </w:r>
                </w:p>
              </w:tc>
              <w:tc>
                <w:tcPr>
                  <w:tcW w:w="1744" w:type="dxa"/>
                  <w:gridSpan w:val="2"/>
                  <w:tcBorders>
                    <w:top w:val="single" w:color="auto" w:sz="4" w:space="0"/>
                    <w:lef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spacing w:val="-20"/>
                    </w:rPr>
                    <w:t>氧含量</w:t>
                  </w:r>
                  <w:r>
                    <w:rPr>
                      <w:rFonts w:ascii="Times New Roman" w:hAnsi="Times New Roman" w:cs="Times New Roman"/>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restart"/>
                  <w:vAlign w:val="center"/>
                </w:tcPr>
                <w:p>
                  <w:pPr>
                    <w:spacing w:line="276" w:lineRule="auto"/>
                    <w:jc w:val="center"/>
                    <w:rPr>
                      <w:rFonts w:ascii="Times New Roman" w:hAnsi="Times New Roman" w:cs="Times New Roman"/>
                    </w:rPr>
                  </w:pPr>
                  <w:r>
                    <w:rPr>
                      <w:rFonts w:ascii="Times New Roman" w:hAnsi="Times New Roman" w:cs="Times New Roman"/>
                      <w:spacing w:val="-20"/>
                    </w:rPr>
                    <w:t>2021.8.3</w:t>
                  </w:r>
                </w:p>
              </w:tc>
              <w:tc>
                <w:tcPr>
                  <w:tcW w:w="617" w:type="dxa"/>
                  <w:gridSpan w:val="2"/>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333.1</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3.1</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12</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5.6</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967680</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378438</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continue"/>
                  <w:vAlign w:val="center"/>
                </w:tcPr>
                <w:p>
                  <w:pPr>
                    <w:spacing w:line="276" w:lineRule="auto"/>
                    <w:jc w:val="center"/>
                    <w:rPr>
                      <w:rFonts w:ascii="Times New Roman" w:hAnsi="Times New Roman" w:cs="Times New Roman"/>
                    </w:rPr>
                  </w:pPr>
                </w:p>
              </w:tc>
              <w:tc>
                <w:tcPr>
                  <w:tcW w:w="617" w:type="dxa"/>
                  <w:gridSpan w:val="2"/>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317.4</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3.2</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9</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4.8</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829440</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332768</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continue"/>
                  <w:vAlign w:val="center"/>
                </w:tcPr>
                <w:p>
                  <w:pPr>
                    <w:spacing w:line="276" w:lineRule="auto"/>
                    <w:jc w:val="center"/>
                    <w:rPr>
                      <w:rFonts w:ascii="Times New Roman" w:hAnsi="Times New Roman" w:cs="Times New Roman"/>
                    </w:rPr>
                  </w:pPr>
                </w:p>
              </w:tc>
              <w:tc>
                <w:tcPr>
                  <w:tcW w:w="617" w:type="dxa"/>
                  <w:gridSpan w:val="2"/>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307.6</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3.3</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6</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3.9</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673920</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274926</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spacing w:val="-20"/>
                    </w:rPr>
                    <w:t>2021.8.4</w:t>
                  </w:r>
                </w:p>
              </w:tc>
              <w:tc>
                <w:tcPr>
                  <w:tcW w:w="617"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313.1</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2.9</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12</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5.5</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950400</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389739</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617"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321.5</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2.9</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9</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4.8</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829440</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335293</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617"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311.1</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2.8</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9</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4.7</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812160</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334061</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restart"/>
                  <w:tcBorders>
                    <w:top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监测</w:t>
                  </w:r>
                </w:p>
                <w:p>
                  <w:pPr>
                    <w:spacing w:line="276" w:lineRule="auto"/>
                    <w:jc w:val="center"/>
                    <w:rPr>
                      <w:rFonts w:ascii="Times New Roman" w:hAnsi="Times New Roman" w:cs="Times New Roman"/>
                      <w:b/>
                      <w:bCs/>
                    </w:rPr>
                  </w:pPr>
                  <w:r>
                    <w:rPr>
                      <w:rFonts w:ascii="Times New Roman" w:hAnsi="Times New Roman" w:cs="Times New Roman"/>
                      <w:b/>
                      <w:bCs/>
                    </w:rPr>
                    <w:t>日期</w:t>
                  </w:r>
                </w:p>
              </w:tc>
              <w:tc>
                <w:tcPr>
                  <w:tcW w:w="611" w:type="dxa"/>
                  <w:vMerge w:val="restart"/>
                  <w:tcBorders>
                    <w:top w:val="single" w:color="auto" w:sz="4" w:space="0"/>
                    <w:left w:val="single" w:color="auto" w:sz="4" w:space="0"/>
                  </w:tcBorders>
                  <w:vAlign w:val="center"/>
                </w:tcPr>
                <w:p>
                  <w:pPr>
                    <w:spacing w:line="276" w:lineRule="auto"/>
                    <w:jc w:val="center"/>
                    <w:rPr>
                      <w:rFonts w:ascii="Times New Roman" w:hAnsi="Times New Roman" w:cs="Times New Roman"/>
                      <w:b/>
                      <w:bCs/>
                      <w:spacing w:val="-20"/>
                    </w:rPr>
                  </w:pPr>
                  <w:r>
                    <w:rPr>
                      <w:rFonts w:ascii="Times New Roman" w:hAnsi="Times New Roman" w:cs="Times New Roman"/>
                      <w:b/>
                      <w:bCs/>
                      <w:spacing w:val="-20"/>
                    </w:rPr>
                    <w:t>监测</w:t>
                  </w:r>
                </w:p>
                <w:p>
                  <w:pPr>
                    <w:spacing w:line="276" w:lineRule="auto"/>
                    <w:jc w:val="center"/>
                    <w:rPr>
                      <w:rFonts w:ascii="Times New Roman" w:hAnsi="Times New Roman" w:cs="Times New Roman"/>
                      <w:b/>
                      <w:bCs/>
                      <w:spacing w:val="-20"/>
                    </w:rPr>
                  </w:pPr>
                  <w:r>
                    <w:rPr>
                      <w:rFonts w:ascii="Times New Roman" w:hAnsi="Times New Roman" w:cs="Times New Roman"/>
                      <w:b/>
                      <w:bCs/>
                      <w:spacing w:val="-20"/>
                    </w:rPr>
                    <w:t>次数</w:t>
                  </w:r>
                </w:p>
              </w:tc>
              <w:tc>
                <w:tcPr>
                  <w:tcW w:w="3051" w:type="dxa"/>
                  <w:gridSpan w:val="4"/>
                  <w:tcBorders>
                    <w:top w:val="single" w:color="auto" w:sz="4" w:space="0"/>
                    <w:bottom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颗粒物</w:t>
                  </w:r>
                </w:p>
              </w:tc>
              <w:tc>
                <w:tcPr>
                  <w:tcW w:w="3051" w:type="dxa"/>
                  <w:gridSpan w:val="5"/>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kern w:val="2"/>
                    </w:rPr>
                    <w:t>SO</w:t>
                  </w:r>
                  <w:r>
                    <w:rPr>
                      <w:rFonts w:ascii="Times New Roman" w:hAnsi="Times New Roman" w:cs="Times New Roman"/>
                      <w:b/>
                      <w:bCs/>
                      <w:kern w:val="2"/>
                      <w:vertAlign w:val="subscript"/>
                    </w:rPr>
                    <w:t>2</w:t>
                  </w:r>
                </w:p>
              </w:tc>
              <w:tc>
                <w:tcPr>
                  <w:tcW w:w="3051" w:type="dxa"/>
                  <w:gridSpan w:val="5"/>
                  <w:tcBorders>
                    <w:top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kern w:val="2"/>
                    </w:rPr>
                    <w:t>NO</w:t>
                  </w:r>
                  <w:r>
                    <w:rPr>
                      <w:rFonts w:ascii="Times New Roman" w:hAnsi="Times New Roman" w:cs="Times New Roman"/>
                      <w:b/>
                      <w:bCs/>
                      <w:kern w:val="2"/>
                      <w:vertAlign w:val="subscript"/>
                    </w:rPr>
                    <w:t>x</w:t>
                  </w:r>
                </w:p>
              </w:tc>
              <w:tc>
                <w:tcPr>
                  <w:tcW w:w="3049" w:type="dxa"/>
                  <w:gridSpan w:val="4"/>
                  <w:tcBorders>
                    <w:top w:val="single" w:color="auto" w:sz="4" w:space="0"/>
                    <w:right w:val="single" w:color="auto" w:sz="4" w:space="0"/>
                  </w:tcBorders>
                  <w:vAlign w:val="center"/>
                </w:tcPr>
                <w:p>
                  <w:pPr>
                    <w:spacing w:line="276" w:lineRule="auto"/>
                    <w:jc w:val="center"/>
                    <w:rPr>
                      <w:rFonts w:ascii="Times New Roman" w:hAnsi="Times New Roman" w:cs="Times New Roman"/>
                      <w:b/>
                      <w:bCs/>
                      <w:spacing w:val="-20"/>
                      <w:kern w:val="2"/>
                    </w:rPr>
                  </w:pPr>
                  <w:r>
                    <w:rPr>
                      <w:rFonts w:ascii="Times New Roman" w:hAnsi="Times New Roman" w:cs="Times New Roman"/>
                      <w:b/>
                      <w:bCs/>
                      <w:spacing w:val="-20"/>
                      <w:kern w:val="2"/>
                    </w:rPr>
                    <w:t>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continue"/>
                  <w:tcBorders>
                    <w:right w:val="single" w:color="auto" w:sz="4" w:space="0"/>
                  </w:tcBorders>
                  <w:vAlign w:val="center"/>
                </w:tcPr>
                <w:p>
                  <w:pPr>
                    <w:spacing w:line="276" w:lineRule="auto"/>
                    <w:jc w:val="center"/>
                    <w:rPr>
                      <w:rFonts w:ascii="Times New Roman" w:hAnsi="Times New Roman" w:cs="Times New Roman"/>
                      <w:b/>
                      <w:bCs/>
                    </w:rPr>
                  </w:pPr>
                </w:p>
              </w:tc>
              <w:tc>
                <w:tcPr>
                  <w:tcW w:w="611" w:type="dxa"/>
                  <w:vMerge w:val="continue"/>
                  <w:tcBorders>
                    <w:left w:val="single" w:color="auto" w:sz="4" w:space="0"/>
                  </w:tcBorders>
                  <w:vAlign w:val="center"/>
                </w:tcPr>
                <w:p>
                  <w:pPr>
                    <w:spacing w:line="276" w:lineRule="auto"/>
                    <w:jc w:val="center"/>
                    <w:rPr>
                      <w:rFonts w:ascii="Times New Roman" w:hAnsi="Times New Roman" w:cs="Times New Roman"/>
                      <w:b/>
                      <w:bCs/>
                    </w:rPr>
                  </w:pPr>
                </w:p>
              </w:tc>
              <w:tc>
                <w:tcPr>
                  <w:tcW w:w="1015" w:type="dxa"/>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spacing w:val="-28"/>
                    </w:rPr>
                  </w:pPr>
                  <w:r>
                    <w:rPr>
                      <w:rFonts w:ascii="Times New Roman" w:hAnsi="Times New Roman" w:cs="Times New Roman"/>
                      <w:b/>
                      <w:bCs/>
                      <w:spacing w:val="-28"/>
                    </w:rPr>
                    <w:t>mg/m³</w:t>
                  </w:r>
                </w:p>
              </w:tc>
              <w:tc>
                <w:tcPr>
                  <w:tcW w:w="1018"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spacing w:val="-28"/>
                    </w:rPr>
                    <w:t>mg/m³</w:t>
                  </w:r>
                </w:p>
              </w:tc>
              <w:tc>
                <w:tcPr>
                  <w:tcW w:w="1018" w:type="dxa"/>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c>
                <w:tcPr>
                  <w:tcW w:w="1018"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spacing w:val="-28"/>
                    </w:rPr>
                  </w:pPr>
                  <w:r>
                    <w:rPr>
                      <w:rFonts w:ascii="Times New Roman" w:hAnsi="Times New Roman" w:cs="Times New Roman"/>
                      <w:b/>
                      <w:bCs/>
                      <w:spacing w:val="-28"/>
                    </w:rPr>
                    <w:t>mg/m³</w:t>
                  </w:r>
                </w:p>
              </w:tc>
              <w:tc>
                <w:tcPr>
                  <w:tcW w:w="1015" w:type="dxa"/>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spacing w:val="-28"/>
                    </w:rPr>
                    <w:t>mg/m³</w:t>
                  </w:r>
                </w:p>
              </w:tc>
              <w:tc>
                <w:tcPr>
                  <w:tcW w:w="1018"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c>
                <w:tcPr>
                  <w:tcW w:w="1018"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spacing w:val="-28"/>
                    </w:rPr>
                  </w:pPr>
                  <w:r>
                    <w:rPr>
                      <w:rFonts w:ascii="Times New Roman" w:hAnsi="Times New Roman" w:cs="Times New Roman"/>
                      <w:b/>
                      <w:bCs/>
                      <w:spacing w:val="-28"/>
                    </w:rPr>
                    <w:t>mg/m³</w:t>
                  </w:r>
                </w:p>
              </w:tc>
              <w:tc>
                <w:tcPr>
                  <w:tcW w:w="1018" w:type="dxa"/>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spacing w:val="-28"/>
                    </w:rPr>
                    <w:t>mg/m³</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c>
                <w:tcPr>
                  <w:tcW w:w="1018" w:type="dxa"/>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spacing w:val="-28"/>
                    </w:rPr>
                  </w:pPr>
                  <w:r>
                    <w:rPr>
                      <w:rFonts w:ascii="Times New Roman" w:hAnsi="Times New Roman" w:cs="Times New Roman"/>
                      <w:b/>
                      <w:bCs/>
                      <w:spacing w:val="-28"/>
                    </w:rPr>
                    <w:t>mg/m³</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spacing w:val="-28"/>
                    </w:rPr>
                    <w:t>mg/m³</w:t>
                  </w:r>
                </w:p>
              </w:tc>
              <w:tc>
                <w:tcPr>
                  <w:tcW w:w="1013" w:type="dxa"/>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spacing w:val="-20"/>
                    </w:rPr>
                    <w:t>2021.8.3</w:t>
                  </w: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1.5</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1.6</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0.57</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55</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60</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20.8</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88</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96</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33.3</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continue"/>
                  <w:tcBorders>
                    <w:right w:val="single" w:color="auto" w:sz="4" w:space="0"/>
                  </w:tcBorders>
                  <w:vAlign w:val="center"/>
                </w:tcPr>
                <w:p>
                  <w:pPr>
                    <w:spacing w:line="276" w:lineRule="auto"/>
                    <w:jc w:val="center"/>
                    <w:rPr>
                      <w:rFonts w:ascii="Times New Roman" w:hAnsi="Times New Roman" w:cs="Times New Roman"/>
                    </w:rPr>
                  </w:pP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0.17</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88</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99</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29.3</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117</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131</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38.9</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continue"/>
                  <w:tcBorders>
                    <w:right w:val="single" w:color="auto" w:sz="4" w:space="0"/>
                  </w:tcBorders>
                  <w:vAlign w:val="center"/>
                </w:tcPr>
                <w:p>
                  <w:pPr>
                    <w:spacing w:line="276" w:lineRule="auto"/>
                    <w:jc w:val="center"/>
                    <w:rPr>
                      <w:rFonts w:ascii="Times New Roman" w:hAnsi="Times New Roman" w:cs="Times New Roman"/>
                    </w:rPr>
                  </w:pP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2.2</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0.55</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84</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93</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23.1</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149</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165</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41.0</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spacing w:val="-20"/>
                    </w:rPr>
                    <w:t>2021.8.4</w:t>
                  </w: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1.7</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1.9</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0.66</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43</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47</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16.8</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85</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93</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33.1</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continue"/>
                  <w:tcBorders>
                    <w:right w:val="single" w:color="auto" w:sz="4" w:space="0"/>
                  </w:tcBorders>
                  <w:vAlign w:val="center"/>
                </w:tcPr>
                <w:p>
                  <w:pPr>
                    <w:spacing w:line="276" w:lineRule="auto"/>
                    <w:jc w:val="center"/>
                    <w:rPr>
                      <w:rFonts w:ascii="Times New Roman" w:hAnsi="Times New Roman" w:cs="Times New Roman"/>
                    </w:rPr>
                  </w:pP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1.6</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1.7</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0.54</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30</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33</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10.1</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68</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74</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22.8</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continue"/>
                  <w:tcBorders>
                    <w:right w:val="single" w:color="auto" w:sz="4" w:space="0"/>
                  </w:tcBorders>
                  <w:vAlign w:val="center"/>
                </w:tcPr>
                <w:p>
                  <w:pPr>
                    <w:spacing w:line="276" w:lineRule="auto"/>
                    <w:jc w:val="center"/>
                    <w:rPr>
                      <w:rFonts w:ascii="Times New Roman" w:hAnsi="Times New Roman" w:cs="Times New Roman"/>
                    </w:rPr>
                  </w:pP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1.6</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1.7</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0.53</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29</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31</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9.69</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70</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74</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23.4</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45" w:type="dxa"/>
                  <w:gridSpan w:val="3"/>
                  <w:shd w:val="clear" w:color="auto" w:fill="D9D9D9"/>
                  <w:vAlign w:val="center"/>
                </w:tcPr>
                <w:p>
                  <w:pPr>
                    <w:spacing w:line="276" w:lineRule="auto"/>
                    <w:jc w:val="center"/>
                    <w:rPr>
                      <w:rFonts w:ascii="Times New Roman" w:hAnsi="Times New Roman" w:cs="Times New Roman"/>
                      <w:b/>
                      <w:bCs/>
                    </w:rPr>
                  </w:pPr>
                  <w:r>
                    <w:rPr>
                      <w:rFonts w:ascii="Times New Roman" w:hAnsi="Times New Roman" w:cs="Times New Roman"/>
                      <w:b/>
                      <w:bCs/>
                      <w:spacing w:val="-20"/>
                    </w:rPr>
                    <w:t>平均值</w:t>
                  </w:r>
                </w:p>
              </w:tc>
              <w:tc>
                <w:tcPr>
                  <w:tcW w:w="1015"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1.7</w:t>
                  </w:r>
                </w:p>
              </w:tc>
              <w:tc>
                <w:tcPr>
                  <w:tcW w:w="1018" w:type="dxa"/>
                  <w:gridSpan w:val="2"/>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1.8</w:t>
                  </w:r>
                </w:p>
              </w:tc>
              <w:tc>
                <w:tcPr>
                  <w:tcW w:w="1018"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0.5</w:t>
                  </w:r>
                </w:p>
              </w:tc>
              <w:tc>
                <w:tcPr>
                  <w:tcW w:w="1018" w:type="dxa"/>
                  <w:gridSpan w:val="2"/>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55</w:t>
                  </w:r>
                </w:p>
              </w:tc>
              <w:tc>
                <w:tcPr>
                  <w:tcW w:w="1015"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60</w:t>
                  </w:r>
                </w:p>
              </w:tc>
              <w:tc>
                <w:tcPr>
                  <w:tcW w:w="1018" w:type="dxa"/>
                  <w:gridSpan w:val="2"/>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18.3</w:t>
                  </w:r>
                </w:p>
              </w:tc>
              <w:tc>
                <w:tcPr>
                  <w:tcW w:w="1018" w:type="dxa"/>
                  <w:gridSpan w:val="2"/>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96</w:t>
                  </w:r>
                </w:p>
              </w:tc>
              <w:tc>
                <w:tcPr>
                  <w:tcW w:w="1018"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106</w:t>
                  </w:r>
                </w:p>
              </w:tc>
              <w:tc>
                <w:tcPr>
                  <w:tcW w:w="1015" w:type="dxa"/>
                  <w:gridSpan w:val="2"/>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32.1</w:t>
                  </w:r>
                </w:p>
              </w:tc>
              <w:tc>
                <w:tcPr>
                  <w:tcW w:w="1018" w:type="dxa"/>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45" w:type="dxa"/>
                  <w:gridSpan w:val="3"/>
                  <w:vAlign w:val="center"/>
                </w:tcPr>
                <w:p>
                  <w:pPr>
                    <w:spacing w:line="276" w:lineRule="auto"/>
                    <w:jc w:val="center"/>
                    <w:rPr>
                      <w:rFonts w:ascii="Times New Roman" w:hAnsi="Times New Roman" w:cs="Times New Roman"/>
                      <w:b/>
                      <w:bCs/>
                    </w:rPr>
                  </w:pPr>
                  <w:r>
                    <w:rPr>
                      <w:rFonts w:ascii="Times New Roman" w:hAnsi="Times New Roman" w:cs="Times New Roman"/>
                      <w:b/>
                      <w:bCs/>
                    </w:rPr>
                    <w:t>限值</w:t>
                  </w:r>
                </w:p>
              </w:tc>
              <w:tc>
                <w:tcPr>
                  <w:tcW w:w="12202" w:type="dxa"/>
                  <w:gridSpan w:val="18"/>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45" w:type="dxa"/>
                  <w:gridSpan w:val="3"/>
                  <w:vAlign w:val="center"/>
                </w:tcPr>
                <w:p>
                  <w:pPr>
                    <w:spacing w:line="276" w:lineRule="auto"/>
                    <w:jc w:val="center"/>
                    <w:rPr>
                      <w:rFonts w:ascii="Times New Roman" w:hAnsi="Times New Roman" w:cs="Times New Roman"/>
                      <w:b/>
                      <w:bCs/>
                    </w:rPr>
                  </w:pPr>
                  <w:r>
                    <w:rPr>
                      <w:rFonts w:ascii="Times New Roman" w:hAnsi="Times New Roman" w:cs="Times New Roman"/>
                      <w:b/>
                      <w:bCs/>
                    </w:rPr>
                    <w:t>备注</w:t>
                  </w:r>
                </w:p>
              </w:tc>
              <w:tc>
                <w:tcPr>
                  <w:tcW w:w="12202" w:type="dxa"/>
                  <w:gridSpan w:val="18"/>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监测结果低于检出限按ND报出。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45" w:type="dxa"/>
                  <w:gridSpan w:val="3"/>
                  <w:vAlign w:val="center"/>
                </w:tcPr>
                <w:p>
                  <w:pPr>
                    <w:spacing w:line="276" w:lineRule="auto"/>
                    <w:jc w:val="center"/>
                    <w:rPr>
                      <w:rFonts w:ascii="Times New Roman" w:hAnsi="Times New Roman" w:cs="Times New Roman"/>
                      <w:b/>
                      <w:bCs/>
                    </w:rPr>
                  </w:pPr>
                  <w:r>
                    <w:rPr>
                      <w:rFonts w:ascii="Times New Roman" w:hAnsi="Times New Roman" w:cs="Times New Roman"/>
                      <w:b/>
                      <w:bCs/>
                    </w:rPr>
                    <w:t>结论</w:t>
                  </w:r>
                </w:p>
              </w:tc>
              <w:tc>
                <w:tcPr>
                  <w:tcW w:w="12202" w:type="dxa"/>
                  <w:gridSpan w:val="18"/>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bl>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p>
          <w:p>
            <w:pPr>
              <w:pStyle w:val="32"/>
              <w:jc w:val="center"/>
              <w:rPr>
                <w:sz w:val="24"/>
                <w:szCs w:val="24"/>
              </w:rPr>
            </w:pPr>
            <w:r>
              <w:rPr>
                <w:sz w:val="24"/>
                <w:szCs w:val="24"/>
              </w:rPr>
              <w:t>表2</w:t>
            </w:r>
            <w:r>
              <w:rPr>
                <w:rFonts w:hint="eastAsia"/>
                <w:sz w:val="24"/>
                <w:szCs w:val="24"/>
              </w:rPr>
              <w:t>5</w:t>
            </w:r>
            <w:r>
              <w:rPr>
                <w:sz w:val="24"/>
                <w:szCs w:val="24"/>
              </w:rPr>
              <w:t xml:space="preserve">  脱硫系统进口监测结果一览表</w:t>
            </w:r>
          </w:p>
          <w:tbl>
            <w:tblPr>
              <w:tblStyle w:val="21"/>
              <w:tblW w:w="13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6"/>
              <w:gridCol w:w="611"/>
              <w:gridCol w:w="1015"/>
              <w:gridCol w:w="728"/>
              <w:gridCol w:w="290"/>
              <w:gridCol w:w="1018"/>
              <w:gridCol w:w="435"/>
              <w:gridCol w:w="583"/>
              <w:gridCol w:w="1015"/>
              <w:gridCol w:w="145"/>
              <w:gridCol w:w="873"/>
              <w:gridCol w:w="870"/>
              <w:gridCol w:w="148"/>
              <w:gridCol w:w="1018"/>
              <w:gridCol w:w="577"/>
              <w:gridCol w:w="438"/>
              <w:gridCol w:w="1018"/>
              <w:gridCol w:w="287"/>
              <w:gridCol w:w="731"/>
              <w:gridCol w:w="1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45"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监测点位</w:t>
                  </w:r>
                </w:p>
              </w:tc>
              <w:tc>
                <w:tcPr>
                  <w:tcW w:w="12202" w:type="dxa"/>
                  <w:gridSpan w:val="18"/>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脱硫入口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监测日期</w:t>
                  </w:r>
                </w:p>
              </w:tc>
              <w:tc>
                <w:tcPr>
                  <w:tcW w:w="617" w:type="dxa"/>
                  <w:gridSpan w:val="2"/>
                  <w:tcBorders>
                    <w:top w:val="single" w:color="auto" w:sz="4" w:space="0"/>
                  </w:tcBorders>
                  <w:vAlign w:val="center"/>
                </w:tcPr>
                <w:p>
                  <w:pPr>
                    <w:spacing w:line="276" w:lineRule="auto"/>
                    <w:jc w:val="center"/>
                    <w:rPr>
                      <w:rFonts w:ascii="Times New Roman" w:hAnsi="Times New Roman" w:cs="Times New Roman"/>
                      <w:b/>
                      <w:bCs/>
                      <w:spacing w:val="-20"/>
                    </w:rPr>
                  </w:pPr>
                  <w:r>
                    <w:rPr>
                      <w:rFonts w:ascii="Times New Roman" w:hAnsi="Times New Roman" w:cs="Times New Roman"/>
                      <w:b/>
                      <w:bCs/>
                      <w:spacing w:val="-20"/>
                    </w:rPr>
                    <w:t>监测</w:t>
                  </w:r>
                </w:p>
                <w:p>
                  <w:pPr>
                    <w:spacing w:line="276" w:lineRule="auto"/>
                    <w:jc w:val="center"/>
                    <w:rPr>
                      <w:rFonts w:ascii="Times New Roman" w:hAnsi="Times New Roman" w:cs="Times New Roman"/>
                      <w:b/>
                      <w:bCs/>
                    </w:rPr>
                  </w:pPr>
                  <w:r>
                    <w:rPr>
                      <w:rFonts w:ascii="Times New Roman" w:hAnsi="Times New Roman" w:cs="Times New Roman"/>
                      <w:b/>
                      <w:bCs/>
                      <w:spacing w:val="-20"/>
                    </w:rPr>
                    <w:t>次数</w:t>
                  </w:r>
                </w:p>
              </w:tc>
              <w:tc>
                <w:tcPr>
                  <w:tcW w:w="1743" w:type="dxa"/>
                  <w:gridSpan w:val="2"/>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烟气温度℃</w:t>
                  </w:r>
                </w:p>
              </w:tc>
              <w:tc>
                <w:tcPr>
                  <w:tcW w:w="1743"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含湿量%</w:t>
                  </w:r>
                </w:p>
              </w:tc>
              <w:tc>
                <w:tcPr>
                  <w:tcW w:w="1743"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动压Pa</w:t>
                  </w:r>
                </w:p>
              </w:tc>
              <w:tc>
                <w:tcPr>
                  <w:tcW w:w="1743" w:type="dxa"/>
                  <w:gridSpan w:val="2"/>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流速m/s</w:t>
                  </w:r>
                </w:p>
              </w:tc>
              <w:tc>
                <w:tcPr>
                  <w:tcW w:w="1743"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工况流量m</w:t>
                  </w:r>
                  <w:r>
                    <w:rPr>
                      <w:rFonts w:ascii="Times New Roman" w:hAnsi="Times New Roman" w:cs="Times New Roman"/>
                      <w:b/>
                      <w:bCs/>
                      <w:vertAlign w:val="superscript"/>
                    </w:rPr>
                    <w:t>3</w:t>
                  </w:r>
                  <w:r>
                    <w:rPr>
                      <w:rFonts w:ascii="Times New Roman" w:hAnsi="Times New Roman" w:cs="Times New Roman"/>
                      <w:b/>
                      <w:bCs/>
                    </w:rPr>
                    <w:t>/h</w:t>
                  </w:r>
                </w:p>
              </w:tc>
              <w:tc>
                <w:tcPr>
                  <w:tcW w:w="1743" w:type="dxa"/>
                  <w:gridSpan w:val="3"/>
                  <w:tcBorders>
                    <w:top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标干流量m</w:t>
                  </w:r>
                  <w:r>
                    <w:rPr>
                      <w:rFonts w:ascii="Times New Roman" w:hAnsi="Times New Roman" w:cs="Times New Roman"/>
                      <w:b/>
                      <w:bCs/>
                      <w:vertAlign w:val="superscript"/>
                    </w:rPr>
                    <w:t>3</w:t>
                  </w:r>
                  <w:r>
                    <w:rPr>
                      <w:rFonts w:ascii="Times New Roman" w:hAnsi="Times New Roman" w:cs="Times New Roman"/>
                      <w:b/>
                      <w:bCs/>
                    </w:rPr>
                    <w:t>/h</w:t>
                  </w:r>
                </w:p>
              </w:tc>
              <w:tc>
                <w:tcPr>
                  <w:tcW w:w="1744" w:type="dxa"/>
                  <w:gridSpan w:val="2"/>
                  <w:tcBorders>
                    <w:top w:val="single" w:color="auto" w:sz="4" w:space="0"/>
                    <w:lef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spacing w:val="-20"/>
                    </w:rPr>
                    <w:t>氧含量</w:t>
                  </w:r>
                  <w:r>
                    <w:rPr>
                      <w:rFonts w:ascii="Times New Roman" w:hAnsi="Times New Roman" w:cs="Times New Roman"/>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restart"/>
                  <w:vAlign w:val="center"/>
                </w:tcPr>
                <w:p>
                  <w:pPr>
                    <w:spacing w:line="276" w:lineRule="auto"/>
                    <w:jc w:val="center"/>
                    <w:rPr>
                      <w:rFonts w:ascii="Times New Roman" w:hAnsi="Times New Roman" w:cs="Times New Roman"/>
                    </w:rPr>
                  </w:pPr>
                  <w:r>
                    <w:rPr>
                      <w:rFonts w:ascii="Times New Roman" w:hAnsi="Times New Roman" w:cs="Times New Roman"/>
                      <w:spacing w:val="-20"/>
                    </w:rPr>
                    <w:t>2021.8.3</w:t>
                  </w:r>
                </w:p>
              </w:tc>
              <w:tc>
                <w:tcPr>
                  <w:tcW w:w="617" w:type="dxa"/>
                  <w:gridSpan w:val="2"/>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143.5</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20.3</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25</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6.6</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457535</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216022</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continue"/>
                  <w:vAlign w:val="center"/>
                </w:tcPr>
                <w:p>
                  <w:pPr>
                    <w:spacing w:line="276" w:lineRule="auto"/>
                    <w:jc w:val="center"/>
                    <w:rPr>
                      <w:rFonts w:ascii="Times New Roman" w:hAnsi="Times New Roman" w:cs="Times New Roman"/>
                    </w:rPr>
                  </w:pPr>
                </w:p>
              </w:tc>
              <w:tc>
                <w:tcPr>
                  <w:tcW w:w="617" w:type="dxa"/>
                  <w:gridSpan w:val="2"/>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145.2</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19.8</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24</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6.5</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451252</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213469</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continue"/>
                  <w:vAlign w:val="center"/>
                </w:tcPr>
                <w:p>
                  <w:pPr>
                    <w:spacing w:line="276" w:lineRule="auto"/>
                    <w:jc w:val="center"/>
                    <w:rPr>
                      <w:rFonts w:ascii="Times New Roman" w:hAnsi="Times New Roman" w:cs="Times New Roman"/>
                    </w:rPr>
                  </w:pPr>
                </w:p>
              </w:tc>
              <w:tc>
                <w:tcPr>
                  <w:tcW w:w="617" w:type="dxa"/>
                  <w:gridSpan w:val="2"/>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142.7</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19.6</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25</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6.6</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457483</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218665</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spacing w:val="-20"/>
                    </w:rPr>
                    <w:t>2021.8.4</w:t>
                  </w:r>
                </w:p>
              </w:tc>
              <w:tc>
                <w:tcPr>
                  <w:tcW w:w="617"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146.3</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19.2</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24</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6.5</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451727</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214948</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617"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147.1</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19.6</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26</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6.7</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466540</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220322</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8"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617"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146.5</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19.3</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24</w:t>
                  </w:r>
                </w:p>
              </w:tc>
              <w:tc>
                <w:tcPr>
                  <w:tcW w:w="1743" w:type="dxa"/>
                  <w:gridSpan w:val="2"/>
                  <w:vAlign w:val="center"/>
                </w:tcPr>
                <w:p>
                  <w:pPr>
                    <w:spacing w:line="276" w:lineRule="auto"/>
                    <w:jc w:val="center"/>
                    <w:rPr>
                      <w:rFonts w:ascii="Times New Roman" w:hAnsi="Times New Roman" w:cs="Times New Roman"/>
                    </w:rPr>
                  </w:pPr>
                  <w:r>
                    <w:rPr>
                      <w:rFonts w:ascii="Times New Roman" w:hAnsi="Times New Roman" w:cs="Times New Roman"/>
                    </w:rPr>
                    <w:t>6.5</w:t>
                  </w:r>
                </w:p>
              </w:tc>
              <w:tc>
                <w:tcPr>
                  <w:tcW w:w="1743" w:type="dxa"/>
                  <w:gridSpan w:val="3"/>
                  <w:vAlign w:val="center"/>
                </w:tcPr>
                <w:p>
                  <w:pPr>
                    <w:spacing w:line="276" w:lineRule="auto"/>
                    <w:jc w:val="center"/>
                    <w:rPr>
                      <w:rFonts w:ascii="Times New Roman" w:hAnsi="Times New Roman" w:cs="Times New Roman"/>
                    </w:rPr>
                  </w:pPr>
                  <w:r>
                    <w:rPr>
                      <w:rFonts w:ascii="Times New Roman" w:hAnsi="Times New Roman" w:cs="Times New Roman"/>
                    </w:rPr>
                    <w:t>448158</w:t>
                  </w:r>
                </w:p>
              </w:tc>
              <w:tc>
                <w:tcPr>
                  <w:tcW w:w="1743"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212602</w:t>
                  </w:r>
                </w:p>
              </w:tc>
              <w:tc>
                <w:tcPr>
                  <w:tcW w:w="174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restart"/>
                  <w:tcBorders>
                    <w:top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监测</w:t>
                  </w:r>
                </w:p>
                <w:p>
                  <w:pPr>
                    <w:spacing w:line="276" w:lineRule="auto"/>
                    <w:jc w:val="center"/>
                    <w:rPr>
                      <w:rFonts w:ascii="Times New Roman" w:hAnsi="Times New Roman" w:cs="Times New Roman"/>
                      <w:b/>
                      <w:bCs/>
                    </w:rPr>
                  </w:pPr>
                  <w:r>
                    <w:rPr>
                      <w:rFonts w:ascii="Times New Roman" w:hAnsi="Times New Roman" w:cs="Times New Roman"/>
                      <w:b/>
                      <w:bCs/>
                    </w:rPr>
                    <w:t>日期</w:t>
                  </w:r>
                </w:p>
              </w:tc>
              <w:tc>
                <w:tcPr>
                  <w:tcW w:w="611" w:type="dxa"/>
                  <w:vMerge w:val="restart"/>
                  <w:tcBorders>
                    <w:top w:val="single" w:color="auto" w:sz="4" w:space="0"/>
                    <w:left w:val="single" w:color="auto" w:sz="4" w:space="0"/>
                  </w:tcBorders>
                  <w:vAlign w:val="center"/>
                </w:tcPr>
                <w:p>
                  <w:pPr>
                    <w:spacing w:line="276" w:lineRule="auto"/>
                    <w:jc w:val="center"/>
                    <w:rPr>
                      <w:rFonts w:ascii="Times New Roman" w:hAnsi="Times New Roman" w:cs="Times New Roman"/>
                      <w:b/>
                      <w:bCs/>
                      <w:spacing w:val="-20"/>
                    </w:rPr>
                  </w:pPr>
                  <w:r>
                    <w:rPr>
                      <w:rFonts w:ascii="Times New Roman" w:hAnsi="Times New Roman" w:cs="Times New Roman"/>
                      <w:b/>
                      <w:bCs/>
                      <w:spacing w:val="-20"/>
                    </w:rPr>
                    <w:t>监测</w:t>
                  </w:r>
                </w:p>
                <w:p>
                  <w:pPr>
                    <w:spacing w:line="276" w:lineRule="auto"/>
                    <w:jc w:val="center"/>
                    <w:rPr>
                      <w:rFonts w:ascii="Times New Roman" w:hAnsi="Times New Roman" w:cs="Times New Roman"/>
                      <w:b/>
                      <w:bCs/>
                      <w:spacing w:val="-20"/>
                    </w:rPr>
                  </w:pPr>
                  <w:r>
                    <w:rPr>
                      <w:rFonts w:ascii="Times New Roman" w:hAnsi="Times New Roman" w:cs="Times New Roman"/>
                      <w:b/>
                      <w:bCs/>
                      <w:spacing w:val="-20"/>
                    </w:rPr>
                    <w:t>次数</w:t>
                  </w:r>
                </w:p>
              </w:tc>
              <w:tc>
                <w:tcPr>
                  <w:tcW w:w="3051" w:type="dxa"/>
                  <w:gridSpan w:val="4"/>
                  <w:tcBorders>
                    <w:top w:val="single" w:color="auto" w:sz="4" w:space="0"/>
                    <w:bottom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颗粒物</w:t>
                  </w:r>
                </w:p>
              </w:tc>
              <w:tc>
                <w:tcPr>
                  <w:tcW w:w="3051" w:type="dxa"/>
                  <w:gridSpan w:val="5"/>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kern w:val="2"/>
                    </w:rPr>
                    <w:t>SO</w:t>
                  </w:r>
                  <w:r>
                    <w:rPr>
                      <w:rFonts w:ascii="Times New Roman" w:hAnsi="Times New Roman" w:cs="Times New Roman"/>
                      <w:b/>
                      <w:bCs/>
                      <w:kern w:val="2"/>
                      <w:vertAlign w:val="subscript"/>
                    </w:rPr>
                    <w:t>2</w:t>
                  </w:r>
                </w:p>
              </w:tc>
              <w:tc>
                <w:tcPr>
                  <w:tcW w:w="3051" w:type="dxa"/>
                  <w:gridSpan w:val="5"/>
                  <w:tcBorders>
                    <w:top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kern w:val="2"/>
                    </w:rPr>
                    <w:t>NO</w:t>
                  </w:r>
                  <w:r>
                    <w:rPr>
                      <w:rFonts w:ascii="Times New Roman" w:hAnsi="Times New Roman" w:cs="Times New Roman"/>
                      <w:b/>
                      <w:bCs/>
                      <w:kern w:val="2"/>
                      <w:vertAlign w:val="subscript"/>
                    </w:rPr>
                    <w:t>x</w:t>
                  </w:r>
                </w:p>
              </w:tc>
              <w:tc>
                <w:tcPr>
                  <w:tcW w:w="3049" w:type="dxa"/>
                  <w:gridSpan w:val="4"/>
                  <w:tcBorders>
                    <w:top w:val="single" w:color="auto" w:sz="4" w:space="0"/>
                    <w:right w:val="single" w:color="auto" w:sz="4" w:space="0"/>
                  </w:tcBorders>
                  <w:vAlign w:val="center"/>
                </w:tcPr>
                <w:p>
                  <w:pPr>
                    <w:spacing w:line="276" w:lineRule="auto"/>
                    <w:jc w:val="center"/>
                    <w:rPr>
                      <w:rFonts w:ascii="Times New Roman" w:hAnsi="Times New Roman" w:cs="Times New Roman"/>
                      <w:b/>
                      <w:bCs/>
                      <w:spacing w:val="-20"/>
                      <w:kern w:val="2"/>
                    </w:rPr>
                  </w:pPr>
                  <w:r>
                    <w:rPr>
                      <w:rFonts w:ascii="Times New Roman" w:hAnsi="Times New Roman" w:cs="Times New Roman"/>
                      <w:b/>
                      <w:bCs/>
                      <w:spacing w:val="-20"/>
                      <w:kern w:val="2"/>
                    </w:rPr>
                    <w:t>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continue"/>
                  <w:tcBorders>
                    <w:right w:val="single" w:color="auto" w:sz="4" w:space="0"/>
                  </w:tcBorders>
                  <w:vAlign w:val="center"/>
                </w:tcPr>
                <w:p>
                  <w:pPr>
                    <w:spacing w:line="276" w:lineRule="auto"/>
                    <w:jc w:val="center"/>
                    <w:rPr>
                      <w:rFonts w:ascii="Times New Roman" w:hAnsi="Times New Roman" w:cs="Times New Roman"/>
                      <w:b/>
                      <w:bCs/>
                    </w:rPr>
                  </w:pPr>
                </w:p>
              </w:tc>
              <w:tc>
                <w:tcPr>
                  <w:tcW w:w="611" w:type="dxa"/>
                  <w:vMerge w:val="continue"/>
                  <w:tcBorders>
                    <w:left w:val="single" w:color="auto" w:sz="4" w:space="0"/>
                  </w:tcBorders>
                  <w:vAlign w:val="center"/>
                </w:tcPr>
                <w:p>
                  <w:pPr>
                    <w:spacing w:line="276" w:lineRule="auto"/>
                    <w:jc w:val="center"/>
                    <w:rPr>
                      <w:rFonts w:ascii="Times New Roman" w:hAnsi="Times New Roman" w:cs="Times New Roman"/>
                      <w:b/>
                      <w:bCs/>
                    </w:rPr>
                  </w:pPr>
                </w:p>
              </w:tc>
              <w:tc>
                <w:tcPr>
                  <w:tcW w:w="1015" w:type="dxa"/>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spacing w:val="-28"/>
                    </w:rPr>
                  </w:pPr>
                  <w:r>
                    <w:rPr>
                      <w:rFonts w:ascii="Times New Roman" w:hAnsi="Times New Roman" w:cs="Times New Roman"/>
                      <w:b/>
                      <w:bCs/>
                      <w:spacing w:val="-28"/>
                    </w:rPr>
                    <w:t>mg/m³</w:t>
                  </w:r>
                </w:p>
              </w:tc>
              <w:tc>
                <w:tcPr>
                  <w:tcW w:w="1018"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spacing w:val="-28"/>
                    </w:rPr>
                    <w:t>mg/m³</w:t>
                  </w:r>
                </w:p>
              </w:tc>
              <w:tc>
                <w:tcPr>
                  <w:tcW w:w="1018" w:type="dxa"/>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c>
                <w:tcPr>
                  <w:tcW w:w="1018"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spacing w:val="-28"/>
                    </w:rPr>
                  </w:pPr>
                  <w:r>
                    <w:rPr>
                      <w:rFonts w:ascii="Times New Roman" w:hAnsi="Times New Roman" w:cs="Times New Roman"/>
                      <w:b/>
                      <w:bCs/>
                      <w:spacing w:val="-28"/>
                    </w:rPr>
                    <w:t>mg/m³</w:t>
                  </w:r>
                </w:p>
              </w:tc>
              <w:tc>
                <w:tcPr>
                  <w:tcW w:w="1015" w:type="dxa"/>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spacing w:val="-28"/>
                    </w:rPr>
                    <w:t>mg/m³</w:t>
                  </w:r>
                </w:p>
              </w:tc>
              <w:tc>
                <w:tcPr>
                  <w:tcW w:w="1018"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c>
                <w:tcPr>
                  <w:tcW w:w="1018"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spacing w:val="-28"/>
                    </w:rPr>
                  </w:pPr>
                  <w:r>
                    <w:rPr>
                      <w:rFonts w:ascii="Times New Roman" w:hAnsi="Times New Roman" w:cs="Times New Roman"/>
                      <w:b/>
                      <w:bCs/>
                      <w:spacing w:val="-28"/>
                    </w:rPr>
                    <w:t>mg/m³</w:t>
                  </w:r>
                </w:p>
              </w:tc>
              <w:tc>
                <w:tcPr>
                  <w:tcW w:w="1018" w:type="dxa"/>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spacing w:val="-28"/>
                    </w:rPr>
                    <w:t>mg/m³</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c>
                <w:tcPr>
                  <w:tcW w:w="1018" w:type="dxa"/>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spacing w:val="-28"/>
                    </w:rPr>
                  </w:pPr>
                  <w:r>
                    <w:rPr>
                      <w:rFonts w:ascii="Times New Roman" w:hAnsi="Times New Roman" w:cs="Times New Roman"/>
                      <w:b/>
                      <w:bCs/>
                      <w:spacing w:val="-28"/>
                    </w:rPr>
                    <w:t>mg/m³</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spacing w:val="-28"/>
                    </w:rPr>
                    <w:t>mg/m³</w:t>
                  </w:r>
                </w:p>
              </w:tc>
              <w:tc>
                <w:tcPr>
                  <w:tcW w:w="1013" w:type="dxa"/>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spacing w:val="-20"/>
                    </w:rPr>
                    <w:t>2021.8.3</w:t>
                  </w: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1.7</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1.8</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0.37</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90</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96</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19.4</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22</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24</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4.75</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continue"/>
                  <w:tcBorders>
                    <w:right w:val="single" w:color="auto" w:sz="4" w:space="0"/>
                  </w:tcBorders>
                  <w:vAlign w:val="center"/>
                </w:tcPr>
                <w:p>
                  <w:pPr>
                    <w:spacing w:line="276" w:lineRule="auto"/>
                    <w:jc w:val="center"/>
                    <w:rPr>
                      <w:rFonts w:ascii="Times New Roman" w:hAnsi="Times New Roman" w:cs="Times New Roman"/>
                    </w:rPr>
                  </w:pP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1.4</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1.5</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0.30</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89</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95</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19.0</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21</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23</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4.48</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continue"/>
                  <w:tcBorders>
                    <w:right w:val="single" w:color="auto" w:sz="4" w:space="0"/>
                  </w:tcBorders>
                  <w:vAlign w:val="center"/>
                </w:tcPr>
                <w:p>
                  <w:pPr>
                    <w:spacing w:line="276" w:lineRule="auto"/>
                    <w:jc w:val="center"/>
                    <w:rPr>
                      <w:rFonts w:ascii="Times New Roman" w:hAnsi="Times New Roman" w:cs="Times New Roman"/>
                    </w:rPr>
                  </w:pP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1.2</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1.3</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0.26</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79</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86</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17.3</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22</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4.37</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spacing w:val="-20"/>
                    </w:rPr>
                    <w:t>2021.8.4</w:t>
                  </w: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0.11</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48</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52</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10.3</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12</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13</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2.58</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continue"/>
                  <w:tcBorders>
                    <w:right w:val="single" w:color="auto" w:sz="4" w:space="0"/>
                  </w:tcBorders>
                  <w:vAlign w:val="center"/>
                </w:tcPr>
                <w:p>
                  <w:pPr>
                    <w:spacing w:line="276" w:lineRule="auto"/>
                    <w:jc w:val="center"/>
                    <w:rPr>
                      <w:rFonts w:ascii="Times New Roman" w:hAnsi="Times New Roman" w:cs="Times New Roman"/>
                    </w:rPr>
                  </w:pP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1.2</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1.3</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0.26</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52</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56</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11.5</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13</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14</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2.86</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34" w:type="dxa"/>
                  <w:gridSpan w:val="2"/>
                  <w:vMerge w:val="continue"/>
                  <w:tcBorders>
                    <w:right w:val="single" w:color="auto" w:sz="4" w:space="0"/>
                  </w:tcBorders>
                  <w:vAlign w:val="center"/>
                </w:tcPr>
                <w:p>
                  <w:pPr>
                    <w:spacing w:line="276" w:lineRule="auto"/>
                    <w:jc w:val="center"/>
                    <w:rPr>
                      <w:rFonts w:ascii="Times New Roman" w:hAnsi="Times New Roman" w:cs="Times New Roman"/>
                    </w:rPr>
                  </w:pPr>
                </w:p>
              </w:tc>
              <w:tc>
                <w:tcPr>
                  <w:tcW w:w="611"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1.4</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1.5</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0.30</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51</w:t>
                  </w:r>
                </w:p>
              </w:tc>
              <w:tc>
                <w:tcPr>
                  <w:tcW w:w="1015" w:type="dxa"/>
                  <w:vAlign w:val="center"/>
                </w:tcPr>
                <w:p>
                  <w:pPr>
                    <w:spacing w:line="276" w:lineRule="auto"/>
                    <w:jc w:val="center"/>
                    <w:rPr>
                      <w:rFonts w:ascii="Times New Roman" w:hAnsi="Times New Roman" w:cs="Times New Roman"/>
                    </w:rPr>
                  </w:pPr>
                  <w:r>
                    <w:rPr>
                      <w:rFonts w:ascii="Times New Roman" w:hAnsi="Times New Roman" w:cs="Times New Roman"/>
                    </w:rPr>
                    <w:t>54</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10.8</w:t>
                  </w:r>
                </w:p>
              </w:tc>
              <w:tc>
                <w:tcPr>
                  <w:tcW w:w="1018" w:type="dxa"/>
                  <w:gridSpan w:val="2"/>
                  <w:vAlign w:val="center"/>
                </w:tcPr>
                <w:p>
                  <w:pPr>
                    <w:spacing w:line="276" w:lineRule="auto"/>
                    <w:jc w:val="center"/>
                    <w:rPr>
                      <w:rFonts w:ascii="Times New Roman" w:hAnsi="Times New Roman" w:cs="Times New Roman"/>
                    </w:rPr>
                  </w:pPr>
                  <w:r>
                    <w:rPr>
                      <w:rFonts w:ascii="Times New Roman" w:hAnsi="Times New Roman" w:cs="Times New Roman"/>
                    </w:rPr>
                    <w:t>14</w:t>
                  </w:r>
                </w:p>
              </w:tc>
              <w:tc>
                <w:tcPr>
                  <w:tcW w:w="1018" w:type="dxa"/>
                  <w:vAlign w:val="center"/>
                </w:tcPr>
                <w:p>
                  <w:pPr>
                    <w:spacing w:line="276" w:lineRule="auto"/>
                    <w:jc w:val="center"/>
                    <w:rPr>
                      <w:rFonts w:ascii="Times New Roman" w:hAnsi="Times New Roman" w:cs="Times New Roman"/>
                    </w:rPr>
                  </w:pPr>
                  <w:r>
                    <w:rPr>
                      <w:rFonts w:ascii="Times New Roman" w:hAnsi="Times New Roman" w:cs="Times New Roman"/>
                    </w:rPr>
                    <w:t>15</w:t>
                  </w:r>
                </w:p>
              </w:tc>
              <w:tc>
                <w:tcPr>
                  <w:tcW w:w="1015"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2.98</w:t>
                  </w:r>
                </w:p>
              </w:tc>
              <w:tc>
                <w:tcPr>
                  <w:tcW w:w="1018"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45" w:type="dxa"/>
                  <w:gridSpan w:val="3"/>
                  <w:shd w:val="clear" w:color="auto" w:fill="D9D9D9"/>
                  <w:vAlign w:val="center"/>
                </w:tcPr>
                <w:p>
                  <w:pPr>
                    <w:spacing w:line="276" w:lineRule="auto"/>
                    <w:jc w:val="center"/>
                    <w:rPr>
                      <w:rFonts w:ascii="Times New Roman" w:hAnsi="Times New Roman" w:cs="Times New Roman"/>
                      <w:b/>
                      <w:bCs/>
                    </w:rPr>
                  </w:pPr>
                  <w:r>
                    <w:rPr>
                      <w:rFonts w:ascii="Times New Roman" w:hAnsi="Times New Roman" w:cs="Times New Roman"/>
                      <w:b/>
                      <w:bCs/>
                      <w:spacing w:val="-20"/>
                    </w:rPr>
                    <w:t>平均值</w:t>
                  </w:r>
                </w:p>
              </w:tc>
              <w:tc>
                <w:tcPr>
                  <w:tcW w:w="1015"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1.4</w:t>
                  </w:r>
                </w:p>
              </w:tc>
              <w:tc>
                <w:tcPr>
                  <w:tcW w:w="1018" w:type="dxa"/>
                  <w:gridSpan w:val="2"/>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1.5</w:t>
                  </w:r>
                </w:p>
              </w:tc>
              <w:tc>
                <w:tcPr>
                  <w:tcW w:w="1018"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0.27</w:t>
                  </w:r>
                </w:p>
              </w:tc>
              <w:tc>
                <w:tcPr>
                  <w:tcW w:w="1018" w:type="dxa"/>
                  <w:gridSpan w:val="2"/>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68</w:t>
                  </w:r>
                </w:p>
              </w:tc>
              <w:tc>
                <w:tcPr>
                  <w:tcW w:w="1015"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73</w:t>
                  </w:r>
                </w:p>
              </w:tc>
              <w:tc>
                <w:tcPr>
                  <w:tcW w:w="1018" w:type="dxa"/>
                  <w:gridSpan w:val="2"/>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14.7</w:t>
                  </w:r>
                </w:p>
              </w:tc>
              <w:tc>
                <w:tcPr>
                  <w:tcW w:w="1018" w:type="dxa"/>
                  <w:gridSpan w:val="2"/>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17</w:t>
                  </w:r>
                </w:p>
              </w:tc>
              <w:tc>
                <w:tcPr>
                  <w:tcW w:w="1018"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18</w:t>
                  </w:r>
                </w:p>
              </w:tc>
              <w:tc>
                <w:tcPr>
                  <w:tcW w:w="1015" w:type="dxa"/>
                  <w:gridSpan w:val="2"/>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3.67</w:t>
                  </w:r>
                </w:p>
              </w:tc>
              <w:tc>
                <w:tcPr>
                  <w:tcW w:w="1018" w:type="dxa"/>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8" w:type="dxa"/>
                  <w:gridSpan w:val="2"/>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13" w:type="dxa"/>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45" w:type="dxa"/>
                  <w:gridSpan w:val="3"/>
                  <w:vAlign w:val="center"/>
                </w:tcPr>
                <w:p>
                  <w:pPr>
                    <w:spacing w:line="276" w:lineRule="auto"/>
                    <w:jc w:val="center"/>
                    <w:rPr>
                      <w:rFonts w:ascii="Times New Roman" w:hAnsi="Times New Roman" w:cs="Times New Roman"/>
                      <w:b/>
                      <w:bCs/>
                    </w:rPr>
                  </w:pPr>
                  <w:r>
                    <w:rPr>
                      <w:rFonts w:ascii="Times New Roman" w:hAnsi="Times New Roman" w:cs="Times New Roman"/>
                      <w:b/>
                      <w:bCs/>
                    </w:rPr>
                    <w:t>限值</w:t>
                  </w:r>
                </w:p>
              </w:tc>
              <w:tc>
                <w:tcPr>
                  <w:tcW w:w="12202" w:type="dxa"/>
                  <w:gridSpan w:val="18"/>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45" w:type="dxa"/>
                  <w:gridSpan w:val="3"/>
                  <w:vAlign w:val="center"/>
                </w:tcPr>
                <w:p>
                  <w:pPr>
                    <w:spacing w:line="276" w:lineRule="auto"/>
                    <w:jc w:val="center"/>
                    <w:rPr>
                      <w:rFonts w:ascii="Times New Roman" w:hAnsi="Times New Roman" w:cs="Times New Roman"/>
                      <w:b/>
                      <w:bCs/>
                    </w:rPr>
                  </w:pPr>
                  <w:r>
                    <w:rPr>
                      <w:rFonts w:ascii="Times New Roman" w:hAnsi="Times New Roman" w:cs="Times New Roman"/>
                      <w:b/>
                      <w:bCs/>
                    </w:rPr>
                    <w:t>备注</w:t>
                  </w:r>
                </w:p>
              </w:tc>
              <w:tc>
                <w:tcPr>
                  <w:tcW w:w="12202" w:type="dxa"/>
                  <w:gridSpan w:val="18"/>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监测结果低于检出限按ND报出。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45" w:type="dxa"/>
                  <w:gridSpan w:val="3"/>
                  <w:vAlign w:val="center"/>
                </w:tcPr>
                <w:p>
                  <w:pPr>
                    <w:spacing w:line="276" w:lineRule="auto"/>
                    <w:jc w:val="center"/>
                    <w:rPr>
                      <w:rFonts w:ascii="Times New Roman" w:hAnsi="Times New Roman" w:cs="Times New Roman"/>
                      <w:b/>
                      <w:bCs/>
                    </w:rPr>
                  </w:pPr>
                  <w:r>
                    <w:rPr>
                      <w:rFonts w:ascii="Times New Roman" w:hAnsi="Times New Roman" w:cs="Times New Roman"/>
                      <w:b/>
                      <w:bCs/>
                    </w:rPr>
                    <w:t>结论</w:t>
                  </w:r>
                </w:p>
              </w:tc>
              <w:tc>
                <w:tcPr>
                  <w:tcW w:w="12202" w:type="dxa"/>
                  <w:gridSpan w:val="18"/>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bl>
          <w:p>
            <w:pPr>
              <w:pStyle w:val="32"/>
              <w:jc w:val="center"/>
              <w:rPr>
                <w:sz w:val="24"/>
                <w:szCs w:val="24"/>
              </w:rPr>
            </w:pPr>
          </w:p>
          <w:p>
            <w:pPr>
              <w:pStyle w:val="32"/>
              <w:jc w:val="center"/>
              <w:rPr>
                <w:sz w:val="24"/>
                <w:szCs w:val="24"/>
              </w:rPr>
            </w:pPr>
            <w:r>
              <w:rPr>
                <w:sz w:val="24"/>
                <w:szCs w:val="24"/>
              </w:rPr>
              <w:t>表2</w:t>
            </w:r>
            <w:r>
              <w:rPr>
                <w:rFonts w:hint="eastAsia"/>
                <w:sz w:val="24"/>
                <w:szCs w:val="24"/>
              </w:rPr>
              <w:t>6</w:t>
            </w:r>
            <w:r>
              <w:rPr>
                <w:sz w:val="24"/>
                <w:szCs w:val="24"/>
              </w:rPr>
              <w:t xml:space="preserve">  脱硫系统出口监测结果一览表</w:t>
            </w:r>
          </w:p>
          <w:tbl>
            <w:tblPr>
              <w:tblStyle w:val="21"/>
              <w:tblW w:w="13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607"/>
              <w:gridCol w:w="755"/>
              <w:gridCol w:w="755"/>
              <w:gridCol w:w="211"/>
              <w:gridCol w:w="537"/>
              <w:gridCol w:w="757"/>
              <w:gridCol w:w="453"/>
              <w:gridCol w:w="340"/>
              <w:gridCol w:w="793"/>
              <w:gridCol w:w="649"/>
              <w:gridCol w:w="99"/>
              <w:gridCol w:w="757"/>
              <w:gridCol w:w="793"/>
              <w:gridCol w:w="110"/>
              <w:gridCol w:w="683"/>
              <w:gridCol w:w="757"/>
              <w:gridCol w:w="314"/>
              <w:gridCol w:w="428"/>
              <w:gridCol w:w="7"/>
              <w:gridCol w:w="1004"/>
              <w:gridCol w:w="279"/>
              <w:gridCol w:w="725"/>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32" w:type="dxa"/>
                  <w:gridSpan w:val="2"/>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监测点位</w:t>
                  </w:r>
                </w:p>
              </w:tc>
              <w:tc>
                <w:tcPr>
                  <w:tcW w:w="12215" w:type="dxa"/>
                  <w:gridSpan w:val="22"/>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监测日期</w:t>
                  </w:r>
                </w:p>
              </w:tc>
              <w:tc>
                <w:tcPr>
                  <w:tcW w:w="607" w:type="dxa"/>
                  <w:tcBorders>
                    <w:top w:val="single" w:color="auto" w:sz="4" w:space="0"/>
                  </w:tcBorders>
                  <w:vAlign w:val="center"/>
                </w:tcPr>
                <w:p>
                  <w:pPr>
                    <w:spacing w:line="276" w:lineRule="auto"/>
                    <w:jc w:val="center"/>
                    <w:rPr>
                      <w:rFonts w:ascii="Times New Roman" w:hAnsi="Times New Roman" w:cs="Times New Roman"/>
                      <w:b/>
                      <w:bCs/>
                      <w:spacing w:val="-20"/>
                    </w:rPr>
                  </w:pPr>
                  <w:r>
                    <w:rPr>
                      <w:rFonts w:ascii="Times New Roman" w:hAnsi="Times New Roman" w:cs="Times New Roman"/>
                      <w:b/>
                      <w:bCs/>
                      <w:spacing w:val="-20"/>
                    </w:rPr>
                    <w:t>监测</w:t>
                  </w:r>
                </w:p>
                <w:p>
                  <w:pPr>
                    <w:spacing w:line="276" w:lineRule="auto"/>
                    <w:jc w:val="center"/>
                    <w:rPr>
                      <w:rFonts w:ascii="Times New Roman" w:hAnsi="Times New Roman" w:cs="Times New Roman"/>
                      <w:b/>
                      <w:bCs/>
                    </w:rPr>
                  </w:pPr>
                  <w:r>
                    <w:rPr>
                      <w:rFonts w:ascii="Times New Roman" w:hAnsi="Times New Roman" w:cs="Times New Roman"/>
                      <w:b/>
                      <w:bCs/>
                      <w:spacing w:val="-20"/>
                    </w:rPr>
                    <w:t>次数</w:t>
                  </w:r>
                </w:p>
              </w:tc>
              <w:tc>
                <w:tcPr>
                  <w:tcW w:w="1721"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烟气温度℃</w:t>
                  </w:r>
                </w:p>
              </w:tc>
              <w:tc>
                <w:tcPr>
                  <w:tcW w:w="1747"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含湿量%</w:t>
                  </w:r>
                </w:p>
              </w:tc>
              <w:tc>
                <w:tcPr>
                  <w:tcW w:w="1782"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动压Pa</w:t>
                  </w:r>
                </w:p>
              </w:tc>
              <w:tc>
                <w:tcPr>
                  <w:tcW w:w="1759" w:type="dxa"/>
                  <w:gridSpan w:val="4"/>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流速m/s</w:t>
                  </w:r>
                </w:p>
              </w:tc>
              <w:tc>
                <w:tcPr>
                  <w:tcW w:w="1754" w:type="dxa"/>
                  <w:gridSpan w:val="3"/>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工况流量m</w:t>
                  </w:r>
                  <w:r>
                    <w:rPr>
                      <w:rFonts w:ascii="Times New Roman" w:hAnsi="Times New Roman" w:cs="Times New Roman"/>
                      <w:b/>
                      <w:bCs/>
                      <w:vertAlign w:val="superscript"/>
                    </w:rPr>
                    <w:t>3</w:t>
                  </w:r>
                  <w:r>
                    <w:rPr>
                      <w:rFonts w:ascii="Times New Roman" w:hAnsi="Times New Roman" w:cs="Times New Roman"/>
                      <w:b/>
                      <w:bCs/>
                    </w:rPr>
                    <w:t>/h</w:t>
                  </w:r>
                </w:p>
              </w:tc>
              <w:tc>
                <w:tcPr>
                  <w:tcW w:w="1718" w:type="dxa"/>
                  <w:gridSpan w:val="4"/>
                  <w:tcBorders>
                    <w:top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标干流量m</w:t>
                  </w:r>
                  <w:r>
                    <w:rPr>
                      <w:rFonts w:ascii="Times New Roman" w:hAnsi="Times New Roman" w:cs="Times New Roman"/>
                      <w:b/>
                      <w:bCs/>
                      <w:vertAlign w:val="superscript"/>
                    </w:rPr>
                    <w:t>3</w:t>
                  </w:r>
                  <w:r>
                    <w:rPr>
                      <w:rFonts w:ascii="Times New Roman" w:hAnsi="Times New Roman" w:cs="Times New Roman"/>
                      <w:b/>
                      <w:bCs/>
                    </w:rPr>
                    <w:t>/h</w:t>
                  </w:r>
                </w:p>
              </w:tc>
              <w:tc>
                <w:tcPr>
                  <w:tcW w:w="1734" w:type="dxa"/>
                  <w:gridSpan w:val="2"/>
                  <w:tcBorders>
                    <w:top w:val="single" w:color="auto" w:sz="4" w:space="0"/>
                    <w:lef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spacing w:val="-20"/>
                    </w:rPr>
                    <w:t>氧含量</w:t>
                  </w:r>
                  <w:r>
                    <w:rPr>
                      <w:rFonts w:ascii="Times New Roman" w:hAnsi="Times New Roman" w:cs="Times New Roman"/>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restart"/>
                  <w:vAlign w:val="center"/>
                </w:tcPr>
                <w:p>
                  <w:pPr>
                    <w:spacing w:line="276" w:lineRule="auto"/>
                    <w:jc w:val="center"/>
                    <w:rPr>
                      <w:rFonts w:ascii="Times New Roman" w:hAnsi="Times New Roman" w:cs="Times New Roman"/>
                    </w:rPr>
                  </w:pPr>
                  <w:r>
                    <w:rPr>
                      <w:rFonts w:ascii="Times New Roman" w:hAnsi="Times New Roman" w:cs="Times New Roman"/>
                      <w:spacing w:val="-20"/>
                    </w:rPr>
                    <w:t>2021.8.3</w:t>
                  </w:r>
                </w:p>
              </w:tc>
              <w:tc>
                <w:tcPr>
                  <w:tcW w:w="607" w:type="dxa"/>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1721" w:type="dxa"/>
                  <w:gridSpan w:val="3"/>
                  <w:vAlign w:val="center"/>
                </w:tcPr>
                <w:p>
                  <w:pPr>
                    <w:spacing w:line="276" w:lineRule="auto"/>
                    <w:jc w:val="center"/>
                    <w:rPr>
                      <w:rFonts w:ascii="Times New Roman" w:hAnsi="Times New Roman" w:cs="Times New Roman"/>
                    </w:rPr>
                  </w:pPr>
                  <w:r>
                    <w:rPr>
                      <w:rFonts w:ascii="Times New Roman" w:hAnsi="Times New Roman" w:cs="Times New Roman"/>
                    </w:rPr>
                    <w:t>49.1</w:t>
                  </w:r>
                </w:p>
              </w:tc>
              <w:tc>
                <w:tcPr>
                  <w:tcW w:w="1747" w:type="dxa"/>
                  <w:gridSpan w:val="3"/>
                  <w:vAlign w:val="center"/>
                </w:tcPr>
                <w:p>
                  <w:pPr>
                    <w:spacing w:line="276" w:lineRule="auto"/>
                    <w:jc w:val="center"/>
                    <w:rPr>
                      <w:rFonts w:ascii="Times New Roman" w:hAnsi="Times New Roman" w:cs="Times New Roman"/>
                    </w:rPr>
                  </w:pPr>
                  <w:r>
                    <w:rPr>
                      <w:rFonts w:ascii="Times New Roman" w:hAnsi="Times New Roman" w:cs="Times New Roman"/>
                    </w:rPr>
                    <w:t>16.5</w:t>
                  </w:r>
                </w:p>
              </w:tc>
              <w:tc>
                <w:tcPr>
                  <w:tcW w:w="1782" w:type="dxa"/>
                  <w:gridSpan w:val="3"/>
                  <w:vAlign w:val="center"/>
                </w:tcPr>
                <w:p>
                  <w:pPr>
                    <w:spacing w:line="276" w:lineRule="auto"/>
                    <w:jc w:val="center"/>
                    <w:rPr>
                      <w:rFonts w:ascii="Times New Roman" w:hAnsi="Times New Roman" w:cs="Times New Roman"/>
                    </w:rPr>
                  </w:pPr>
                  <w:r>
                    <w:rPr>
                      <w:rFonts w:ascii="Times New Roman" w:hAnsi="Times New Roman" w:cs="Times New Roman"/>
                    </w:rPr>
                    <w:t>111</w:t>
                  </w:r>
                </w:p>
              </w:tc>
              <w:tc>
                <w:tcPr>
                  <w:tcW w:w="1759" w:type="dxa"/>
                  <w:gridSpan w:val="4"/>
                  <w:vAlign w:val="center"/>
                </w:tcPr>
                <w:p>
                  <w:pPr>
                    <w:spacing w:line="276" w:lineRule="auto"/>
                    <w:jc w:val="center"/>
                    <w:rPr>
                      <w:rFonts w:ascii="Times New Roman" w:hAnsi="Times New Roman" w:cs="Times New Roman"/>
                    </w:rPr>
                  </w:pPr>
                  <w:r>
                    <w:rPr>
                      <w:rFonts w:ascii="Times New Roman" w:hAnsi="Times New Roman" w:cs="Times New Roman"/>
                    </w:rPr>
                    <w:t>12.4</w:t>
                  </w:r>
                </w:p>
              </w:tc>
              <w:tc>
                <w:tcPr>
                  <w:tcW w:w="1754" w:type="dxa"/>
                  <w:gridSpan w:val="3"/>
                  <w:vAlign w:val="center"/>
                </w:tcPr>
                <w:p>
                  <w:pPr>
                    <w:spacing w:line="276" w:lineRule="auto"/>
                    <w:jc w:val="center"/>
                    <w:rPr>
                      <w:rFonts w:ascii="Times New Roman" w:hAnsi="Times New Roman" w:cs="Times New Roman"/>
                    </w:rPr>
                  </w:pPr>
                  <w:r>
                    <w:rPr>
                      <w:rFonts w:ascii="Times New Roman" w:hAnsi="Times New Roman" w:cs="Times New Roman"/>
                    </w:rPr>
                    <w:t>479974</w:t>
                  </w:r>
                </w:p>
              </w:tc>
              <w:tc>
                <w:tcPr>
                  <w:tcW w:w="1718" w:type="dxa"/>
                  <w:gridSpan w:val="4"/>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306714</w:t>
                  </w:r>
                </w:p>
              </w:tc>
              <w:tc>
                <w:tcPr>
                  <w:tcW w:w="173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continue"/>
                  <w:vAlign w:val="center"/>
                </w:tcPr>
                <w:p>
                  <w:pPr>
                    <w:spacing w:line="276" w:lineRule="auto"/>
                    <w:jc w:val="center"/>
                    <w:rPr>
                      <w:rFonts w:ascii="Times New Roman" w:hAnsi="Times New Roman" w:cs="Times New Roman"/>
                    </w:rPr>
                  </w:pPr>
                </w:p>
              </w:tc>
              <w:tc>
                <w:tcPr>
                  <w:tcW w:w="607" w:type="dxa"/>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1721" w:type="dxa"/>
                  <w:gridSpan w:val="3"/>
                  <w:vAlign w:val="center"/>
                </w:tcPr>
                <w:p>
                  <w:pPr>
                    <w:spacing w:line="276" w:lineRule="auto"/>
                    <w:jc w:val="center"/>
                    <w:rPr>
                      <w:rFonts w:ascii="Times New Roman" w:hAnsi="Times New Roman" w:cs="Times New Roman"/>
                    </w:rPr>
                  </w:pPr>
                  <w:r>
                    <w:rPr>
                      <w:rFonts w:ascii="Times New Roman" w:hAnsi="Times New Roman" w:cs="Times New Roman"/>
                    </w:rPr>
                    <w:t>50.0</w:t>
                  </w:r>
                </w:p>
              </w:tc>
              <w:tc>
                <w:tcPr>
                  <w:tcW w:w="1747" w:type="dxa"/>
                  <w:gridSpan w:val="3"/>
                  <w:vAlign w:val="center"/>
                </w:tcPr>
                <w:p>
                  <w:pPr>
                    <w:spacing w:line="276" w:lineRule="auto"/>
                    <w:jc w:val="center"/>
                    <w:rPr>
                      <w:rFonts w:ascii="Times New Roman" w:hAnsi="Times New Roman" w:cs="Times New Roman"/>
                    </w:rPr>
                  </w:pPr>
                  <w:r>
                    <w:rPr>
                      <w:rFonts w:ascii="Times New Roman" w:hAnsi="Times New Roman" w:cs="Times New Roman"/>
                    </w:rPr>
                    <w:t>16.6</w:t>
                  </w:r>
                </w:p>
              </w:tc>
              <w:tc>
                <w:tcPr>
                  <w:tcW w:w="1782" w:type="dxa"/>
                  <w:gridSpan w:val="3"/>
                  <w:vAlign w:val="center"/>
                </w:tcPr>
                <w:p>
                  <w:pPr>
                    <w:spacing w:line="276" w:lineRule="auto"/>
                    <w:jc w:val="center"/>
                    <w:rPr>
                      <w:rFonts w:ascii="Times New Roman" w:hAnsi="Times New Roman" w:cs="Times New Roman"/>
                    </w:rPr>
                  </w:pPr>
                  <w:r>
                    <w:rPr>
                      <w:rFonts w:ascii="Times New Roman" w:hAnsi="Times New Roman" w:cs="Times New Roman"/>
                    </w:rPr>
                    <w:t>109</w:t>
                  </w:r>
                </w:p>
              </w:tc>
              <w:tc>
                <w:tcPr>
                  <w:tcW w:w="1759" w:type="dxa"/>
                  <w:gridSpan w:val="4"/>
                  <w:vAlign w:val="center"/>
                </w:tcPr>
                <w:p>
                  <w:pPr>
                    <w:spacing w:line="276" w:lineRule="auto"/>
                    <w:jc w:val="center"/>
                    <w:rPr>
                      <w:rFonts w:ascii="Times New Roman" w:hAnsi="Times New Roman" w:cs="Times New Roman"/>
                    </w:rPr>
                  </w:pPr>
                  <w:r>
                    <w:rPr>
                      <w:rFonts w:ascii="Times New Roman" w:hAnsi="Times New Roman" w:cs="Times New Roman"/>
                    </w:rPr>
                    <w:t>12.3</w:t>
                  </w:r>
                </w:p>
              </w:tc>
              <w:tc>
                <w:tcPr>
                  <w:tcW w:w="1754" w:type="dxa"/>
                  <w:gridSpan w:val="3"/>
                  <w:vAlign w:val="center"/>
                </w:tcPr>
                <w:p>
                  <w:pPr>
                    <w:spacing w:line="276" w:lineRule="auto"/>
                    <w:jc w:val="center"/>
                    <w:rPr>
                      <w:rFonts w:ascii="Times New Roman" w:hAnsi="Times New Roman" w:cs="Times New Roman"/>
                    </w:rPr>
                  </w:pPr>
                  <w:r>
                    <w:rPr>
                      <w:rFonts w:ascii="Times New Roman" w:hAnsi="Times New Roman" w:cs="Times New Roman"/>
                    </w:rPr>
                    <w:t>476103</w:t>
                  </w:r>
                </w:p>
              </w:tc>
              <w:tc>
                <w:tcPr>
                  <w:tcW w:w="1718" w:type="dxa"/>
                  <w:gridSpan w:val="4"/>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302896</w:t>
                  </w:r>
                </w:p>
              </w:tc>
              <w:tc>
                <w:tcPr>
                  <w:tcW w:w="173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continue"/>
                  <w:vAlign w:val="center"/>
                </w:tcPr>
                <w:p>
                  <w:pPr>
                    <w:spacing w:line="276" w:lineRule="auto"/>
                    <w:jc w:val="center"/>
                    <w:rPr>
                      <w:rFonts w:ascii="Times New Roman" w:hAnsi="Times New Roman" w:cs="Times New Roman"/>
                    </w:rPr>
                  </w:pPr>
                </w:p>
              </w:tc>
              <w:tc>
                <w:tcPr>
                  <w:tcW w:w="607" w:type="dxa"/>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1721" w:type="dxa"/>
                  <w:gridSpan w:val="3"/>
                  <w:vAlign w:val="center"/>
                </w:tcPr>
                <w:p>
                  <w:pPr>
                    <w:spacing w:line="276" w:lineRule="auto"/>
                    <w:jc w:val="center"/>
                    <w:rPr>
                      <w:rFonts w:ascii="Times New Roman" w:hAnsi="Times New Roman" w:cs="Times New Roman"/>
                    </w:rPr>
                  </w:pPr>
                  <w:r>
                    <w:rPr>
                      <w:rFonts w:ascii="Times New Roman" w:hAnsi="Times New Roman" w:cs="Times New Roman"/>
                    </w:rPr>
                    <w:t>49.2</w:t>
                  </w:r>
                </w:p>
              </w:tc>
              <w:tc>
                <w:tcPr>
                  <w:tcW w:w="1747" w:type="dxa"/>
                  <w:gridSpan w:val="3"/>
                  <w:vAlign w:val="center"/>
                </w:tcPr>
                <w:p>
                  <w:pPr>
                    <w:spacing w:line="276" w:lineRule="auto"/>
                    <w:jc w:val="center"/>
                    <w:rPr>
                      <w:rFonts w:ascii="Times New Roman" w:hAnsi="Times New Roman" w:cs="Times New Roman"/>
                    </w:rPr>
                  </w:pPr>
                  <w:r>
                    <w:rPr>
                      <w:rFonts w:ascii="Times New Roman" w:hAnsi="Times New Roman" w:cs="Times New Roman"/>
                    </w:rPr>
                    <w:t>16.4</w:t>
                  </w:r>
                </w:p>
              </w:tc>
              <w:tc>
                <w:tcPr>
                  <w:tcW w:w="1782" w:type="dxa"/>
                  <w:gridSpan w:val="3"/>
                  <w:vAlign w:val="center"/>
                </w:tcPr>
                <w:p>
                  <w:pPr>
                    <w:spacing w:line="276" w:lineRule="auto"/>
                    <w:jc w:val="center"/>
                    <w:rPr>
                      <w:rFonts w:ascii="Times New Roman" w:hAnsi="Times New Roman" w:cs="Times New Roman"/>
                    </w:rPr>
                  </w:pPr>
                  <w:r>
                    <w:rPr>
                      <w:rFonts w:ascii="Times New Roman" w:hAnsi="Times New Roman" w:cs="Times New Roman"/>
                    </w:rPr>
                    <w:t>109</w:t>
                  </w:r>
                </w:p>
              </w:tc>
              <w:tc>
                <w:tcPr>
                  <w:tcW w:w="1759" w:type="dxa"/>
                  <w:gridSpan w:val="4"/>
                  <w:vAlign w:val="center"/>
                </w:tcPr>
                <w:p>
                  <w:pPr>
                    <w:spacing w:line="276" w:lineRule="auto"/>
                    <w:jc w:val="center"/>
                    <w:rPr>
                      <w:rFonts w:ascii="Times New Roman" w:hAnsi="Times New Roman" w:cs="Times New Roman"/>
                    </w:rPr>
                  </w:pPr>
                  <w:r>
                    <w:rPr>
                      <w:rFonts w:ascii="Times New Roman" w:hAnsi="Times New Roman" w:cs="Times New Roman"/>
                    </w:rPr>
                    <w:t>12.2</w:t>
                  </w:r>
                </w:p>
              </w:tc>
              <w:tc>
                <w:tcPr>
                  <w:tcW w:w="1754" w:type="dxa"/>
                  <w:gridSpan w:val="3"/>
                  <w:vAlign w:val="center"/>
                </w:tcPr>
                <w:p>
                  <w:pPr>
                    <w:spacing w:line="276" w:lineRule="auto"/>
                    <w:jc w:val="center"/>
                    <w:rPr>
                      <w:rFonts w:ascii="Times New Roman" w:hAnsi="Times New Roman" w:cs="Times New Roman"/>
                    </w:rPr>
                  </w:pPr>
                  <w:r>
                    <w:rPr>
                      <w:rFonts w:ascii="Times New Roman" w:hAnsi="Times New Roman" w:cs="Times New Roman"/>
                    </w:rPr>
                    <w:t>472232</w:t>
                  </w:r>
                </w:p>
              </w:tc>
              <w:tc>
                <w:tcPr>
                  <w:tcW w:w="1718" w:type="dxa"/>
                  <w:gridSpan w:val="4"/>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301803</w:t>
                  </w:r>
                </w:p>
              </w:tc>
              <w:tc>
                <w:tcPr>
                  <w:tcW w:w="173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spacing w:val="-20"/>
                    </w:rPr>
                    <w:t>2021.8.4</w:t>
                  </w:r>
                </w:p>
              </w:tc>
              <w:tc>
                <w:tcPr>
                  <w:tcW w:w="60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1721" w:type="dxa"/>
                  <w:gridSpan w:val="3"/>
                  <w:vAlign w:val="center"/>
                </w:tcPr>
                <w:p>
                  <w:pPr>
                    <w:spacing w:line="276" w:lineRule="auto"/>
                    <w:jc w:val="center"/>
                    <w:rPr>
                      <w:rFonts w:ascii="Times New Roman" w:hAnsi="Times New Roman" w:cs="Times New Roman"/>
                    </w:rPr>
                  </w:pPr>
                  <w:r>
                    <w:rPr>
                      <w:rFonts w:ascii="Times New Roman" w:hAnsi="Times New Roman" w:cs="Times New Roman"/>
                    </w:rPr>
                    <w:t>52.0</w:t>
                  </w:r>
                </w:p>
              </w:tc>
              <w:tc>
                <w:tcPr>
                  <w:tcW w:w="1747" w:type="dxa"/>
                  <w:gridSpan w:val="3"/>
                  <w:vAlign w:val="center"/>
                </w:tcPr>
                <w:p>
                  <w:pPr>
                    <w:spacing w:line="276" w:lineRule="auto"/>
                    <w:jc w:val="center"/>
                    <w:rPr>
                      <w:rFonts w:ascii="Times New Roman" w:hAnsi="Times New Roman" w:cs="Times New Roman"/>
                    </w:rPr>
                  </w:pPr>
                  <w:r>
                    <w:rPr>
                      <w:rFonts w:ascii="Times New Roman" w:hAnsi="Times New Roman" w:cs="Times New Roman"/>
                    </w:rPr>
                    <w:t>15.3</w:t>
                  </w:r>
                </w:p>
              </w:tc>
              <w:tc>
                <w:tcPr>
                  <w:tcW w:w="1782" w:type="dxa"/>
                  <w:gridSpan w:val="3"/>
                  <w:vAlign w:val="center"/>
                </w:tcPr>
                <w:p>
                  <w:pPr>
                    <w:spacing w:line="276" w:lineRule="auto"/>
                    <w:jc w:val="center"/>
                    <w:rPr>
                      <w:rFonts w:ascii="Times New Roman" w:hAnsi="Times New Roman" w:cs="Times New Roman"/>
                    </w:rPr>
                  </w:pPr>
                  <w:r>
                    <w:rPr>
                      <w:rFonts w:ascii="Times New Roman" w:hAnsi="Times New Roman" w:cs="Times New Roman"/>
                    </w:rPr>
                    <w:t>118</w:t>
                  </w:r>
                </w:p>
              </w:tc>
              <w:tc>
                <w:tcPr>
                  <w:tcW w:w="1759" w:type="dxa"/>
                  <w:gridSpan w:val="4"/>
                  <w:vAlign w:val="center"/>
                </w:tcPr>
                <w:p>
                  <w:pPr>
                    <w:spacing w:line="276" w:lineRule="auto"/>
                    <w:jc w:val="center"/>
                    <w:rPr>
                      <w:rFonts w:ascii="Times New Roman" w:hAnsi="Times New Roman" w:cs="Times New Roman"/>
                    </w:rPr>
                  </w:pPr>
                  <w:r>
                    <w:rPr>
                      <w:rFonts w:ascii="Times New Roman" w:hAnsi="Times New Roman" w:cs="Times New Roman"/>
                    </w:rPr>
                    <w:t>12.8</w:t>
                  </w:r>
                </w:p>
              </w:tc>
              <w:tc>
                <w:tcPr>
                  <w:tcW w:w="1754" w:type="dxa"/>
                  <w:gridSpan w:val="3"/>
                  <w:vAlign w:val="center"/>
                </w:tcPr>
                <w:p>
                  <w:pPr>
                    <w:spacing w:line="276" w:lineRule="auto"/>
                    <w:jc w:val="center"/>
                    <w:rPr>
                      <w:rFonts w:ascii="Times New Roman" w:hAnsi="Times New Roman" w:cs="Times New Roman"/>
                    </w:rPr>
                  </w:pPr>
                  <w:r>
                    <w:rPr>
                      <w:rFonts w:ascii="Times New Roman" w:hAnsi="Times New Roman" w:cs="Times New Roman"/>
                    </w:rPr>
                    <w:t>495457</w:t>
                  </w:r>
                </w:p>
              </w:tc>
              <w:tc>
                <w:tcPr>
                  <w:tcW w:w="1718" w:type="dxa"/>
                  <w:gridSpan w:val="4"/>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316622</w:t>
                  </w:r>
                </w:p>
              </w:tc>
              <w:tc>
                <w:tcPr>
                  <w:tcW w:w="173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60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1721" w:type="dxa"/>
                  <w:gridSpan w:val="3"/>
                  <w:vAlign w:val="center"/>
                </w:tcPr>
                <w:p>
                  <w:pPr>
                    <w:spacing w:line="276" w:lineRule="auto"/>
                    <w:jc w:val="center"/>
                    <w:rPr>
                      <w:rFonts w:ascii="Times New Roman" w:hAnsi="Times New Roman" w:cs="Times New Roman"/>
                    </w:rPr>
                  </w:pPr>
                  <w:r>
                    <w:rPr>
                      <w:rFonts w:ascii="Times New Roman" w:hAnsi="Times New Roman" w:cs="Times New Roman"/>
                    </w:rPr>
                    <w:t>51.6</w:t>
                  </w:r>
                </w:p>
              </w:tc>
              <w:tc>
                <w:tcPr>
                  <w:tcW w:w="1747" w:type="dxa"/>
                  <w:gridSpan w:val="3"/>
                  <w:vAlign w:val="center"/>
                </w:tcPr>
                <w:p>
                  <w:pPr>
                    <w:spacing w:line="276" w:lineRule="auto"/>
                    <w:jc w:val="center"/>
                    <w:rPr>
                      <w:rFonts w:ascii="Times New Roman" w:hAnsi="Times New Roman" w:cs="Times New Roman"/>
                    </w:rPr>
                  </w:pPr>
                  <w:r>
                    <w:rPr>
                      <w:rFonts w:ascii="Times New Roman" w:hAnsi="Times New Roman" w:cs="Times New Roman"/>
                    </w:rPr>
                    <w:t>15.6</w:t>
                  </w:r>
                </w:p>
              </w:tc>
              <w:tc>
                <w:tcPr>
                  <w:tcW w:w="1782" w:type="dxa"/>
                  <w:gridSpan w:val="3"/>
                  <w:vAlign w:val="center"/>
                </w:tcPr>
                <w:p>
                  <w:pPr>
                    <w:spacing w:line="276" w:lineRule="auto"/>
                    <w:jc w:val="center"/>
                    <w:rPr>
                      <w:rFonts w:ascii="Times New Roman" w:hAnsi="Times New Roman" w:cs="Times New Roman"/>
                    </w:rPr>
                  </w:pPr>
                  <w:r>
                    <w:rPr>
                      <w:rFonts w:ascii="Times New Roman" w:hAnsi="Times New Roman" w:cs="Times New Roman"/>
                    </w:rPr>
                    <w:t>121</w:t>
                  </w:r>
                </w:p>
              </w:tc>
              <w:tc>
                <w:tcPr>
                  <w:tcW w:w="1759" w:type="dxa"/>
                  <w:gridSpan w:val="4"/>
                  <w:vAlign w:val="center"/>
                </w:tcPr>
                <w:p>
                  <w:pPr>
                    <w:spacing w:line="276" w:lineRule="auto"/>
                    <w:jc w:val="center"/>
                    <w:rPr>
                      <w:rFonts w:ascii="Times New Roman" w:hAnsi="Times New Roman" w:cs="Times New Roman"/>
                    </w:rPr>
                  </w:pPr>
                  <w:r>
                    <w:rPr>
                      <w:rFonts w:ascii="Times New Roman" w:hAnsi="Times New Roman" w:cs="Times New Roman"/>
                    </w:rPr>
                    <w:t>13.0</w:t>
                  </w:r>
                </w:p>
              </w:tc>
              <w:tc>
                <w:tcPr>
                  <w:tcW w:w="1754" w:type="dxa"/>
                  <w:gridSpan w:val="3"/>
                  <w:vAlign w:val="center"/>
                </w:tcPr>
                <w:p>
                  <w:pPr>
                    <w:spacing w:line="276" w:lineRule="auto"/>
                    <w:jc w:val="center"/>
                    <w:rPr>
                      <w:rFonts w:ascii="Times New Roman" w:hAnsi="Times New Roman" w:cs="Times New Roman"/>
                    </w:rPr>
                  </w:pPr>
                  <w:r>
                    <w:rPr>
                      <w:rFonts w:ascii="Times New Roman" w:hAnsi="Times New Roman" w:cs="Times New Roman"/>
                    </w:rPr>
                    <w:t>503198</w:t>
                  </w:r>
                </w:p>
              </w:tc>
              <w:tc>
                <w:tcPr>
                  <w:tcW w:w="1718" w:type="dxa"/>
                  <w:gridSpan w:val="4"/>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321530</w:t>
                  </w:r>
                </w:p>
              </w:tc>
              <w:tc>
                <w:tcPr>
                  <w:tcW w:w="173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60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1721" w:type="dxa"/>
                  <w:gridSpan w:val="3"/>
                  <w:vAlign w:val="center"/>
                </w:tcPr>
                <w:p>
                  <w:pPr>
                    <w:spacing w:line="276" w:lineRule="auto"/>
                    <w:jc w:val="center"/>
                    <w:rPr>
                      <w:rFonts w:ascii="Times New Roman" w:hAnsi="Times New Roman" w:cs="Times New Roman"/>
                    </w:rPr>
                  </w:pPr>
                  <w:r>
                    <w:rPr>
                      <w:rFonts w:ascii="Times New Roman" w:hAnsi="Times New Roman" w:cs="Times New Roman"/>
                    </w:rPr>
                    <w:t>51.1</w:t>
                  </w:r>
                </w:p>
              </w:tc>
              <w:tc>
                <w:tcPr>
                  <w:tcW w:w="1747" w:type="dxa"/>
                  <w:gridSpan w:val="3"/>
                  <w:vAlign w:val="center"/>
                </w:tcPr>
                <w:p>
                  <w:pPr>
                    <w:spacing w:line="276" w:lineRule="auto"/>
                    <w:jc w:val="center"/>
                    <w:rPr>
                      <w:rFonts w:ascii="Times New Roman" w:hAnsi="Times New Roman" w:cs="Times New Roman"/>
                    </w:rPr>
                  </w:pPr>
                  <w:r>
                    <w:rPr>
                      <w:rFonts w:ascii="Times New Roman" w:hAnsi="Times New Roman" w:cs="Times New Roman"/>
                    </w:rPr>
                    <w:t>15.5</w:t>
                  </w:r>
                </w:p>
              </w:tc>
              <w:tc>
                <w:tcPr>
                  <w:tcW w:w="1782" w:type="dxa"/>
                  <w:gridSpan w:val="3"/>
                  <w:vAlign w:val="center"/>
                </w:tcPr>
                <w:p>
                  <w:pPr>
                    <w:spacing w:line="276" w:lineRule="auto"/>
                    <w:jc w:val="center"/>
                    <w:rPr>
                      <w:rFonts w:ascii="Times New Roman" w:hAnsi="Times New Roman" w:cs="Times New Roman"/>
                    </w:rPr>
                  </w:pPr>
                  <w:r>
                    <w:rPr>
                      <w:rFonts w:ascii="Times New Roman" w:hAnsi="Times New Roman" w:cs="Times New Roman"/>
                    </w:rPr>
                    <w:t>123</w:t>
                  </w:r>
                </w:p>
              </w:tc>
              <w:tc>
                <w:tcPr>
                  <w:tcW w:w="1759" w:type="dxa"/>
                  <w:gridSpan w:val="4"/>
                  <w:vAlign w:val="center"/>
                </w:tcPr>
                <w:p>
                  <w:pPr>
                    <w:spacing w:line="276" w:lineRule="auto"/>
                    <w:jc w:val="center"/>
                    <w:rPr>
                      <w:rFonts w:ascii="Times New Roman" w:hAnsi="Times New Roman" w:cs="Times New Roman"/>
                    </w:rPr>
                  </w:pPr>
                  <w:r>
                    <w:rPr>
                      <w:rFonts w:ascii="Times New Roman" w:hAnsi="Times New Roman" w:cs="Times New Roman"/>
                    </w:rPr>
                    <w:t>13.1</w:t>
                  </w:r>
                </w:p>
              </w:tc>
              <w:tc>
                <w:tcPr>
                  <w:tcW w:w="1754" w:type="dxa"/>
                  <w:gridSpan w:val="3"/>
                  <w:vAlign w:val="center"/>
                </w:tcPr>
                <w:p>
                  <w:pPr>
                    <w:spacing w:line="276" w:lineRule="auto"/>
                    <w:jc w:val="center"/>
                    <w:rPr>
                      <w:rFonts w:ascii="Times New Roman" w:hAnsi="Times New Roman" w:cs="Times New Roman"/>
                    </w:rPr>
                  </w:pPr>
                  <w:r>
                    <w:rPr>
                      <w:rFonts w:ascii="Times New Roman" w:hAnsi="Times New Roman" w:cs="Times New Roman"/>
                    </w:rPr>
                    <w:t>507069</w:t>
                  </w:r>
                </w:p>
              </w:tc>
              <w:tc>
                <w:tcPr>
                  <w:tcW w:w="1718" w:type="dxa"/>
                  <w:gridSpan w:val="4"/>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324567</w:t>
                  </w:r>
                </w:p>
              </w:tc>
              <w:tc>
                <w:tcPr>
                  <w:tcW w:w="1734" w:type="dxa"/>
                  <w:gridSpan w:val="2"/>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restart"/>
                  <w:tcBorders>
                    <w:top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监测</w:t>
                  </w:r>
                </w:p>
                <w:p>
                  <w:pPr>
                    <w:spacing w:line="276" w:lineRule="auto"/>
                    <w:jc w:val="center"/>
                    <w:rPr>
                      <w:rFonts w:ascii="Times New Roman" w:hAnsi="Times New Roman" w:cs="Times New Roman"/>
                      <w:b/>
                      <w:bCs/>
                    </w:rPr>
                  </w:pPr>
                  <w:r>
                    <w:rPr>
                      <w:rFonts w:ascii="Times New Roman" w:hAnsi="Times New Roman" w:cs="Times New Roman"/>
                      <w:b/>
                      <w:bCs/>
                    </w:rPr>
                    <w:t>日期</w:t>
                  </w:r>
                </w:p>
              </w:tc>
              <w:tc>
                <w:tcPr>
                  <w:tcW w:w="607" w:type="dxa"/>
                  <w:vMerge w:val="restart"/>
                  <w:tcBorders>
                    <w:top w:val="single" w:color="auto" w:sz="4" w:space="0"/>
                    <w:left w:val="single" w:color="auto" w:sz="4" w:space="0"/>
                  </w:tcBorders>
                  <w:vAlign w:val="center"/>
                </w:tcPr>
                <w:p>
                  <w:pPr>
                    <w:spacing w:line="276" w:lineRule="auto"/>
                    <w:jc w:val="center"/>
                    <w:rPr>
                      <w:rFonts w:ascii="Times New Roman" w:hAnsi="Times New Roman" w:cs="Times New Roman"/>
                      <w:b/>
                      <w:bCs/>
                      <w:spacing w:val="-20"/>
                    </w:rPr>
                  </w:pPr>
                  <w:r>
                    <w:rPr>
                      <w:rFonts w:ascii="Times New Roman" w:hAnsi="Times New Roman" w:cs="Times New Roman"/>
                      <w:b/>
                      <w:bCs/>
                      <w:spacing w:val="-20"/>
                    </w:rPr>
                    <w:t>监测</w:t>
                  </w:r>
                </w:p>
                <w:p>
                  <w:pPr>
                    <w:spacing w:line="276" w:lineRule="auto"/>
                    <w:jc w:val="center"/>
                    <w:rPr>
                      <w:rFonts w:ascii="Times New Roman" w:hAnsi="Times New Roman" w:cs="Times New Roman"/>
                      <w:b/>
                      <w:bCs/>
                      <w:spacing w:val="-20"/>
                    </w:rPr>
                  </w:pPr>
                  <w:r>
                    <w:rPr>
                      <w:rFonts w:ascii="Times New Roman" w:hAnsi="Times New Roman" w:cs="Times New Roman"/>
                      <w:b/>
                      <w:bCs/>
                      <w:spacing w:val="-20"/>
                    </w:rPr>
                    <w:t>次数</w:t>
                  </w:r>
                </w:p>
              </w:tc>
              <w:tc>
                <w:tcPr>
                  <w:tcW w:w="3015" w:type="dxa"/>
                  <w:gridSpan w:val="5"/>
                  <w:tcBorders>
                    <w:top w:val="single" w:color="auto" w:sz="4" w:space="0"/>
                    <w:bottom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颗粒物</w:t>
                  </w:r>
                </w:p>
              </w:tc>
              <w:tc>
                <w:tcPr>
                  <w:tcW w:w="3091" w:type="dxa"/>
                  <w:gridSpan w:val="6"/>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kern w:val="2"/>
                    </w:rPr>
                    <w:t>SO</w:t>
                  </w:r>
                  <w:r>
                    <w:rPr>
                      <w:rFonts w:ascii="Times New Roman" w:hAnsi="Times New Roman" w:cs="Times New Roman"/>
                      <w:b/>
                      <w:bCs/>
                      <w:kern w:val="2"/>
                      <w:vertAlign w:val="subscript"/>
                    </w:rPr>
                    <w:t>2</w:t>
                  </w:r>
                </w:p>
              </w:tc>
              <w:tc>
                <w:tcPr>
                  <w:tcW w:w="3085" w:type="dxa"/>
                  <w:gridSpan w:val="6"/>
                  <w:tcBorders>
                    <w:top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kern w:val="2"/>
                    </w:rPr>
                    <w:t>NO</w:t>
                  </w:r>
                  <w:r>
                    <w:rPr>
                      <w:rFonts w:ascii="Times New Roman" w:hAnsi="Times New Roman" w:cs="Times New Roman"/>
                      <w:b/>
                      <w:bCs/>
                      <w:kern w:val="2"/>
                      <w:vertAlign w:val="subscript"/>
                    </w:rPr>
                    <w:t>x</w:t>
                  </w:r>
                </w:p>
              </w:tc>
              <w:tc>
                <w:tcPr>
                  <w:tcW w:w="3024" w:type="dxa"/>
                  <w:gridSpan w:val="5"/>
                  <w:tcBorders>
                    <w:top w:val="single" w:color="auto" w:sz="4" w:space="0"/>
                    <w:right w:val="single" w:color="auto" w:sz="4" w:space="0"/>
                  </w:tcBorders>
                  <w:vAlign w:val="center"/>
                </w:tcPr>
                <w:p>
                  <w:pPr>
                    <w:spacing w:line="276" w:lineRule="auto"/>
                    <w:jc w:val="center"/>
                    <w:rPr>
                      <w:rFonts w:ascii="Times New Roman" w:hAnsi="Times New Roman" w:cs="Times New Roman"/>
                      <w:b/>
                      <w:bCs/>
                      <w:spacing w:val="-20"/>
                      <w:kern w:val="2"/>
                    </w:rPr>
                  </w:pPr>
                  <w:r>
                    <w:rPr>
                      <w:rFonts w:ascii="Times New Roman" w:hAnsi="Times New Roman" w:cs="Times New Roman"/>
                      <w:b/>
                      <w:bCs/>
                      <w:spacing w:val="-20"/>
                      <w:kern w:val="2"/>
                    </w:rPr>
                    <w:t>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continue"/>
                  <w:tcBorders>
                    <w:right w:val="single" w:color="auto" w:sz="4" w:space="0"/>
                  </w:tcBorders>
                  <w:vAlign w:val="center"/>
                </w:tcPr>
                <w:p>
                  <w:pPr>
                    <w:spacing w:line="276" w:lineRule="auto"/>
                    <w:jc w:val="center"/>
                    <w:rPr>
                      <w:rFonts w:ascii="Times New Roman" w:hAnsi="Times New Roman" w:cs="Times New Roman"/>
                      <w:b/>
                      <w:bCs/>
                    </w:rPr>
                  </w:pPr>
                </w:p>
              </w:tc>
              <w:tc>
                <w:tcPr>
                  <w:tcW w:w="607" w:type="dxa"/>
                  <w:vMerge w:val="continue"/>
                  <w:tcBorders>
                    <w:left w:val="single" w:color="auto" w:sz="4" w:space="0"/>
                  </w:tcBorders>
                  <w:vAlign w:val="center"/>
                </w:tcPr>
                <w:p>
                  <w:pPr>
                    <w:spacing w:line="276" w:lineRule="auto"/>
                    <w:jc w:val="center"/>
                    <w:rPr>
                      <w:rFonts w:ascii="Times New Roman" w:hAnsi="Times New Roman" w:cs="Times New Roman"/>
                      <w:b/>
                      <w:bCs/>
                    </w:rPr>
                  </w:pPr>
                </w:p>
              </w:tc>
              <w:tc>
                <w:tcPr>
                  <w:tcW w:w="755" w:type="dxa"/>
                  <w:tcBorders>
                    <w:top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spacing w:val="-28"/>
                    </w:rPr>
                  </w:pPr>
                  <w:r>
                    <w:rPr>
                      <w:rFonts w:ascii="Times New Roman" w:hAnsi="Times New Roman" w:cs="Times New Roman"/>
                      <w:b/>
                      <w:bCs/>
                      <w:spacing w:val="-28"/>
                    </w:rPr>
                    <w:t>mg/m³</w:t>
                  </w:r>
                </w:p>
              </w:tc>
              <w:tc>
                <w:tcPr>
                  <w:tcW w:w="755" w:type="dxa"/>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spacing w:val="-28"/>
                    </w:rPr>
                    <w:t>mg/m³</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c>
                <w:tcPr>
                  <w:tcW w:w="757" w:type="dxa"/>
                  <w:tcBorders>
                    <w:lef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处理效率</w:t>
                  </w:r>
                </w:p>
                <w:p>
                  <w:pPr>
                    <w:pStyle w:val="37"/>
                    <w:snapToGrid w:val="0"/>
                    <w:spacing w:before="120" w:line="276"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w:t>
                  </w:r>
                </w:p>
              </w:tc>
              <w:tc>
                <w:tcPr>
                  <w:tcW w:w="793"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rPr>
                    <w:t>mg/m³</w:t>
                  </w:r>
                </w:p>
              </w:tc>
              <w:tc>
                <w:tcPr>
                  <w:tcW w:w="793" w:type="dxa"/>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rPr>
                    <w:t>mg/m³</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c>
                <w:tcPr>
                  <w:tcW w:w="757" w:type="dxa"/>
                  <w:tcBorders>
                    <w:lef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处理效率</w:t>
                  </w:r>
                </w:p>
                <w:p>
                  <w:pPr>
                    <w:pStyle w:val="37"/>
                    <w:snapToGrid w:val="0"/>
                    <w:spacing w:before="120" w:line="276"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w:t>
                  </w:r>
                </w:p>
              </w:tc>
              <w:tc>
                <w:tcPr>
                  <w:tcW w:w="793" w:type="dxa"/>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rPr>
                    <w:t>mg/m³</w:t>
                  </w:r>
                </w:p>
              </w:tc>
              <w:tc>
                <w:tcPr>
                  <w:tcW w:w="793"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rPr>
                    <w:t>mg/m³</w:t>
                  </w:r>
                </w:p>
              </w:tc>
              <w:tc>
                <w:tcPr>
                  <w:tcW w:w="757" w:type="dxa"/>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spacing w:line="276" w:lineRule="auto"/>
                    <w:jc w:val="center"/>
                    <w:rPr>
                      <w:rFonts w:ascii="Times New Roman" w:hAnsi="Times New Roman" w:cs="Times New Roman"/>
                      <w:b/>
                      <w:bCs/>
                    </w:rPr>
                  </w:pPr>
                  <w:r>
                    <w:rPr>
                      <w:rFonts w:ascii="Times New Roman" w:hAnsi="Times New Roman" w:cs="Times New Roman"/>
                      <w:b/>
                      <w:bCs/>
                    </w:rPr>
                    <w:t>kg/h</w:t>
                  </w:r>
                </w:p>
              </w:tc>
              <w:tc>
                <w:tcPr>
                  <w:tcW w:w="749" w:type="dxa"/>
                  <w:gridSpan w:val="3"/>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处理效率</w:t>
                  </w:r>
                </w:p>
                <w:p>
                  <w:pPr>
                    <w:pStyle w:val="37"/>
                    <w:snapToGrid w:val="0"/>
                    <w:spacing w:before="120" w:line="276"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w:t>
                  </w:r>
                </w:p>
              </w:tc>
              <w:tc>
                <w:tcPr>
                  <w:tcW w:w="1004" w:type="dxa"/>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rPr>
                    <w:t>mg/m³</w:t>
                  </w:r>
                </w:p>
              </w:tc>
              <w:tc>
                <w:tcPr>
                  <w:tcW w:w="1004" w:type="dxa"/>
                  <w:gridSpan w:val="2"/>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折算</w:t>
                  </w:r>
                </w:p>
                <w:p>
                  <w:pPr>
                    <w:spacing w:line="276" w:lineRule="auto"/>
                    <w:jc w:val="center"/>
                    <w:rPr>
                      <w:rFonts w:ascii="Times New Roman" w:hAnsi="Times New Roman" w:cs="Times New Roman"/>
                      <w:b/>
                      <w:bCs/>
                    </w:rPr>
                  </w:pPr>
                  <w:r>
                    <w:rPr>
                      <w:rFonts w:ascii="Times New Roman" w:hAnsi="Times New Roman" w:cs="Times New Roman"/>
                      <w:b/>
                      <w:bCs/>
                    </w:rPr>
                    <w:t>浓度</w:t>
                  </w:r>
                </w:p>
                <w:p>
                  <w:pPr>
                    <w:spacing w:line="276" w:lineRule="auto"/>
                    <w:jc w:val="center"/>
                    <w:rPr>
                      <w:rFonts w:ascii="Times New Roman" w:hAnsi="Times New Roman" w:cs="Times New Roman"/>
                      <w:b/>
                      <w:bCs/>
                    </w:rPr>
                  </w:pPr>
                  <w:r>
                    <w:rPr>
                      <w:rFonts w:ascii="Times New Roman" w:hAnsi="Times New Roman" w:cs="Times New Roman"/>
                      <w:b/>
                      <w:bCs/>
                    </w:rPr>
                    <w:t>mg/m³</w:t>
                  </w:r>
                </w:p>
              </w:tc>
              <w:tc>
                <w:tcPr>
                  <w:tcW w:w="1009" w:type="dxa"/>
                  <w:tcBorders>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w:t>
                  </w:r>
                </w:p>
                <w:p>
                  <w:pPr>
                    <w:spacing w:line="276" w:lineRule="auto"/>
                    <w:jc w:val="center"/>
                    <w:rPr>
                      <w:rFonts w:ascii="Times New Roman" w:hAnsi="Times New Roman" w:cs="Times New Roman"/>
                      <w:b/>
                      <w:bCs/>
                    </w:rPr>
                  </w:pPr>
                  <w:r>
                    <w:rPr>
                      <w:rFonts w:ascii="Times New Roman" w:hAnsi="Times New Roman" w:cs="Times New Roman"/>
                      <w:b/>
                      <w:bCs/>
                    </w:rPr>
                    <w:t>速率</w:t>
                  </w:r>
                </w:p>
                <w:p>
                  <w:pPr>
                    <w:pStyle w:val="37"/>
                    <w:snapToGrid w:val="0"/>
                    <w:spacing w:before="120" w:line="276" w:lineRule="auto"/>
                    <w:jc w:val="center"/>
                    <w:rPr>
                      <w:rFonts w:ascii="Times New Roman" w:hAnsi="Times New Roman" w:cs="Times New Roman"/>
                      <w:b/>
                      <w:bCs/>
                      <w:color w:val="auto"/>
                      <w:sz w:val="21"/>
                      <w:szCs w:val="21"/>
                    </w:rPr>
                  </w:pPr>
                  <w:r>
                    <w:rPr>
                      <w:rFonts w:ascii="Times New Roman" w:hAnsi="Times New Roman" w:cs="Times New Roman"/>
                      <w:b/>
                      <w:bCs/>
                      <w:sz w:val="21"/>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spacing w:val="-20"/>
                    </w:rPr>
                    <w:t>2021.8.3</w:t>
                  </w:r>
                </w:p>
              </w:tc>
              <w:tc>
                <w:tcPr>
                  <w:tcW w:w="60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1.3</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1.4</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0.40</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0.46</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18</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757"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5.52</w:t>
                  </w:r>
                </w:p>
              </w:tc>
              <w:tc>
                <w:tcPr>
                  <w:tcW w:w="749"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04"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1.50</w:t>
                  </w:r>
                </w:p>
              </w:tc>
              <w:tc>
                <w:tcPr>
                  <w:tcW w:w="1004"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1.67</w:t>
                  </w:r>
                </w:p>
              </w:tc>
              <w:tc>
                <w:tcPr>
                  <w:tcW w:w="1009"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60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1.2</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1.3</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0.36</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0.45</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18</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757"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5.45</w:t>
                  </w:r>
                </w:p>
              </w:tc>
              <w:tc>
                <w:tcPr>
                  <w:tcW w:w="749"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04"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1.57</w:t>
                  </w:r>
                </w:p>
              </w:tc>
              <w:tc>
                <w:tcPr>
                  <w:tcW w:w="1004"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1.72</w:t>
                  </w:r>
                </w:p>
              </w:tc>
              <w:tc>
                <w:tcPr>
                  <w:tcW w:w="1009"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60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0.15</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0.45</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18</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20</w:t>
                  </w:r>
                </w:p>
              </w:tc>
              <w:tc>
                <w:tcPr>
                  <w:tcW w:w="757"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5.43</w:t>
                  </w:r>
                </w:p>
              </w:tc>
              <w:tc>
                <w:tcPr>
                  <w:tcW w:w="749"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04"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1.48</w:t>
                  </w:r>
                </w:p>
              </w:tc>
              <w:tc>
                <w:tcPr>
                  <w:tcW w:w="1004"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1.63</w:t>
                  </w:r>
                </w:p>
              </w:tc>
              <w:tc>
                <w:tcPr>
                  <w:tcW w:w="1009"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restart"/>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spacing w:val="-20"/>
                    </w:rPr>
                    <w:t>2021.8.4</w:t>
                  </w:r>
                </w:p>
              </w:tc>
              <w:tc>
                <w:tcPr>
                  <w:tcW w:w="60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1.2</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1.3</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0.36</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0.47</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14</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15</w:t>
                  </w:r>
                </w:p>
              </w:tc>
              <w:tc>
                <w:tcPr>
                  <w:tcW w:w="757"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4.43</w:t>
                  </w:r>
                </w:p>
              </w:tc>
              <w:tc>
                <w:tcPr>
                  <w:tcW w:w="749"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04"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1.20</w:t>
                  </w:r>
                </w:p>
              </w:tc>
              <w:tc>
                <w:tcPr>
                  <w:tcW w:w="1004"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1.26</w:t>
                  </w:r>
                </w:p>
              </w:tc>
              <w:tc>
                <w:tcPr>
                  <w:tcW w:w="1009"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60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0.16</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0.48</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13</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14</w:t>
                  </w:r>
                </w:p>
              </w:tc>
              <w:tc>
                <w:tcPr>
                  <w:tcW w:w="757"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4.18</w:t>
                  </w:r>
                </w:p>
              </w:tc>
              <w:tc>
                <w:tcPr>
                  <w:tcW w:w="749"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04"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1.09</w:t>
                  </w:r>
                </w:p>
              </w:tc>
              <w:tc>
                <w:tcPr>
                  <w:tcW w:w="1004"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1.17</w:t>
                  </w:r>
                </w:p>
              </w:tc>
              <w:tc>
                <w:tcPr>
                  <w:tcW w:w="1009"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125" w:type="dxa"/>
                  <w:vMerge w:val="continue"/>
                  <w:tcBorders>
                    <w:right w:val="single" w:color="auto" w:sz="4" w:space="0"/>
                  </w:tcBorders>
                  <w:vAlign w:val="center"/>
                </w:tcPr>
                <w:p>
                  <w:pPr>
                    <w:spacing w:line="276" w:lineRule="auto"/>
                    <w:jc w:val="center"/>
                    <w:rPr>
                      <w:rFonts w:ascii="Times New Roman" w:hAnsi="Times New Roman" w:cs="Times New Roman"/>
                    </w:rPr>
                  </w:pPr>
                </w:p>
              </w:tc>
              <w:tc>
                <w:tcPr>
                  <w:tcW w:w="60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1.1</w:t>
                  </w:r>
                </w:p>
              </w:tc>
              <w:tc>
                <w:tcPr>
                  <w:tcW w:w="755" w:type="dxa"/>
                  <w:vAlign w:val="center"/>
                </w:tcPr>
                <w:p>
                  <w:pPr>
                    <w:spacing w:line="276" w:lineRule="auto"/>
                    <w:jc w:val="center"/>
                    <w:rPr>
                      <w:rFonts w:ascii="Times New Roman" w:hAnsi="Times New Roman" w:cs="Times New Roman"/>
                    </w:rPr>
                  </w:pPr>
                  <w:r>
                    <w:rPr>
                      <w:rFonts w:ascii="Times New Roman" w:hAnsi="Times New Roman" w:cs="Times New Roman"/>
                    </w:rPr>
                    <w:t>1.2</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0.36</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48"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0.49</w:t>
                  </w:r>
                </w:p>
              </w:tc>
              <w:tc>
                <w:tcPr>
                  <w:tcW w:w="757" w:type="dxa"/>
                  <w:tcBorders>
                    <w:lef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93" w:type="dxa"/>
                  <w:vAlign w:val="center"/>
                </w:tcPr>
                <w:p>
                  <w:pPr>
                    <w:spacing w:line="276" w:lineRule="auto"/>
                    <w:jc w:val="center"/>
                    <w:rPr>
                      <w:rFonts w:ascii="Times New Roman" w:hAnsi="Times New Roman" w:cs="Times New Roman"/>
                    </w:rPr>
                  </w:pPr>
                  <w:r>
                    <w:rPr>
                      <w:rFonts w:ascii="Times New Roman" w:hAnsi="Times New Roman" w:cs="Times New Roman"/>
                    </w:rPr>
                    <w:t>16</w:t>
                  </w:r>
                </w:p>
              </w:tc>
              <w:tc>
                <w:tcPr>
                  <w:tcW w:w="793" w:type="dxa"/>
                  <w:gridSpan w:val="2"/>
                  <w:vAlign w:val="center"/>
                </w:tcPr>
                <w:p>
                  <w:pPr>
                    <w:spacing w:line="276" w:lineRule="auto"/>
                    <w:jc w:val="center"/>
                    <w:rPr>
                      <w:rFonts w:ascii="Times New Roman" w:hAnsi="Times New Roman" w:cs="Times New Roman"/>
                    </w:rPr>
                  </w:pPr>
                  <w:r>
                    <w:rPr>
                      <w:rFonts w:ascii="Times New Roman" w:hAnsi="Times New Roman" w:cs="Times New Roman"/>
                    </w:rPr>
                    <w:t>17</w:t>
                  </w:r>
                </w:p>
              </w:tc>
              <w:tc>
                <w:tcPr>
                  <w:tcW w:w="757"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5.19</w:t>
                  </w:r>
                </w:p>
              </w:tc>
              <w:tc>
                <w:tcPr>
                  <w:tcW w:w="749" w:type="dxa"/>
                  <w:gridSpan w:val="3"/>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1004"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1.10</w:t>
                  </w:r>
                </w:p>
              </w:tc>
              <w:tc>
                <w:tcPr>
                  <w:tcW w:w="1004" w:type="dxa"/>
                  <w:gridSpan w:val="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1.20</w:t>
                  </w:r>
                </w:p>
              </w:tc>
              <w:tc>
                <w:tcPr>
                  <w:tcW w:w="1009" w:type="dxa"/>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32" w:type="dxa"/>
                  <w:gridSpan w:val="2"/>
                  <w:shd w:val="clear" w:color="auto" w:fill="D9D9D9"/>
                  <w:vAlign w:val="center"/>
                </w:tcPr>
                <w:p>
                  <w:pPr>
                    <w:spacing w:line="276" w:lineRule="auto"/>
                    <w:jc w:val="center"/>
                    <w:rPr>
                      <w:rFonts w:ascii="Times New Roman" w:hAnsi="Times New Roman" w:cs="Times New Roman"/>
                      <w:b/>
                      <w:bCs/>
                    </w:rPr>
                  </w:pPr>
                  <w:r>
                    <w:rPr>
                      <w:rFonts w:ascii="Times New Roman" w:hAnsi="Times New Roman" w:cs="Times New Roman"/>
                      <w:b/>
                      <w:bCs/>
                      <w:spacing w:val="-20"/>
                    </w:rPr>
                    <w:t>平均值</w:t>
                  </w:r>
                </w:p>
              </w:tc>
              <w:tc>
                <w:tcPr>
                  <w:tcW w:w="755"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1.2</w:t>
                  </w:r>
                </w:p>
              </w:tc>
              <w:tc>
                <w:tcPr>
                  <w:tcW w:w="755"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1.3</w:t>
                  </w:r>
                </w:p>
              </w:tc>
              <w:tc>
                <w:tcPr>
                  <w:tcW w:w="748" w:type="dxa"/>
                  <w:gridSpan w:val="2"/>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0.30</w:t>
                  </w:r>
                </w:p>
              </w:tc>
              <w:tc>
                <w:tcPr>
                  <w:tcW w:w="757" w:type="dxa"/>
                  <w:tcBorders>
                    <w:lef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29.4</w:t>
                  </w:r>
                </w:p>
              </w:tc>
              <w:tc>
                <w:tcPr>
                  <w:tcW w:w="793" w:type="dxa"/>
                  <w:gridSpan w:val="2"/>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93"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ND</w:t>
                  </w:r>
                </w:p>
              </w:tc>
              <w:tc>
                <w:tcPr>
                  <w:tcW w:w="748" w:type="dxa"/>
                  <w:gridSpan w:val="2"/>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0.47</w:t>
                  </w:r>
                </w:p>
              </w:tc>
              <w:tc>
                <w:tcPr>
                  <w:tcW w:w="757" w:type="dxa"/>
                  <w:tcBorders>
                    <w:lef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97.8</w:t>
                  </w:r>
                </w:p>
              </w:tc>
              <w:tc>
                <w:tcPr>
                  <w:tcW w:w="793" w:type="dxa"/>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16</w:t>
                  </w:r>
                </w:p>
              </w:tc>
              <w:tc>
                <w:tcPr>
                  <w:tcW w:w="793" w:type="dxa"/>
                  <w:gridSpan w:val="2"/>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18</w:t>
                  </w:r>
                </w:p>
              </w:tc>
              <w:tc>
                <w:tcPr>
                  <w:tcW w:w="757" w:type="dxa"/>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5.03</w:t>
                  </w:r>
                </w:p>
              </w:tc>
              <w:tc>
                <w:tcPr>
                  <w:tcW w:w="749" w:type="dxa"/>
                  <w:gridSpan w:val="3"/>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83.3</w:t>
                  </w:r>
                </w:p>
              </w:tc>
              <w:tc>
                <w:tcPr>
                  <w:tcW w:w="1004" w:type="dxa"/>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1.32</w:t>
                  </w:r>
                </w:p>
              </w:tc>
              <w:tc>
                <w:tcPr>
                  <w:tcW w:w="1004" w:type="dxa"/>
                  <w:gridSpan w:val="2"/>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1.44</w:t>
                  </w:r>
                </w:p>
              </w:tc>
              <w:tc>
                <w:tcPr>
                  <w:tcW w:w="1009" w:type="dxa"/>
                  <w:tcBorders>
                    <w:right w:val="single" w:color="auto" w:sz="4" w:space="0"/>
                  </w:tcBorders>
                  <w:shd w:val="clear" w:color="auto" w:fill="D9D9D9"/>
                  <w:vAlign w:val="center"/>
                </w:tcPr>
                <w:p>
                  <w:pPr>
                    <w:spacing w:line="276" w:lineRule="auto"/>
                    <w:jc w:val="center"/>
                    <w:rPr>
                      <w:rFonts w:ascii="Times New Roman" w:hAnsi="Times New Roman" w:cs="Times New Roman"/>
                    </w:rPr>
                  </w:pPr>
                  <w:r>
                    <w:rPr>
                      <w:rFonts w:ascii="Times New Roman" w:hAnsi="Times New Roman" w:cs="Times New Roman"/>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32"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限值</w:t>
                  </w:r>
                </w:p>
              </w:tc>
              <w:tc>
                <w:tcPr>
                  <w:tcW w:w="12215" w:type="dxa"/>
                  <w:gridSpan w:val="2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执行环大气【2019】35号《关于推进实施钢铁行业超低排放的意见》附表2《钢铁企业超低排放指标限值》</w:t>
                  </w:r>
                </w:p>
                <w:p>
                  <w:pPr>
                    <w:spacing w:line="276" w:lineRule="auto"/>
                    <w:jc w:val="center"/>
                    <w:rPr>
                      <w:rFonts w:ascii="Times New Roman" w:hAnsi="Times New Roman" w:cs="Times New Roman"/>
                    </w:rPr>
                  </w:pPr>
                  <w:r>
                    <w:rPr>
                      <w:rFonts w:ascii="Times New Roman" w:hAnsi="Times New Roman" w:cs="Times New Roman"/>
                    </w:rPr>
                    <w:t>出口颗粒物</w:t>
                  </w:r>
                  <w:r>
                    <w:rPr>
                      <w:rFonts w:ascii="Times New Roman" w:hAnsi="Times New Roman" w:cs="Times New Roman"/>
                    </w:rPr>
                    <w:tab/>
                  </w:r>
                  <w:r>
                    <w:rPr>
                      <w:rFonts w:ascii="Times New Roman" w:hAnsi="Times New Roman" w:cs="Times New Roman"/>
                    </w:rPr>
                    <w:t>＜10mg/m</w:t>
                  </w:r>
                  <w:r>
                    <w:rPr>
                      <w:rFonts w:ascii="Times New Roman" w:hAnsi="Times New Roman" w:cs="Times New Roman"/>
                      <w:vertAlign w:val="superscript"/>
                    </w:rPr>
                    <w:t>3</w:t>
                  </w:r>
                  <w:r>
                    <w:rPr>
                      <w:rFonts w:ascii="Times New Roman" w:hAnsi="Times New Roman" w:cs="Times New Roman"/>
                    </w:rPr>
                    <w:t xml:space="preserve">  SO2浓度＜35mg/m</w:t>
                  </w:r>
                  <w:r>
                    <w:rPr>
                      <w:rFonts w:ascii="Times New Roman" w:hAnsi="Times New Roman" w:cs="Times New Roman"/>
                      <w:vertAlign w:val="superscript"/>
                    </w:rPr>
                    <w:t>3</w:t>
                  </w:r>
                  <w:r>
                    <w:rPr>
                      <w:rFonts w:ascii="Times New Roman" w:hAnsi="Times New Roman" w:cs="Times New Roman"/>
                    </w:rPr>
                    <w:t xml:space="preserve">    NO</w:t>
                  </w:r>
                  <w:r>
                    <w:rPr>
                      <w:rFonts w:ascii="Times New Roman" w:hAnsi="Times New Roman" w:cs="Times New Roman"/>
                      <w:vertAlign w:val="subscript"/>
                    </w:rPr>
                    <w:t>x</w:t>
                  </w:r>
                  <w:r>
                    <w:rPr>
                      <w:rFonts w:ascii="Times New Roman" w:hAnsi="Times New Roman" w:cs="Times New Roman"/>
                    </w:rPr>
                    <w:t>浓度＜50mg/m</w:t>
                  </w:r>
                  <w:r>
                    <w:rPr>
                      <w:rFonts w:ascii="Times New Roman" w:hAnsi="Times New Roman" w:cs="Times New Roman"/>
                      <w:vertAlign w:val="superscript"/>
                    </w:rPr>
                    <w:t>3</w:t>
                  </w:r>
                  <w:r>
                    <w:rPr>
                      <w:rFonts w:ascii="Times New Roman" w:hAnsi="Times New Roman" w:cs="Times New Roman"/>
                    </w:rPr>
                    <w:t>标准限值；执行《关于推进生物质锅炉超低排放改造和燃气锅炉低氮改造的通知》（并环改办发[2018]18号）中超低氮排放浓度NO</w:t>
                  </w:r>
                  <w:r>
                    <w:rPr>
                      <w:rFonts w:ascii="Times New Roman" w:hAnsi="Times New Roman" w:cs="Times New Roman"/>
                      <w:vertAlign w:val="subscript"/>
                    </w:rPr>
                    <w:t>x</w:t>
                  </w:r>
                  <w:r>
                    <w:rPr>
                      <w:rFonts w:ascii="Times New Roman" w:hAnsi="Times New Roman" w:cs="Times New Roman"/>
                    </w:rPr>
                    <w:t>＜30mg/m</w:t>
                  </w:r>
                  <w:r>
                    <w:rPr>
                      <w:rFonts w:ascii="Times New Roman" w:hAnsi="Times New Roman" w:cs="Times New Roman"/>
                      <w:vertAlign w:val="superscript"/>
                    </w:rPr>
                    <w:t>3</w:t>
                  </w:r>
                  <w:r>
                    <w:rPr>
                      <w:rFonts w:ascii="Times New Roman" w:hAnsi="Times New Roman" w:cs="Times New Roman"/>
                    </w:rPr>
                    <w:t>标准限值；执行《关于印发山西省打赢蓝天保卫战2020年决战计划的通知》中SCR工艺脱硝设施氨逃逸指标小于2.5 mg/m</w:t>
                  </w:r>
                  <w:r>
                    <w:rPr>
                      <w:rFonts w:ascii="Times New Roman" w:hAnsi="Times New Roman" w:cs="Times New Roman"/>
                      <w:vertAlign w:val="superscript"/>
                    </w:rPr>
                    <w:t>3</w:t>
                  </w: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32"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备注</w:t>
                  </w:r>
                </w:p>
              </w:tc>
              <w:tc>
                <w:tcPr>
                  <w:tcW w:w="12215" w:type="dxa"/>
                  <w:gridSpan w:val="2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监测结果低于检出限按ND报出。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blHeader/>
                <w:jc w:val="center"/>
              </w:trPr>
              <w:tc>
                <w:tcPr>
                  <w:tcW w:w="1732" w:type="dxa"/>
                  <w:gridSpan w:val="2"/>
                  <w:vAlign w:val="center"/>
                </w:tcPr>
                <w:p>
                  <w:pPr>
                    <w:spacing w:line="276" w:lineRule="auto"/>
                    <w:jc w:val="center"/>
                    <w:rPr>
                      <w:rFonts w:ascii="Times New Roman" w:hAnsi="Times New Roman" w:cs="Times New Roman"/>
                      <w:b/>
                      <w:bCs/>
                    </w:rPr>
                  </w:pPr>
                  <w:r>
                    <w:rPr>
                      <w:rFonts w:ascii="Times New Roman" w:hAnsi="Times New Roman" w:cs="Times New Roman"/>
                      <w:b/>
                      <w:bCs/>
                    </w:rPr>
                    <w:t>结论</w:t>
                  </w:r>
                </w:p>
              </w:tc>
              <w:tc>
                <w:tcPr>
                  <w:tcW w:w="12215" w:type="dxa"/>
                  <w:gridSpan w:val="22"/>
                  <w:tcBorders>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颗粒物/二氧化硫/氮氧化物排放浓度范围分别为：ND—1.4mg/m³、NDmg/m³、14—20mg/m³,氨逃逸范围为：1.17-1.72mg/m³</w:t>
                  </w:r>
                </w:p>
                <w:p>
                  <w:pPr>
                    <w:spacing w:line="276" w:lineRule="auto"/>
                    <w:jc w:val="center"/>
                    <w:rPr>
                      <w:rFonts w:ascii="Times New Roman" w:hAnsi="Times New Roman" w:cs="Times New Roman"/>
                    </w:rPr>
                  </w:pPr>
                  <w:r>
                    <w:rPr>
                      <w:rFonts w:ascii="Times New Roman" w:hAnsi="Times New Roman" w:cs="Times New Roman"/>
                    </w:rPr>
                    <w:t>满足评价标准要求。</w:t>
                  </w:r>
                </w:p>
              </w:tc>
            </w:tr>
          </w:tbl>
          <w:p>
            <w:pPr>
              <w:pStyle w:val="32"/>
              <w:ind w:firstLine="480" w:firstLineChars="200"/>
              <w:rPr>
                <w:sz w:val="24"/>
                <w:szCs w:val="24"/>
              </w:rPr>
            </w:pPr>
            <w:r>
              <w:rPr>
                <w:sz w:val="24"/>
                <w:szCs w:val="24"/>
              </w:rPr>
              <w:t>（1）监测结果：脱硫系统出口烟气中颗粒物折算浓度的范围为ND-1.4mg/m³，SO</w:t>
            </w:r>
            <w:r>
              <w:rPr>
                <w:sz w:val="24"/>
                <w:szCs w:val="24"/>
                <w:vertAlign w:val="subscript"/>
              </w:rPr>
              <w:t>2</w:t>
            </w:r>
            <w:r>
              <w:rPr>
                <w:sz w:val="24"/>
                <w:szCs w:val="24"/>
              </w:rPr>
              <w:t>折算浓度低于检出限，满足《关于推进实施钢铁行业超低排放的意见》附表2颗粒物＜10mg/m³、SO</w:t>
            </w:r>
            <w:r>
              <w:rPr>
                <w:sz w:val="24"/>
                <w:szCs w:val="24"/>
                <w:vertAlign w:val="subscript"/>
              </w:rPr>
              <w:t>2</w:t>
            </w:r>
            <w:r>
              <w:rPr>
                <w:sz w:val="24"/>
                <w:szCs w:val="24"/>
              </w:rPr>
              <w:t>浓度＜35mg/m³的标准限值要求。NOx折算浓度的范围为14-20mg/m³，满足《关于推进生物质锅炉超低排放改造和燃气锅炉低氮改造的通知》（并环改办发[2018]18号）中超低氮排放浓度NOx＜30mg/m³的标准限值要求。氨折算浓度的范围为1.17-1.72mg/m³，满足《关于印发山西省打赢蓝天保卫战2020年决战计划的通知》中SCR工艺脱硝设施氨逃逸指标小于2.5mg/m³的标准限值要求。</w:t>
            </w:r>
          </w:p>
          <w:p>
            <w:pPr>
              <w:pStyle w:val="32"/>
              <w:ind w:firstLine="480" w:firstLineChars="200"/>
              <w:rPr>
                <w:sz w:val="24"/>
                <w:szCs w:val="24"/>
              </w:rPr>
            </w:pPr>
            <w:r>
              <w:rPr>
                <w:sz w:val="24"/>
                <w:szCs w:val="24"/>
              </w:rPr>
              <w:t>（2）污染物排放总量核算：本项目颗粒物排放浓度平均值为1.3mg/m³，SO</w:t>
            </w:r>
            <w:r>
              <w:rPr>
                <w:sz w:val="24"/>
                <w:szCs w:val="24"/>
                <w:vertAlign w:val="subscript"/>
              </w:rPr>
              <w:t>2</w:t>
            </w:r>
            <w:r>
              <w:rPr>
                <w:sz w:val="24"/>
                <w:szCs w:val="24"/>
              </w:rPr>
              <w:t>排放浓度低于检出限，按最低检出限的一半1.5mg/m³进行计算，NOx排放浓度平均值为18mg/m³。经计算，颗粒物排放总量为2.92t/a，SO</w:t>
            </w:r>
            <w:r>
              <w:rPr>
                <w:sz w:val="24"/>
                <w:szCs w:val="24"/>
                <w:vertAlign w:val="subscript"/>
              </w:rPr>
              <w:t>2</w:t>
            </w:r>
            <w:r>
              <w:rPr>
                <w:sz w:val="24"/>
                <w:szCs w:val="24"/>
              </w:rPr>
              <w:t>排放总量3.37t/a，NOx排放总量为40.48t/a，低于变更后环评预测总量排放值（颗粒物：13.5t/a，SO</w:t>
            </w:r>
            <w:r>
              <w:rPr>
                <w:sz w:val="24"/>
                <w:szCs w:val="24"/>
                <w:vertAlign w:val="subscript"/>
              </w:rPr>
              <w:t>2</w:t>
            </w:r>
            <w:r>
              <w:rPr>
                <w:sz w:val="24"/>
                <w:szCs w:val="24"/>
              </w:rPr>
              <w:t>：67.48t/a，NOx：80.98t/a）。</w:t>
            </w:r>
          </w:p>
        </w:tc>
      </w:tr>
    </w:tbl>
    <w:p>
      <w:pPr>
        <w:rPr>
          <w:rFonts w:ascii="Times New Roman" w:hAnsi="Times New Roman" w:cs="Times New Roman"/>
        </w:rPr>
        <w:sectPr>
          <w:pgSz w:w="16838" w:h="11906" w:orient="landscape"/>
          <w:pgMar w:top="1800" w:right="1440" w:bottom="1800" w:left="1440" w:header="708" w:footer="708" w:gutter="0"/>
          <w:cols w:space="720" w:num="1"/>
          <w:docGrid w:linePitch="360" w:charSpace="0"/>
        </w:sectPr>
      </w:pPr>
    </w:p>
    <w:tbl>
      <w:tblPr>
        <w:tblStyle w:val="21"/>
        <w:tblW w:w="9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2" w:hRule="atLeast"/>
          <w:jc w:val="center"/>
        </w:trPr>
        <w:tc>
          <w:tcPr>
            <w:tcW w:w="9091" w:type="dxa"/>
            <w:tcBorders>
              <w:top w:val="single" w:color="auto" w:sz="12" w:space="0"/>
              <w:left w:val="single" w:color="auto" w:sz="12" w:space="0"/>
              <w:bottom w:val="single" w:color="auto" w:sz="12" w:space="0"/>
              <w:right w:val="single" w:color="auto" w:sz="12" w:space="0"/>
            </w:tcBorders>
            <w:vAlign w:val="top"/>
          </w:tcPr>
          <w:p>
            <w:pPr>
              <w:pStyle w:val="32"/>
              <w:ind w:firstLine="482" w:firstLineChars="200"/>
              <w:rPr>
                <w:b/>
                <w:bCs/>
                <w:sz w:val="24"/>
                <w:szCs w:val="24"/>
              </w:rPr>
            </w:pPr>
            <w:r>
              <w:rPr>
                <w:b/>
                <w:bCs/>
                <w:sz w:val="24"/>
                <w:szCs w:val="24"/>
              </w:rPr>
              <w:t>2、噪声监测结果</w:t>
            </w:r>
          </w:p>
          <w:p>
            <w:pPr>
              <w:pStyle w:val="32"/>
              <w:ind w:firstLine="480" w:firstLineChars="200"/>
              <w:rPr>
                <w:sz w:val="24"/>
                <w:szCs w:val="24"/>
              </w:rPr>
            </w:pPr>
            <w:r>
              <w:rPr>
                <w:sz w:val="24"/>
                <w:szCs w:val="24"/>
              </w:rPr>
              <w:t>本次环保验收对厂界噪声进行监测，共选取了10个监测点，监测数据见下表。</w:t>
            </w:r>
          </w:p>
          <w:p>
            <w:pPr>
              <w:pStyle w:val="32"/>
              <w:ind w:firstLine="1"/>
              <w:jc w:val="center"/>
              <w:rPr>
                <w:sz w:val="24"/>
                <w:szCs w:val="24"/>
              </w:rPr>
            </w:pPr>
            <w:r>
              <w:rPr>
                <w:sz w:val="24"/>
                <w:szCs w:val="24"/>
              </w:rPr>
              <w:t>表</w:t>
            </w:r>
            <w:r>
              <w:rPr>
                <w:rFonts w:hint="eastAsia"/>
                <w:sz w:val="24"/>
                <w:szCs w:val="24"/>
              </w:rPr>
              <w:t>27</w:t>
            </w:r>
            <w:r>
              <w:rPr>
                <w:sz w:val="24"/>
                <w:szCs w:val="24"/>
              </w:rPr>
              <w:t xml:space="preserve">  厂界噪声监测结果一览表</w:t>
            </w:r>
          </w:p>
          <w:tbl>
            <w:tblPr>
              <w:tblStyle w:val="21"/>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444"/>
              <w:gridCol w:w="722"/>
              <w:gridCol w:w="723"/>
              <w:gridCol w:w="723"/>
              <w:gridCol w:w="723"/>
              <w:gridCol w:w="725"/>
              <w:gridCol w:w="722"/>
              <w:gridCol w:w="723"/>
              <w:gridCol w:w="723"/>
              <w:gridCol w:w="723"/>
              <w:gridCol w:w="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restar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日期</w:t>
                  </w:r>
                </w:p>
              </w:tc>
              <w:tc>
                <w:tcPr>
                  <w:tcW w:w="444" w:type="dxa"/>
                  <w:vMerge w:val="restar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点位</w:t>
                  </w:r>
                </w:p>
              </w:tc>
              <w:tc>
                <w:tcPr>
                  <w:tcW w:w="3616" w:type="dxa"/>
                  <w:gridSpan w:val="5"/>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昼   间</w:t>
                  </w:r>
                </w:p>
              </w:tc>
              <w:tc>
                <w:tcPr>
                  <w:tcW w:w="3620" w:type="dxa"/>
                  <w:gridSpan w:val="5"/>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p>
              </w:tc>
              <w:tc>
                <w:tcPr>
                  <w:tcW w:w="444" w:type="dxa"/>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eq</w:t>
                  </w:r>
                </w:p>
              </w:tc>
              <w:tc>
                <w:tcPr>
                  <w:tcW w:w="723" w:type="dxa"/>
                  <w:tcBorders>
                    <w:top w:val="single" w:color="auto" w:sz="6"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90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50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10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SD</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eq</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90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50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10</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restart"/>
                  <w:tcBorders>
                    <w:top w:val="single" w:color="auto" w:sz="4" w:space="0"/>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2021.8.3</w:t>
                  </w: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0.6</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54.0</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65.2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53.4</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56.1</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53.8</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61.4</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0.6</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54.9</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65.4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0.7</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53.8</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54.4</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53.8</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7</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59.5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59.6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54.3</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8</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55.3</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9</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56.0</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64.4</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65.0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52.2</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restart"/>
                  <w:tcBorders>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2021.8.4</w:t>
                  </w: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63.8</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64.4</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55.1</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0.7</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52.0</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64.4</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64.8</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65.3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53.2</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60.8</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55.1</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65.1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52.7</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0.7</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54.5</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7</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59.3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59.3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59.7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52.4</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52.7</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8</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54.8</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55.3</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9</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52.7</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54.6</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85" w:type="dxa"/>
                  <w:vMerge w:val="continue"/>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4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65.0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1.7</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54.6</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29" w:type="dxa"/>
                  <w:gridSpan w:val="2"/>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标准限值</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29" w:type="dxa"/>
                  <w:gridSpan w:val="2"/>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评价标准</w:t>
                  </w:r>
                </w:p>
              </w:tc>
              <w:tc>
                <w:tcPr>
                  <w:tcW w:w="7236" w:type="dxa"/>
                  <w:gridSpan w:val="10"/>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执行《工业企业厂界环境噪声排放标准》（GB12348-2008）3类标准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29"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备注</w:t>
                  </w:r>
                </w:p>
              </w:tc>
              <w:tc>
                <w:tcPr>
                  <w:tcW w:w="7236" w:type="dxa"/>
                  <w:gridSpan w:val="10"/>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昼间、夜间：晴天，风速&lt;5m/s。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29"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结论</w:t>
                  </w:r>
                </w:p>
              </w:tc>
              <w:tc>
                <w:tcPr>
                  <w:tcW w:w="7236" w:type="dxa"/>
                  <w:gridSpan w:val="10"/>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厂界噪声范围为昼间：59.3-64.3dB（A），夜间：51.3-54.5dB（A），</w:t>
                  </w:r>
                </w:p>
                <w:p>
                  <w:pPr>
                    <w:spacing w:line="276" w:lineRule="auto"/>
                    <w:jc w:val="center"/>
                    <w:rPr>
                      <w:rFonts w:ascii="Times New Roman" w:hAnsi="Times New Roman" w:cs="Times New Roman"/>
                    </w:rPr>
                  </w:pPr>
                  <w:r>
                    <w:rPr>
                      <w:rFonts w:ascii="Times New Roman" w:hAnsi="Times New Roman" w:cs="Times New Roman"/>
                    </w:rPr>
                    <w:t>满足评价标准要求。</w:t>
                  </w:r>
                </w:p>
              </w:tc>
            </w:tr>
          </w:tbl>
          <w:p>
            <w:pPr>
              <w:pStyle w:val="32"/>
              <w:ind w:firstLine="480" w:firstLineChars="200"/>
              <w:rPr>
                <w:sz w:val="24"/>
                <w:szCs w:val="24"/>
              </w:rPr>
            </w:pPr>
            <w:r>
              <w:rPr>
                <w:sz w:val="24"/>
                <w:szCs w:val="24"/>
              </w:rPr>
              <w:t>监测结果：根据监测数据知监测期间厂界昼间噪声范围为：59.3-64.3dB（A），夜间噪声范围为：51.3-54.5dB（A），满足《工业企业厂界环境噪声排放标准》（GB12348-2008）3类标准。</w:t>
            </w:r>
          </w:p>
        </w:tc>
      </w:tr>
    </w:tbl>
    <w:p>
      <w:pPr>
        <w:rPr>
          <w:rFonts w:ascii="Times New Roman" w:hAnsi="Times New Roman" w:cs="Times New Roman"/>
          <w:b/>
          <w:bCs/>
          <w:color w:val="000000"/>
        </w:rPr>
        <w:sectPr>
          <w:pgSz w:w="11906" w:h="16838"/>
          <w:pgMar w:top="1440" w:right="1800" w:bottom="1440" w:left="1800" w:header="708" w:footer="708" w:gutter="0"/>
          <w:cols w:space="720" w:num="1"/>
          <w:docGrid w:linePitch="360" w:charSpace="0"/>
        </w:sectPr>
      </w:pPr>
    </w:p>
    <w:p>
      <w:pPr>
        <w:pStyle w:val="4"/>
        <w:rPr>
          <w:rFonts w:ascii="Times New Roman" w:hAnsi="Times New Roman" w:cs="Times New Roman"/>
        </w:rPr>
      </w:pPr>
      <w:bookmarkStart w:id="31" w:name="_Toc86072632"/>
      <w:r>
        <w:rPr>
          <w:rFonts w:ascii="Times New Roman" w:hAnsi="Times New Roman" w:cs="Times New Roman"/>
        </w:rPr>
        <w:t>表八  验收监测结论</w:t>
      </w:r>
      <w:bookmarkEnd w:id="31"/>
    </w:p>
    <w:tbl>
      <w:tblPr>
        <w:tblStyle w:val="21"/>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2"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2"/>
              <w:rPr>
                <w:b/>
                <w:bCs/>
                <w:sz w:val="24"/>
                <w:szCs w:val="24"/>
              </w:rPr>
            </w:pPr>
            <w:r>
              <w:rPr>
                <w:b/>
                <w:bCs/>
                <w:sz w:val="24"/>
                <w:szCs w:val="24"/>
              </w:rPr>
              <w:t>一、环保设施运行效果及污染物排放监测结果</w:t>
            </w:r>
          </w:p>
          <w:p>
            <w:pPr>
              <w:pStyle w:val="32"/>
              <w:rPr>
                <w:b/>
                <w:bCs/>
                <w:sz w:val="24"/>
                <w:szCs w:val="24"/>
              </w:rPr>
            </w:pPr>
            <w:r>
              <w:rPr>
                <w:b/>
                <w:bCs/>
                <w:sz w:val="24"/>
                <w:szCs w:val="24"/>
              </w:rPr>
              <w:t>1、废气</w:t>
            </w:r>
          </w:p>
          <w:p>
            <w:pPr>
              <w:pStyle w:val="32"/>
              <w:ind w:firstLine="480" w:firstLineChars="200"/>
              <w:rPr>
                <w:sz w:val="24"/>
                <w:szCs w:val="24"/>
              </w:rPr>
            </w:pPr>
            <w:r>
              <w:rPr>
                <w:sz w:val="24"/>
                <w:szCs w:val="24"/>
              </w:rPr>
              <w:t>本项目燃气锅炉燃烧煤气产生的烟气，经过脱硝系统和脱硫系统处理后，经60m高烟囱排放。本次环保验收对脱硝系统进口、脱硫系统进、出口烟气分别进行监测，根据监测结果知，脱硫系统出口烟气中颗粒物折算浓度的范围为ND-1.4mg/m³，SO</w:t>
            </w:r>
            <w:r>
              <w:rPr>
                <w:sz w:val="24"/>
                <w:szCs w:val="24"/>
                <w:vertAlign w:val="subscript"/>
              </w:rPr>
              <w:t>2</w:t>
            </w:r>
            <w:r>
              <w:rPr>
                <w:sz w:val="24"/>
                <w:szCs w:val="24"/>
              </w:rPr>
              <w:t>折算浓度低于检出限，满足《关于推进实施钢铁行业超低排放的意见》附表2颗粒物＜10mg/m³、SO</w:t>
            </w:r>
            <w:r>
              <w:rPr>
                <w:sz w:val="24"/>
                <w:szCs w:val="24"/>
                <w:vertAlign w:val="subscript"/>
              </w:rPr>
              <w:t>2</w:t>
            </w:r>
            <w:r>
              <w:rPr>
                <w:sz w:val="24"/>
                <w:szCs w:val="24"/>
              </w:rPr>
              <w:t>浓度＜35mg/m³的标准限值要求。NOx折算浓度的范围为14-20mg/m³，满足《关于推进生物质锅炉超低排放改造和燃气锅炉低氮改造的通知》（并环改办发[2018]18号）中超低氮排放浓度NOx＜30mg/m³的标准限值要求。氨折算浓度的范围为1.17-1.72mg/m³，满足《关于印发山西省打赢蓝天保卫战2020年决战计划的通知》中SCR工艺脱硝设施氨逃逸指标小于2.5mg/m³的标准限值要求。监测结果达标率为100%。</w:t>
            </w:r>
          </w:p>
          <w:p>
            <w:pPr>
              <w:pStyle w:val="32"/>
              <w:rPr>
                <w:b/>
                <w:bCs/>
                <w:sz w:val="24"/>
                <w:szCs w:val="24"/>
              </w:rPr>
            </w:pPr>
            <w:r>
              <w:rPr>
                <w:b/>
                <w:bCs/>
                <w:sz w:val="24"/>
                <w:szCs w:val="24"/>
              </w:rPr>
              <w:t>2、噪声</w:t>
            </w:r>
          </w:p>
          <w:p>
            <w:pPr>
              <w:pStyle w:val="32"/>
              <w:ind w:firstLine="480" w:firstLineChars="200"/>
              <w:rPr>
                <w:sz w:val="24"/>
                <w:szCs w:val="24"/>
              </w:rPr>
            </w:pPr>
            <w:r>
              <w:rPr>
                <w:sz w:val="24"/>
                <w:szCs w:val="24"/>
              </w:rPr>
              <w:t>本次环保验收对厂界噪声进行监测，共选取了10个监测点。根据监测结果知监测期间厂界噪声范围为昼间：59.3-64.3dB（A），夜间噪声范围为：51.3-54.5dB（A）。监测结果达到《工业企业厂界环境噪声排放标准》（GB12348-2008）3类标准。</w:t>
            </w:r>
          </w:p>
          <w:p>
            <w:pPr>
              <w:pStyle w:val="32"/>
              <w:rPr>
                <w:b/>
                <w:bCs/>
                <w:sz w:val="24"/>
                <w:szCs w:val="24"/>
              </w:rPr>
            </w:pPr>
            <w:r>
              <w:rPr>
                <w:b/>
                <w:bCs/>
                <w:sz w:val="24"/>
                <w:szCs w:val="24"/>
              </w:rPr>
              <w:t>3、固体废物</w:t>
            </w:r>
          </w:p>
          <w:p>
            <w:pPr>
              <w:pStyle w:val="32"/>
              <w:ind w:firstLine="480" w:firstLineChars="200"/>
              <w:rPr>
                <w:sz w:val="24"/>
                <w:szCs w:val="24"/>
              </w:rPr>
            </w:pPr>
            <w:r>
              <w:rPr>
                <w:sz w:val="24"/>
                <w:szCs w:val="24"/>
              </w:rPr>
              <w:t>本项目生产过程中产生的固体废物有废机油、脱硫石膏、废催化剂。废机油产生量为10.4t/a，废机油属于危险废物，由太钢加工厂统一收集后送有资质单位处理。脱硫石膏产生量为573.5t/a，全部由太钢能源动力总厂石膏生产线生产为石膏粉后统一外售，全部综合利用。锅炉烟气脱硝SCR系统更换的废催化剂全部由催化剂生产厂家回收利用。</w:t>
            </w:r>
          </w:p>
          <w:p>
            <w:pPr>
              <w:pStyle w:val="32"/>
              <w:ind w:firstLine="480" w:firstLineChars="200"/>
              <w:rPr>
                <w:sz w:val="24"/>
                <w:szCs w:val="24"/>
              </w:rPr>
            </w:pPr>
            <w:r>
              <w:rPr>
                <w:sz w:val="24"/>
                <w:szCs w:val="24"/>
              </w:rPr>
              <w:t>本项目生活垃圾产生量约5.1t/a，统一收集后由当地环卫部门统一处理</w:t>
            </w:r>
          </w:p>
          <w:p>
            <w:pPr>
              <w:pStyle w:val="32"/>
              <w:rPr>
                <w:b/>
                <w:bCs/>
                <w:sz w:val="24"/>
                <w:szCs w:val="24"/>
              </w:rPr>
            </w:pPr>
            <w:r>
              <w:rPr>
                <w:b/>
                <w:bCs/>
                <w:sz w:val="24"/>
                <w:szCs w:val="24"/>
              </w:rPr>
              <w:t>二、总量核算</w:t>
            </w:r>
          </w:p>
          <w:p>
            <w:pPr>
              <w:pStyle w:val="32"/>
              <w:ind w:firstLine="480" w:firstLineChars="200"/>
              <w:rPr>
                <w:sz w:val="24"/>
                <w:szCs w:val="24"/>
              </w:rPr>
            </w:pPr>
            <w:r>
              <w:rPr>
                <w:sz w:val="24"/>
                <w:szCs w:val="24"/>
              </w:rPr>
              <w:t>本项目污染物实际排放总量与变更前后环评预测污染物排放总量比较见下表：</w:t>
            </w:r>
          </w:p>
          <w:p>
            <w:pPr>
              <w:pStyle w:val="32"/>
              <w:ind w:leftChars="-6" w:hanging="12" w:hangingChars="5"/>
              <w:jc w:val="center"/>
              <w:rPr>
                <w:sz w:val="24"/>
                <w:szCs w:val="24"/>
              </w:rPr>
            </w:pPr>
            <w:r>
              <w:rPr>
                <w:sz w:val="24"/>
                <w:szCs w:val="24"/>
              </w:rPr>
              <w:t>表2</w:t>
            </w:r>
            <w:r>
              <w:rPr>
                <w:rFonts w:hint="eastAsia"/>
                <w:sz w:val="24"/>
                <w:szCs w:val="24"/>
              </w:rPr>
              <w:t>8</w:t>
            </w:r>
            <w:r>
              <w:rPr>
                <w:sz w:val="24"/>
                <w:szCs w:val="24"/>
              </w:rPr>
              <w:t xml:space="preserve">  污染物实际排放总量与环评预测值比较一览表</w:t>
            </w:r>
          </w:p>
          <w:tbl>
            <w:tblPr>
              <w:tblStyle w:val="21"/>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
              <w:gridCol w:w="1863"/>
              <w:gridCol w:w="1863"/>
              <w:gridCol w:w="1861"/>
              <w:gridCol w:w="1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97" w:type="dxa"/>
                  <w:vAlign w:val="center"/>
                </w:tcPr>
                <w:p>
                  <w:pPr>
                    <w:adjustRightInd/>
                    <w:snapToGrid/>
                    <w:spacing w:line="276" w:lineRule="auto"/>
                    <w:jc w:val="center"/>
                    <w:rPr>
                      <w:rFonts w:ascii="Times New Roman" w:hAnsi="Times New Roman" w:cs="Times New Roman"/>
                      <w:b/>
                      <w:bCs/>
                      <w:color w:val="000000"/>
                    </w:rPr>
                  </w:pPr>
                  <w:r>
                    <w:rPr>
                      <w:rFonts w:ascii="Times New Roman" w:hAnsi="Times New Roman" w:cs="Times New Roman"/>
                      <w:b/>
                      <w:bCs/>
                      <w:color w:val="000000"/>
                    </w:rPr>
                    <w:t>污染物</w:t>
                  </w:r>
                </w:p>
              </w:tc>
              <w:tc>
                <w:tcPr>
                  <w:tcW w:w="1863" w:type="dxa"/>
                  <w:vAlign w:val="center"/>
                </w:tcPr>
                <w:p>
                  <w:pPr>
                    <w:adjustRightInd/>
                    <w:snapToGrid/>
                    <w:spacing w:line="276" w:lineRule="auto"/>
                    <w:jc w:val="center"/>
                    <w:rPr>
                      <w:rFonts w:ascii="Times New Roman" w:hAnsi="Times New Roman" w:cs="Times New Roman"/>
                      <w:b/>
                      <w:bCs/>
                      <w:color w:val="000000"/>
                    </w:rPr>
                  </w:pPr>
                  <w:r>
                    <w:rPr>
                      <w:rFonts w:ascii="Times New Roman" w:hAnsi="Times New Roman" w:cs="Times New Roman"/>
                      <w:b/>
                      <w:bCs/>
                      <w:color w:val="000000"/>
                    </w:rPr>
                    <w:t>技改前排放总量</w:t>
                  </w:r>
                </w:p>
              </w:tc>
              <w:tc>
                <w:tcPr>
                  <w:tcW w:w="1863" w:type="dxa"/>
                  <w:vAlign w:val="center"/>
                </w:tcPr>
                <w:p>
                  <w:pPr>
                    <w:adjustRightInd/>
                    <w:snapToGrid/>
                    <w:spacing w:line="276" w:lineRule="auto"/>
                    <w:jc w:val="center"/>
                    <w:rPr>
                      <w:rFonts w:ascii="Times New Roman" w:hAnsi="Times New Roman" w:cs="Times New Roman"/>
                      <w:b/>
                      <w:bCs/>
                      <w:color w:val="000000"/>
                    </w:rPr>
                  </w:pPr>
                  <w:r>
                    <w:rPr>
                      <w:rFonts w:ascii="Times New Roman" w:hAnsi="Times New Roman" w:cs="Times New Roman"/>
                      <w:b/>
                      <w:bCs/>
                      <w:color w:val="000000"/>
                    </w:rPr>
                    <w:t>变更前环评</w:t>
                  </w:r>
                </w:p>
                <w:p>
                  <w:pPr>
                    <w:adjustRightInd/>
                    <w:snapToGrid/>
                    <w:spacing w:line="276" w:lineRule="auto"/>
                    <w:jc w:val="center"/>
                    <w:rPr>
                      <w:rFonts w:ascii="Times New Roman" w:hAnsi="Times New Roman" w:cs="Times New Roman"/>
                      <w:b/>
                      <w:bCs/>
                      <w:color w:val="000000"/>
                    </w:rPr>
                  </w:pPr>
                  <w:r>
                    <w:rPr>
                      <w:rFonts w:ascii="Times New Roman" w:hAnsi="Times New Roman" w:cs="Times New Roman"/>
                      <w:b/>
                      <w:bCs/>
                      <w:color w:val="000000"/>
                    </w:rPr>
                    <w:t>预测排放总量</w:t>
                  </w:r>
                </w:p>
              </w:tc>
              <w:tc>
                <w:tcPr>
                  <w:tcW w:w="1861" w:type="dxa"/>
                  <w:vAlign w:val="center"/>
                </w:tcPr>
                <w:p>
                  <w:pPr>
                    <w:adjustRightInd/>
                    <w:snapToGrid/>
                    <w:spacing w:line="276" w:lineRule="auto"/>
                    <w:jc w:val="center"/>
                    <w:rPr>
                      <w:rFonts w:ascii="Times New Roman" w:hAnsi="Times New Roman" w:cs="Times New Roman"/>
                      <w:b/>
                      <w:bCs/>
                      <w:color w:val="000000"/>
                    </w:rPr>
                  </w:pPr>
                  <w:r>
                    <w:rPr>
                      <w:rFonts w:ascii="Times New Roman" w:hAnsi="Times New Roman" w:cs="Times New Roman"/>
                      <w:b/>
                      <w:bCs/>
                      <w:color w:val="000000"/>
                    </w:rPr>
                    <w:t>变更后环评</w:t>
                  </w:r>
                </w:p>
                <w:p>
                  <w:pPr>
                    <w:adjustRightInd/>
                    <w:snapToGrid/>
                    <w:spacing w:line="276" w:lineRule="auto"/>
                    <w:jc w:val="center"/>
                    <w:rPr>
                      <w:rFonts w:ascii="Times New Roman" w:hAnsi="Times New Roman" w:cs="Times New Roman"/>
                      <w:b/>
                      <w:bCs/>
                      <w:color w:val="000000"/>
                    </w:rPr>
                  </w:pPr>
                  <w:r>
                    <w:rPr>
                      <w:rFonts w:ascii="Times New Roman" w:hAnsi="Times New Roman" w:cs="Times New Roman"/>
                      <w:b/>
                      <w:bCs/>
                      <w:color w:val="000000"/>
                    </w:rPr>
                    <w:t>预测排放总量</w:t>
                  </w:r>
                </w:p>
              </w:tc>
              <w:tc>
                <w:tcPr>
                  <w:tcW w:w="1861" w:type="dxa"/>
                  <w:vAlign w:val="center"/>
                </w:tcPr>
                <w:p>
                  <w:pPr>
                    <w:adjustRightInd/>
                    <w:snapToGrid/>
                    <w:spacing w:line="276" w:lineRule="auto"/>
                    <w:jc w:val="center"/>
                    <w:rPr>
                      <w:rFonts w:ascii="Times New Roman" w:hAnsi="Times New Roman" w:cs="Times New Roman"/>
                      <w:b/>
                      <w:bCs/>
                      <w:color w:val="000000"/>
                    </w:rPr>
                  </w:pPr>
                  <w:r>
                    <w:rPr>
                      <w:rFonts w:ascii="Times New Roman" w:hAnsi="Times New Roman" w:cs="Times New Roman"/>
                      <w:b/>
                      <w:bCs/>
                      <w:color w:val="000000"/>
                    </w:rPr>
                    <w:t>实际排放总量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97"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颗粒物</w:t>
                  </w:r>
                </w:p>
              </w:tc>
              <w:tc>
                <w:tcPr>
                  <w:tcW w:w="1863"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27.61</w:t>
                  </w:r>
                </w:p>
              </w:tc>
              <w:tc>
                <w:tcPr>
                  <w:tcW w:w="1863"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20.85</w:t>
                  </w:r>
                </w:p>
              </w:tc>
              <w:tc>
                <w:tcPr>
                  <w:tcW w:w="1861"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13.5</w:t>
                  </w:r>
                </w:p>
              </w:tc>
              <w:tc>
                <w:tcPr>
                  <w:tcW w:w="1861"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97"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SO</w:t>
                  </w:r>
                  <w:r>
                    <w:rPr>
                      <w:rFonts w:ascii="Times New Roman" w:hAnsi="Times New Roman" w:cs="Times New Roman"/>
                      <w:color w:val="000000"/>
                      <w:vertAlign w:val="subscript"/>
                    </w:rPr>
                    <w:t>2</w:t>
                  </w:r>
                </w:p>
              </w:tc>
              <w:tc>
                <w:tcPr>
                  <w:tcW w:w="1863"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148.2</w:t>
                  </w:r>
                </w:p>
              </w:tc>
              <w:tc>
                <w:tcPr>
                  <w:tcW w:w="1863"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125.1</w:t>
                  </w:r>
                </w:p>
              </w:tc>
              <w:tc>
                <w:tcPr>
                  <w:tcW w:w="1861"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67.48</w:t>
                  </w:r>
                </w:p>
              </w:tc>
              <w:tc>
                <w:tcPr>
                  <w:tcW w:w="1861"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97"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NOx</w:t>
                  </w:r>
                </w:p>
              </w:tc>
              <w:tc>
                <w:tcPr>
                  <w:tcW w:w="1863"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173.4</w:t>
                  </w:r>
                </w:p>
              </w:tc>
              <w:tc>
                <w:tcPr>
                  <w:tcW w:w="1863"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166.8</w:t>
                  </w:r>
                </w:p>
              </w:tc>
              <w:tc>
                <w:tcPr>
                  <w:tcW w:w="1861"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80.98</w:t>
                  </w:r>
                </w:p>
              </w:tc>
              <w:tc>
                <w:tcPr>
                  <w:tcW w:w="1861" w:type="dxa"/>
                  <w:vAlign w:val="center"/>
                </w:tcPr>
                <w:p>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40.48</w:t>
                  </w:r>
                </w:p>
              </w:tc>
            </w:tr>
          </w:tbl>
          <w:p>
            <w:pPr>
              <w:pStyle w:val="32"/>
              <w:ind w:left="-13" w:leftChars="-6" w:firstLine="480" w:firstLineChars="200"/>
              <w:rPr>
                <w:sz w:val="24"/>
                <w:szCs w:val="24"/>
              </w:rPr>
            </w:pPr>
            <w:r>
              <w:rPr>
                <w:sz w:val="24"/>
                <w:szCs w:val="24"/>
              </w:rPr>
              <w:t>本项目颗粒物、NOx技改后实际排放总量</w:t>
            </w:r>
            <w:bookmarkStart w:id="32" w:name="_Hlk85732643"/>
            <w:r>
              <w:rPr>
                <w:sz w:val="24"/>
                <w:szCs w:val="24"/>
              </w:rPr>
              <w:t>为2.92t/a、40.48t/a，低于技改前排放总量，且低于变更前后环评预测排放总量。技改后</w:t>
            </w:r>
            <w:bookmarkStart w:id="33" w:name="_Hlk85732268"/>
            <w:r>
              <w:rPr>
                <w:sz w:val="24"/>
                <w:szCs w:val="24"/>
              </w:rPr>
              <w:t>SO</w:t>
            </w:r>
            <w:r>
              <w:rPr>
                <w:sz w:val="24"/>
                <w:szCs w:val="24"/>
                <w:vertAlign w:val="subscript"/>
              </w:rPr>
              <w:t>2</w:t>
            </w:r>
            <w:r>
              <w:rPr>
                <w:sz w:val="24"/>
                <w:szCs w:val="24"/>
              </w:rPr>
              <w:t>实际排放浓度低于检出限</w:t>
            </w:r>
            <w:bookmarkEnd w:id="33"/>
            <w:r>
              <w:rPr>
                <w:sz w:val="24"/>
                <w:szCs w:val="24"/>
              </w:rPr>
              <w:t>，按最低检出限的一半计算，实际排放总量为3.37t/a，低于技改前排放总量，且低于变更前后环评预测排放总量。综上所述，本项目污染物实际排放总量满足变更前后环评报告表及审批部门审批决定规定的总量控制指标。</w:t>
            </w:r>
          </w:p>
          <w:bookmarkEnd w:id="32"/>
          <w:p>
            <w:pPr>
              <w:pStyle w:val="32"/>
              <w:rPr>
                <w:sz w:val="24"/>
                <w:szCs w:val="24"/>
              </w:rPr>
            </w:pPr>
            <w:r>
              <w:rPr>
                <w:b/>
                <w:bCs/>
                <w:sz w:val="24"/>
                <w:szCs w:val="24"/>
              </w:rPr>
              <w:t>三、环境管理</w:t>
            </w:r>
          </w:p>
          <w:p>
            <w:pPr>
              <w:pStyle w:val="32"/>
              <w:ind w:firstLine="480" w:firstLineChars="200"/>
              <w:rPr>
                <w:kern w:val="0"/>
                <w:sz w:val="24"/>
                <w:szCs w:val="24"/>
              </w:rPr>
            </w:pPr>
            <w:r>
              <w:rPr>
                <w:kern w:val="0"/>
                <w:sz w:val="24"/>
                <w:szCs w:val="24"/>
              </w:rPr>
              <w:t>山西太钢不锈钢股份有限公司煤气锅炉升级改造项目环保审批手续齐全，工程各项环保审查、批复资料完整，主要环保设施（措施）按环评和批复要求建成，环保设施（措施）完成率100%，做到了主体工程与环保设施同时设计、同时施工、同时投入运行。</w:t>
            </w:r>
          </w:p>
          <w:p>
            <w:pPr>
              <w:pStyle w:val="32"/>
              <w:rPr>
                <w:b/>
                <w:bCs/>
                <w:sz w:val="24"/>
                <w:szCs w:val="24"/>
              </w:rPr>
            </w:pPr>
            <w:r>
              <w:rPr>
                <w:b/>
                <w:bCs/>
                <w:sz w:val="24"/>
                <w:szCs w:val="24"/>
              </w:rPr>
              <w:t>四、社会影响调查结果</w:t>
            </w:r>
          </w:p>
          <w:p>
            <w:pPr>
              <w:pStyle w:val="32"/>
              <w:ind w:firstLine="480" w:firstLineChars="200"/>
              <w:rPr>
                <w:kern w:val="0"/>
                <w:sz w:val="24"/>
                <w:szCs w:val="24"/>
              </w:rPr>
            </w:pPr>
            <w:r>
              <w:rPr>
                <w:kern w:val="0"/>
                <w:sz w:val="24"/>
                <w:szCs w:val="24"/>
              </w:rPr>
              <w:t>本项目位于山西省太原市尖草坪街2号山西太钢不锈钢股份有限公司厂区内，不涉及拆迁、安置问题，对项目区周边社会环境影响较小。</w:t>
            </w:r>
          </w:p>
          <w:p>
            <w:pPr>
              <w:pStyle w:val="32"/>
              <w:rPr>
                <w:sz w:val="24"/>
                <w:szCs w:val="24"/>
              </w:rPr>
            </w:pPr>
            <w:r>
              <w:rPr>
                <w:b/>
                <w:bCs/>
                <w:sz w:val="24"/>
                <w:szCs w:val="24"/>
              </w:rPr>
              <w:t>五、验收调查结论</w:t>
            </w:r>
          </w:p>
          <w:p>
            <w:pPr>
              <w:pStyle w:val="32"/>
              <w:ind w:firstLine="480" w:firstLineChars="200"/>
              <w:rPr>
                <w:kern w:val="0"/>
                <w:sz w:val="24"/>
                <w:szCs w:val="24"/>
              </w:rPr>
            </w:pPr>
            <w:r>
              <w:rPr>
                <w:kern w:val="0"/>
                <w:sz w:val="24"/>
                <w:szCs w:val="24"/>
              </w:rPr>
              <w:t>通过对山西太钢不锈钢股份有限公司煤气锅炉升级改造项目的现场监测和检查，经综合分析与评价得出结论如下：</w:t>
            </w:r>
          </w:p>
          <w:p>
            <w:pPr>
              <w:pStyle w:val="32"/>
              <w:ind w:firstLine="480" w:firstLineChars="200"/>
              <w:rPr>
                <w:kern w:val="0"/>
                <w:sz w:val="24"/>
                <w:szCs w:val="24"/>
              </w:rPr>
            </w:pPr>
            <w:r>
              <w:rPr>
                <w:kern w:val="0"/>
                <w:sz w:val="24"/>
                <w:szCs w:val="24"/>
              </w:rPr>
              <w:t>（1）主体设施按照环评和批复的要求全部建成，运行管理情况良好。</w:t>
            </w:r>
          </w:p>
          <w:p>
            <w:pPr>
              <w:pStyle w:val="32"/>
              <w:ind w:firstLine="480" w:firstLineChars="200"/>
              <w:rPr>
                <w:kern w:val="0"/>
                <w:sz w:val="24"/>
                <w:szCs w:val="24"/>
              </w:rPr>
            </w:pPr>
            <w:r>
              <w:rPr>
                <w:kern w:val="0"/>
                <w:sz w:val="24"/>
                <w:szCs w:val="24"/>
              </w:rPr>
              <w:t>（2）建设单位制定了较全面的环境保护管理制度，经现场调查，执行情况较好。</w:t>
            </w:r>
          </w:p>
          <w:p>
            <w:pPr>
              <w:pStyle w:val="32"/>
              <w:ind w:firstLine="480" w:firstLineChars="200"/>
              <w:rPr>
                <w:kern w:val="0"/>
                <w:sz w:val="24"/>
                <w:szCs w:val="24"/>
              </w:rPr>
            </w:pPr>
            <w:r>
              <w:rPr>
                <w:kern w:val="0"/>
                <w:sz w:val="24"/>
                <w:szCs w:val="24"/>
              </w:rPr>
              <w:t>（3）</w:t>
            </w:r>
            <w:r>
              <w:rPr>
                <w:sz w:val="24"/>
                <w:szCs w:val="24"/>
              </w:rPr>
              <w:t>验收监测期间，工况稳定，满足验收监测要求，</w:t>
            </w:r>
            <w:r>
              <w:rPr>
                <w:kern w:val="0"/>
                <w:sz w:val="24"/>
                <w:szCs w:val="24"/>
              </w:rPr>
              <w:t>主要污染物实现了达标排放。</w:t>
            </w:r>
          </w:p>
          <w:p>
            <w:pPr>
              <w:pStyle w:val="32"/>
              <w:ind w:firstLine="480" w:firstLineChars="200"/>
              <w:rPr>
                <w:sz w:val="24"/>
                <w:szCs w:val="24"/>
              </w:rPr>
            </w:pPr>
            <w:r>
              <w:rPr>
                <w:sz w:val="24"/>
                <w:szCs w:val="24"/>
              </w:rPr>
              <w:t>综上所述，根据现场监测结果及现场调查结果分析本项目基本具备竣工环境保护验收条件。</w:t>
            </w:r>
          </w:p>
          <w:p>
            <w:pPr>
              <w:pStyle w:val="32"/>
              <w:rPr>
                <w:sz w:val="24"/>
                <w:szCs w:val="24"/>
              </w:rPr>
            </w:pPr>
            <w:r>
              <w:rPr>
                <w:b/>
                <w:bCs/>
                <w:sz w:val="24"/>
                <w:szCs w:val="24"/>
              </w:rPr>
              <w:t>六、建议</w:t>
            </w:r>
          </w:p>
          <w:p>
            <w:pPr>
              <w:pStyle w:val="32"/>
              <w:ind w:firstLine="480" w:firstLineChars="200"/>
              <w:rPr>
                <w:kern w:val="0"/>
                <w:sz w:val="24"/>
                <w:szCs w:val="24"/>
              </w:rPr>
            </w:pPr>
            <w:r>
              <w:rPr>
                <w:kern w:val="0"/>
                <w:sz w:val="24"/>
                <w:szCs w:val="24"/>
              </w:rPr>
              <w:t>1、加强环保管理，对已建成的环保设施的运行和维护，规范运行记录台账，保证设施的正常运行，实现长期稳定达标排放。</w:t>
            </w:r>
          </w:p>
          <w:p>
            <w:pPr>
              <w:pStyle w:val="32"/>
              <w:ind w:firstLine="480" w:firstLineChars="200"/>
              <w:rPr>
                <w:kern w:val="0"/>
                <w:sz w:val="24"/>
                <w:szCs w:val="24"/>
              </w:rPr>
            </w:pPr>
            <w:r>
              <w:rPr>
                <w:kern w:val="0"/>
                <w:sz w:val="24"/>
                <w:szCs w:val="24"/>
              </w:rPr>
              <w:t>2、加强环境教育，增强环保意识，全员落实环保工作，认真执行环保相关的法律法规，并与环保部门及时联系和沟通。</w:t>
            </w:r>
          </w:p>
          <w:p>
            <w:pPr>
              <w:pStyle w:val="32"/>
              <w:ind w:firstLine="480" w:firstLineChars="200"/>
              <w:rPr>
                <w:kern w:val="0"/>
                <w:sz w:val="24"/>
                <w:szCs w:val="24"/>
              </w:rPr>
            </w:pPr>
            <w:r>
              <w:rPr>
                <w:kern w:val="0"/>
                <w:sz w:val="24"/>
                <w:szCs w:val="24"/>
              </w:rPr>
              <w:t>3、加强风险管控，杜绝出现环境风险事故。</w:t>
            </w:r>
          </w:p>
        </w:tc>
      </w:tr>
    </w:tbl>
    <w:p>
      <w:pPr>
        <w:pStyle w:val="25"/>
        <w:spacing w:before="0" w:beforeAutospacing="0" w:after="0" w:afterAutospacing="0" w:line="360" w:lineRule="exact"/>
        <w:jc w:val="both"/>
        <w:outlineLvl w:val="0"/>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jc w:val="center"/>
        <w:rPr>
          <w:rFonts w:ascii="Times New Roman" w:hAnsi="Times New Roman" w:cs="Times New Roman"/>
        </w:rPr>
      </w:pPr>
      <w:bookmarkStart w:id="34" w:name="_Toc86072633"/>
      <w:r>
        <w:rPr>
          <w:rFonts w:ascii="Times New Roman" w:hAnsi="Times New Roman" w:eastAsia="宋体" w:cs="Times New Roman"/>
          <w:b/>
          <w:bCs/>
          <w:kern w:val="44"/>
          <w:sz w:val="24"/>
          <w:szCs w:val="24"/>
          <w:lang w:val="en-US" w:eastAsia="zh-CN" w:bidi="ar-SA"/>
        </w:rPr>
        <w:pict>
          <v:shape id="Picture 262" o:spid="_x0000_s1088" type="#_x0000_t75" style="position:absolute;left:0;margin-left:-16.95pt;margin-top:27.65pt;height:393.1pt;width:737pt;mso-wrap-distance-bottom:0pt;mso-wrap-distance-top:0pt;rotation:0f;z-index:251671552;" o:ole="f" fillcolor="#FFFFFF" filled="f" o:preferrelative="t" stroked="f" coordorigin="0,0" coordsize="21600,21600">
            <v:fill on="f" color2="#FFFFFF" focus="0%"/>
            <v:imagedata croptop="1286f" gain="65536f" blacklevel="0f" gamma="0" o:title="" r:id="rId14"/>
            <o:lock v:ext="edit" position="f" selection="f" grouping="f" rotation="f" cropping="f" text="f" aspectratio="t"/>
            <w10:wrap type="topAndBottom"/>
          </v:shape>
        </w:pict>
      </w:r>
      <w:r>
        <w:rPr>
          <w:rFonts w:ascii="Times New Roman" w:hAnsi="Times New Roman" w:cs="Times New Roman"/>
        </w:rPr>
        <w:t>建设项目竣工环境保护“三同时”验收登记表</w:t>
      </w:r>
      <w:bookmarkEnd w:id="34"/>
    </w:p>
    <w:p>
      <w:pPr>
        <w:rPr>
          <w:rFonts w:ascii="Times New Roman" w:hAnsi="Times New Roman" w:cs="Times New Roman"/>
        </w:rPr>
      </w:pPr>
    </w:p>
    <w:p>
      <w:pPr>
        <w:pStyle w:val="2"/>
        <w:spacing w:before="156"/>
        <w:rPr>
          <w:rFonts w:ascii="Times New Roman" w:hAnsi="Times New Roman" w:cs="Times New Roman"/>
        </w:rPr>
        <w:sectPr>
          <w:footerReference r:id="rId8" w:type="default"/>
          <w:pgSz w:w="16838" w:h="11906" w:orient="landscape"/>
          <w:pgMar w:top="1457" w:right="1440" w:bottom="1457" w:left="1440" w:header="851" w:footer="992" w:gutter="0"/>
          <w:cols w:space="720" w:num="1"/>
          <w:docGrid w:type="linesAndChars" w:linePitch="312" w:charSpace="0"/>
        </w:sectPr>
      </w:pPr>
    </w:p>
    <w:p>
      <w:pPr>
        <w:pStyle w:val="4"/>
        <w:rPr>
          <w:rFonts w:ascii="Times New Roman" w:hAnsi="Times New Roman" w:cs="Times New Roman"/>
        </w:rPr>
      </w:pPr>
      <w:bookmarkStart w:id="35" w:name="_Toc86072634"/>
      <w:r>
        <w:rPr>
          <w:rFonts w:ascii="Times New Roman" w:hAnsi="Times New Roman" w:cs="Times New Roman"/>
        </w:rPr>
        <w:t>附图、附件</w:t>
      </w:r>
      <w:bookmarkEnd w:id="35"/>
    </w:p>
    <w:p>
      <w:pPr>
        <w:pStyle w:val="35"/>
        <w:tabs>
          <w:tab w:val="right" w:leader="dot" w:pos="8306"/>
        </w:tabs>
        <w:spacing w:line="360" w:lineRule="auto"/>
        <w:rPr>
          <w:rFonts w:ascii="Times New Roman" w:hAnsi="Times New Roman" w:cs="Times New Roman"/>
          <w:sz w:val="24"/>
          <w:szCs w:val="24"/>
        </w:rPr>
      </w:pPr>
      <w:r>
        <w:rPr>
          <w:rFonts w:ascii="Times New Roman" w:hAnsi="Times New Roman" w:cs="Times New Roman"/>
          <w:sz w:val="24"/>
          <w:szCs w:val="24"/>
        </w:rPr>
        <w:t>附图</w:t>
      </w:r>
    </w:p>
    <w:p>
      <w:pPr>
        <w:pStyle w:val="35"/>
        <w:tabs>
          <w:tab w:val="right" w:leader="dot" w:pos="8306"/>
        </w:tabs>
        <w:spacing w:line="360" w:lineRule="auto"/>
        <w:ind w:firstLine="400" w:firstLineChars="200"/>
        <w:rPr>
          <w:rFonts w:ascii="Times New Roman" w:hAnsi="Times New Roman" w:cs="Times New Roman"/>
          <w:sz w:val="24"/>
          <w:szCs w:val="24"/>
        </w:rPr>
      </w:pPr>
      <w:r>
        <w:fldChar w:fldCharType="begin"/>
      </w:r>
      <w:r>
        <w:instrText xml:space="preserve">HYPERLINK  \l "_Toc24896_WPSOffice_Level1" </w:instrText>
      </w:r>
      <w:r>
        <w:fldChar w:fldCharType="separate"/>
      </w:r>
      <w:r>
        <w:rPr>
          <w:rFonts w:ascii="Times New Roman" w:hAnsi="Times New Roman" w:cs="Times New Roman"/>
          <w:sz w:val="24"/>
          <w:szCs w:val="24"/>
        </w:rPr>
        <w:t>附图1 项目建设位置图</w:t>
      </w:r>
      <w:r>
        <w:fldChar w:fldCharType="end"/>
      </w:r>
    </w:p>
    <w:p>
      <w:pPr>
        <w:pStyle w:val="35"/>
        <w:tabs>
          <w:tab w:val="right" w:leader="dot" w:pos="8306"/>
        </w:tabs>
        <w:spacing w:line="360" w:lineRule="auto"/>
        <w:ind w:firstLine="400" w:firstLineChars="200"/>
        <w:rPr>
          <w:rFonts w:ascii="Times New Roman" w:hAnsi="Times New Roman" w:cs="Times New Roman"/>
          <w:sz w:val="24"/>
          <w:szCs w:val="24"/>
        </w:rPr>
      </w:pPr>
      <w:r>
        <w:fldChar w:fldCharType="begin"/>
      </w:r>
      <w:r>
        <w:instrText xml:space="preserve">HYPERLINK  \l "_Toc32458_WPSOffice_Level1" </w:instrText>
      </w:r>
      <w:r>
        <w:fldChar w:fldCharType="separate"/>
      </w:r>
      <w:r>
        <w:rPr>
          <w:rFonts w:ascii="Times New Roman" w:hAnsi="Times New Roman" w:cs="Times New Roman"/>
          <w:sz w:val="24"/>
          <w:szCs w:val="24"/>
        </w:rPr>
        <w:t>附图2 项目变更前后选址变化示意图</w:t>
      </w:r>
      <w:r>
        <w:fldChar w:fldCharType="end"/>
      </w:r>
    </w:p>
    <w:p>
      <w:pPr>
        <w:pStyle w:val="35"/>
        <w:tabs>
          <w:tab w:val="right" w:leader="dot" w:pos="8306"/>
        </w:tabs>
        <w:spacing w:line="360" w:lineRule="auto"/>
        <w:ind w:firstLine="425" w:firstLineChars="177"/>
        <w:rPr>
          <w:rFonts w:ascii="Times New Roman" w:hAnsi="Times New Roman" w:cs="Times New Roman"/>
          <w:sz w:val="24"/>
          <w:szCs w:val="24"/>
        </w:rPr>
      </w:pPr>
      <w:r>
        <w:rPr>
          <w:rFonts w:ascii="Times New Roman" w:hAnsi="Times New Roman" w:cs="Times New Roman"/>
          <w:sz w:val="24"/>
          <w:szCs w:val="24"/>
        </w:rPr>
        <w:t>附图3 项目总平面布置示意图</w:t>
      </w:r>
    </w:p>
    <w:p>
      <w:pPr>
        <w:pStyle w:val="35"/>
        <w:tabs>
          <w:tab w:val="right" w:leader="dot" w:pos="8306"/>
        </w:tabs>
        <w:spacing w:line="360" w:lineRule="auto"/>
        <w:rPr>
          <w:rFonts w:ascii="Times New Roman" w:hAnsi="Times New Roman" w:cs="Times New Roman"/>
          <w:sz w:val="24"/>
          <w:szCs w:val="24"/>
        </w:rPr>
      </w:pPr>
      <w:r>
        <w:rPr>
          <w:rFonts w:ascii="Times New Roman" w:hAnsi="Times New Roman" w:cs="Times New Roman"/>
          <w:sz w:val="24"/>
          <w:szCs w:val="24"/>
        </w:rPr>
        <w:t>附件</w:t>
      </w:r>
    </w:p>
    <w:p>
      <w:pPr>
        <w:pStyle w:val="35"/>
        <w:tabs>
          <w:tab w:val="right" w:leader="dot" w:pos="8306"/>
        </w:tabs>
        <w:spacing w:line="360" w:lineRule="auto"/>
        <w:ind w:firstLine="425" w:firstLineChars="177"/>
        <w:rPr>
          <w:rFonts w:ascii="Times New Roman" w:hAnsi="Times New Roman" w:cs="Times New Roman"/>
          <w:sz w:val="24"/>
          <w:szCs w:val="24"/>
        </w:rPr>
      </w:pPr>
      <w:r>
        <w:rPr>
          <w:rFonts w:ascii="Times New Roman" w:hAnsi="Times New Roman" w:cs="Times New Roman"/>
          <w:sz w:val="24"/>
          <w:szCs w:val="24"/>
        </w:rPr>
        <w:t>附件1 委托书</w:t>
      </w:r>
    </w:p>
    <w:p>
      <w:pPr>
        <w:pStyle w:val="35"/>
        <w:tabs>
          <w:tab w:val="right" w:leader="dot" w:pos="8306"/>
        </w:tabs>
        <w:spacing w:line="360" w:lineRule="auto"/>
        <w:ind w:firstLine="425" w:firstLineChars="177"/>
        <w:rPr>
          <w:rFonts w:ascii="Times New Roman" w:hAnsi="Times New Roman" w:cs="Times New Roman"/>
          <w:sz w:val="24"/>
          <w:szCs w:val="24"/>
        </w:rPr>
      </w:pPr>
      <w:r>
        <w:rPr>
          <w:rFonts w:ascii="Times New Roman" w:hAnsi="Times New Roman" w:cs="Times New Roman"/>
          <w:sz w:val="24"/>
          <w:szCs w:val="24"/>
        </w:rPr>
        <w:t>附件2 工程任务单</w:t>
      </w:r>
    </w:p>
    <w:p>
      <w:pPr>
        <w:pStyle w:val="35"/>
        <w:tabs>
          <w:tab w:val="right" w:leader="dot" w:pos="8306"/>
        </w:tabs>
        <w:spacing w:line="360" w:lineRule="auto"/>
        <w:ind w:firstLine="426" w:firstLineChars="213"/>
        <w:rPr>
          <w:rFonts w:ascii="Times New Roman" w:hAnsi="Times New Roman" w:cs="Times New Roman"/>
          <w:sz w:val="24"/>
          <w:szCs w:val="24"/>
        </w:rPr>
      </w:pPr>
      <w:r>
        <w:fldChar w:fldCharType="begin"/>
      </w:r>
      <w:r>
        <w:instrText xml:space="preserve">HYPERLINK  \l "_Toc31225_WPSOffice_Level1" </w:instrText>
      </w:r>
      <w:r>
        <w:fldChar w:fldCharType="separate"/>
      </w:r>
      <w:r>
        <w:rPr>
          <w:rFonts w:ascii="Times New Roman" w:hAnsi="Times New Roman" w:cs="Times New Roman"/>
          <w:sz w:val="24"/>
          <w:szCs w:val="24"/>
        </w:rPr>
        <w:t>附件3 变更前环境影响评价批复</w:t>
      </w:r>
      <w:r>
        <w:fldChar w:fldCharType="end"/>
      </w:r>
    </w:p>
    <w:p>
      <w:pPr>
        <w:pStyle w:val="35"/>
        <w:tabs>
          <w:tab w:val="right" w:leader="dot" w:pos="8306"/>
        </w:tabs>
        <w:spacing w:line="360" w:lineRule="auto"/>
        <w:ind w:firstLine="425" w:firstLineChars="177"/>
        <w:rPr>
          <w:rFonts w:ascii="Times New Roman" w:hAnsi="Times New Roman" w:cs="Times New Roman"/>
          <w:sz w:val="24"/>
          <w:szCs w:val="24"/>
        </w:rPr>
      </w:pPr>
      <w:r>
        <w:rPr>
          <w:rFonts w:ascii="Times New Roman" w:hAnsi="Times New Roman" w:cs="Times New Roman"/>
          <w:sz w:val="24"/>
          <w:szCs w:val="24"/>
        </w:rPr>
        <w:t>附件4 项目核准文件</w:t>
      </w:r>
    </w:p>
    <w:p>
      <w:pPr>
        <w:pStyle w:val="35"/>
        <w:tabs>
          <w:tab w:val="right" w:leader="dot" w:pos="8306"/>
        </w:tabs>
        <w:spacing w:line="360" w:lineRule="auto"/>
        <w:ind w:firstLine="425" w:firstLineChars="177"/>
        <w:rPr>
          <w:rFonts w:ascii="Times New Roman" w:hAnsi="Times New Roman" w:cs="Times New Roman"/>
          <w:sz w:val="24"/>
          <w:szCs w:val="24"/>
        </w:rPr>
      </w:pPr>
      <w:r>
        <w:rPr>
          <w:rFonts w:ascii="Times New Roman" w:hAnsi="Times New Roman" w:cs="Times New Roman"/>
          <w:sz w:val="24"/>
          <w:szCs w:val="24"/>
        </w:rPr>
        <w:t>附件5 变更后环评报告申请的复函</w:t>
      </w:r>
    </w:p>
    <w:p>
      <w:pPr>
        <w:pStyle w:val="35"/>
        <w:tabs>
          <w:tab w:val="right" w:leader="dot" w:pos="8306"/>
        </w:tabs>
        <w:spacing w:line="360" w:lineRule="auto"/>
        <w:ind w:firstLine="425" w:firstLineChars="177"/>
        <w:rPr>
          <w:rFonts w:ascii="Times New Roman" w:hAnsi="Times New Roman" w:cs="Times New Roman"/>
          <w:sz w:val="24"/>
          <w:szCs w:val="24"/>
        </w:rPr>
      </w:pPr>
      <w:r>
        <w:rPr>
          <w:rFonts w:ascii="Times New Roman" w:hAnsi="Times New Roman" w:cs="Times New Roman"/>
          <w:sz w:val="24"/>
          <w:szCs w:val="24"/>
        </w:rPr>
        <w:t>附件6 排污许可证</w:t>
      </w:r>
    </w:p>
    <w:p>
      <w:pPr>
        <w:pStyle w:val="35"/>
        <w:tabs>
          <w:tab w:val="right" w:leader="dot" w:pos="8306"/>
        </w:tabs>
        <w:spacing w:line="360" w:lineRule="auto"/>
        <w:ind w:firstLine="425" w:firstLineChars="177"/>
        <w:rPr>
          <w:rFonts w:ascii="Times New Roman" w:hAnsi="Times New Roman" w:cs="Times New Roman"/>
          <w:sz w:val="24"/>
          <w:szCs w:val="24"/>
        </w:rPr>
      </w:pPr>
      <w:r>
        <w:rPr>
          <w:rFonts w:ascii="Times New Roman" w:hAnsi="Times New Roman" w:cs="Times New Roman"/>
          <w:sz w:val="24"/>
          <w:szCs w:val="24"/>
        </w:rPr>
        <w:t>附件7 监测报告</w:t>
      </w:r>
    </w:p>
    <w:p>
      <w:pPr>
        <w:pStyle w:val="35"/>
        <w:tabs>
          <w:tab w:val="right" w:leader="dot" w:pos="8306"/>
        </w:tabs>
        <w:spacing w:line="360" w:lineRule="auto"/>
        <w:ind w:firstLine="425" w:firstLineChars="177"/>
        <w:rPr>
          <w:rFonts w:ascii="Times New Roman" w:hAnsi="Times New Roman" w:cs="Times New Roman"/>
          <w:sz w:val="24"/>
          <w:szCs w:val="24"/>
        </w:rPr>
      </w:pPr>
      <w:r>
        <w:rPr>
          <w:rFonts w:ascii="Times New Roman" w:hAnsi="Times New Roman" w:cs="Times New Roman"/>
          <w:sz w:val="24"/>
          <w:szCs w:val="24"/>
        </w:rPr>
        <w:t>附件8 其他情况说明</w:t>
      </w:r>
    </w:p>
    <w:p>
      <w:pPr>
        <w:pStyle w:val="35"/>
        <w:tabs>
          <w:tab w:val="right" w:leader="dot" w:pos="8306"/>
        </w:tabs>
        <w:spacing w:line="360" w:lineRule="auto"/>
        <w:ind w:firstLine="425" w:firstLineChars="177"/>
        <w:rPr>
          <w:rFonts w:ascii="Times New Roman" w:hAnsi="Times New Roman" w:cs="Times New Roman"/>
          <w:sz w:val="24"/>
          <w:szCs w:val="24"/>
        </w:rPr>
      </w:pPr>
      <w:r>
        <w:rPr>
          <w:rFonts w:ascii="Times New Roman" w:hAnsi="Times New Roman" w:cs="Times New Roman"/>
          <w:sz w:val="24"/>
          <w:szCs w:val="24"/>
        </w:rPr>
        <w:t>附件9 竣工环境保护验收意见</w:t>
      </w:r>
    </w:p>
    <w:p>
      <w:pPr>
        <w:pStyle w:val="35"/>
        <w:tabs>
          <w:tab w:val="right" w:leader="dot" w:pos="8306"/>
        </w:tabs>
        <w:spacing w:line="360" w:lineRule="auto"/>
        <w:ind w:firstLine="560" w:firstLineChars="200"/>
        <w:rPr>
          <w:rFonts w:ascii="Times New Roman" w:hAnsi="Times New Roman" w:cs="Times New Roman"/>
          <w:sz w:val="28"/>
          <w:szCs w:val="28"/>
        </w:rPr>
      </w:pPr>
    </w:p>
    <w:p>
      <w:pPr>
        <w:pStyle w:val="35"/>
        <w:tabs>
          <w:tab w:val="right" w:leader="dot" w:pos="8306"/>
        </w:tabs>
        <w:spacing w:line="360" w:lineRule="auto"/>
        <w:ind w:firstLine="560" w:firstLineChars="200"/>
        <w:rPr>
          <w:rFonts w:ascii="Times New Roman" w:hAnsi="Times New Roman" w:cs="Times New Roman"/>
          <w:sz w:val="28"/>
          <w:szCs w:val="28"/>
        </w:rPr>
        <w:sectPr>
          <w:pgSz w:w="11906" w:h="16838"/>
          <w:pgMar w:top="1440" w:right="1457" w:bottom="1440" w:left="1457" w:header="851" w:footer="992" w:gutter="0"/>
          <w:cols w:space="720" w:num="1"/>
          <w:docGrid w:type="linesAndChars" w:linePitch="312" w:charSpace="0"/>
        </w:sectPr>
      </w:pPr>
    </w:p>
    <w:p>
      <w:pPr>
        <w:pStyle w:val="5"/>
        <w:rPr>
          <w:rFonts w:ascii="Times New Roman" w:hAnsi="Times New Roman"/>
        </w:rPr>
      </w:pPr>
      <w:r>
        <w:fldChar w:fldCharType="begin"/>
      </w:r>
      <w:r>
        <w:instrText xml:space="preserve">HYPERLINK  \l "_Toc24896_WPSOffice_Level1" </w:instrText>
      </w:r>
      <w:r>
        <w:fldChar w:fldCharType="separate"/>
      </w:r>
      <w:r>
        <w:rPr>
          <w:rFonts w:ascii="Times New Roman" w:hAnsi="Times New Roman"/>
        </w:rPr>
        <w:t>附图1 项目建设位置图</w:t>
      </w:r>
      <w:r>
        <w:fldChar w:fldCharType="end"/>
      </w:r>
    </w:p>
    <w:p>
      <w:pPr>
        <w:pStyle w:val="35"/>
        <w:tabs>
          <w:tab w:val="right" w:leader="dot" w:pos="8306"/>
        </w:tabs>
        <w:spacing w:line="360" w:lineRule="auto"/>
        <w:rPr>
          <w:rFonts w:ascii="Times New Roman" w:hAnsi="Times New Roman" w:cs="Times New Roman"/>
          <w:sz w:val="28"/>
          <w:szCs w:val="28"/>
        </w:rPr>
      </w:pPr>
      <w:r>
        <w:rPr>
          <w:rFonts w:ascii="Times New Roman" w:hAnsi="Times New Roman" w:eastAsia="宋体" w:cs="Times New Roman"/>
          <w:sz w:val="28"/>
          <w:szCs w:val="28"/>
          <w:lang w:val="en-US" w:eastAsia="zh-CN" w:bidi="ar-SA"/>
        </w:rPr>
        <w:pict>
          <v:shape id="Quad Arrow 238" o:spid="_x0000_s1089" type="#_x0000_t202" style="position:absolute;left:0;margin-left:366.65pt;margin-top:324.2pt;height:22.7pt;width:93.55pt;rotation:0f;z-index:251668480;"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rPr>
                      <w:b/>
                      <w:bCs/>
                      <w:color w:val="FF0000"/>
                    </w:rPr>
                  </w:pPr>
                  <w:r>
                    <w:rPr>
                      <w:rFonts w:hint="eastAsia"/>
                      <w:b/>
                      <w:bCs/>
                      <w:color w:val="FF0000"/>
                    </w:rPr>
                    <w:t>本项目建设位置</w:t>
                  </w:r>
                </w:p>
              </w:txbxContent>
            </v:textbox>
          </v:shape>
        </w:pict>
      </w:r>
      <w:r>
        <w:rPr>
          <w:rFonts w:ascii="Times New Roman" w:hAnsi="Times New Roman" w:eastAsia="宋体" w:cs="Times New Roman"/>
          <w:sz w:val="28"/>
          <w:szCs w:val="28"/>
          <w:lang w:val="en-US" w:eastAsia="zh-CN" w:bidi="ar-SA"/>
        </w:rPr>
        <w:pict>
          <v:rect id="Rectangle 237" o:spid="_x0000_s1090" style="position:absolute;left:0;margin-left:394pt;margin-top:243.45pt;height:5.65pt;width:5.65pt;rotation:0f;z-index:251667456;" o:ole="f" fillcolor="#FF0000" filled="t" o:preferrelative="t" stroked="t" coordsize="21600,21600">
            <v:stroke color="#FF0000" color2="#FFFFFF" miterlimit="2"/>
            <v:imagedata gain="65536f" blacklevel="0f" gamma="0"/>
            <o:lock v:ext="edit" position="f" selection="f" grouping="f" rotation="f" cropping="f" text="f" aspectratio="f"/>
          </v:rect>
        </w:pict>
      </w:r>
      <w:r>
        <w:rPr>
          <w:rFonts w:ascii="Times New Roman" w:hAnsi="Times New Roman" w:eastAsia="宋体" w:cs="Times New Roman"/>
          <w:sz w:val="28"/>
          <w:szCs w:val="28"/>
          <w:lang w:val="en-US" w:eastAsia="zh-CN" w:bidi="ar-SA"/>
        </w:rPr>
        <w:pict>
          <v:shape id="Straight Connector 236" o:spid="_x0000_s1091" type="#_x0000_t32" style="position:absolute;left:0;flip:x;margin-left:381.35pt;margin-top:249.5pt;height:67.5pt;width:10.5pt;rotation:0f;z-index:251666432;" o:ole="f" o:connectortype="straight" fillcolor="#FFFFFF" filled="f" o:preferrelative="t" stroked="t" coordorigin="0,0" coordsize="21600,21600">
            <v:fill on="f" color2="#FFFFFF" focus="0%"/>
            <v:stroke weight="3pt" color="#FF0000" color2="#FFFFFF" miterlimit="2"/>
            <v:imagedata gain="65536f" blacklevel="0f" gamma="0"/>
            <o:lock v:ext="edit" position="f" selection="f" grouping="f" rotation="f" cropping="f" text="f" aspectratio="f"/>
          </v:shape>
        </w:pict>
      </w:r>
      <w:r>
        <w:rPr>
          <w:rFonts w:ascii="Times New Roman" w:hAnsi="Times New Roman" w:eastAsia="宋体" w:cs="Times New Roman"/>
          <w:sz w:val="28"/>
          <w:szCs w:val="28"/>
          <w:lang w:val="en-US" w:eastAsia="zh-CN" w:bidi="ar-SA"/>
        </w:rPr>
        <w:pict>
          <v:shape id="图片 91" o:spid="_x0000_s1092" type="#_x0000_t75" style="position:absolute;left:0;margin-left:35.55pt;margin-top:7pt;height:384pt;width:669.75pt;mso-wrap-distance-bottom:0pt;mso-wrap-distance-top:0pt;rotation:0f;z-index:251665408;" o:ole="f" fillcolor="#FFFFFF" filled="f" o:preferrelative="t" stroked="t" coordorigin="0,0" coordsize="21600,21600">
            <v:fill on="f" color2="#FFFFFF" focus="0%"/>
            <v:stroke weight="1.5pt" color="#000000" color2="#FFFFFF" miterlimit="2"/>
            <v:imagedata cropleft="965f" croptop="1475f" cropright="525f" cropbottom="2173f" gain="65536f" blacklevel="0f" gamma="0" o:title="5太钢厂区平面布置图" r:id="rId15"/>
            <o:lock v:ext="edit" position="f" selection="f" grouping="f" rotation="f" cropping="f" text="f" aspectratio="t"/>
            <w10:wrap type="topAndBottom"/>
          </v:shape>
        </w:pict>
      </w:r>
    </w:p>
    <w:p>
      <w:pPr>
        <w:pStyle w:val="5"/>
        <w:rPr>
          <w:rFonts w:ascii="Times New Roman" w:hAnsi="Times New Roman"/>
        </w:rPr>
        <w:sectPr>
          <w:pgSz w:w="16838" w:h="11906" w:orient="landscape"/>
          <w:pgMar w:top="1457" w:right="1440" w:bottom="1457" w:left="1440" w:header="851" w:footer="992" w:gutter="0"/>
          <w:cols w:space="720" w:num="1"/>
          <w:docGrid w:type="linesAndChars" w:linePitch="312" w:charSpace="0"/>
        </w:sectPr>
      </w:pPr>
    </w:p>
    <w:p>
      <w:pPr>
        <w:pStyle w:val="5"/>
        <w:rPr>
          <w:rFonts w:ascii="Times New Roman" w:hAnsi="Times New Roman"/>
        </w:rPr>
      </w:pPr>
      <w:r>
        <w:fldChar w:fldCharType="begin"/>
      </w:r>
      <w:r>
        <w:instrText xml:space="preserve">HYPERLINK  \l "_Toc32458_WPSOffice_Level1" </w:instrText>
      </w:r>
      <w:r>
        <w:fldChar w:fldCharType="separate"/>
      </w:r>
      <w:r>
        <w:rPr>
          <w:rFonts w:ascii="Times New Roman" w:hAnsi="Times New Roman"/>
        </w:rPr>
        <w:t>附图2 项目变更前后选址变化示意图</w:t>
      </w:r>
      <w:r>
        <w:fldChar w:fldCharType="end"/>
      </w:r>
    </w:p>
    <w:p>
      <w:pPr>
        <w:pStyle w:val="35"/>
        <w:tabs>
          <w:tab w:val="right" w:leader="dot" w:pos="8306"/>
        </w:tabs>
        <w:spacing w:line="360" w:lineRule="auto"/>
        <w:jc w:val="center"/>
        <w:rPr>
          <w:rFonts w:ascii="Times New Roman" w:hAnsi="Times New Roman" w:cs="Times New Roman"/>
          <w:sz w:val="28"/>
          <w:szCs w:val="28"/>
        </w:rPr>
      </w:pPr>
      <w:r>
        <w:rPr>
          <w:rFonts w:ascii="Times New Roman" w:hAnsi="Times New Roman" w:eastAsia="宋体" w:cs="Times New Roman"/>
          <w:lang w:val="en-US" w:eastAsia="zh-CN" w:bidi="ar-SA"/>
        </w:rPr>
        <w:pict>
          <v:shape id="Picture 5" o:spid="_x0000_s1093" type="#_x0000_t75" style="height:390.75pt;width:697.5pt;rotation:0f;" o:ole="f" fillcolor="#FFFFFF" filled="f" o:preferrelative="t" stroked="f" coordorigin="0,0" coordsize="21600,21600">
            <v:fill on="f" color2="#FFFFFF" focus="0%"/>
            <v:imagedata gain="65536f" blacklevel="0f" gamma="0" o:title="" r:id="rId16"/>
            <o:lock v:ext="edit" position="f" selection="f" grouping="f" rotation="f" cropping="f" text="f" aspectratio="t"/>
            <w10:wrap type="none"/>
            <w10:anchorlock/>
          </v:shape>
        </w:pict>
      </w:r>
    </w:p>
    <w:p>
      <w:pPr>
        <w:pStyle w:val="5"/>
        <w:rPr>
          <w:rFonts w:ascii="Times New Roman" w:hAnsi="Times New Roman"/>
        </w:rPr>
      </w:pPr>
      <w:bookmarkStart w:id="36" w:name="_Toc86072637"/>
      <w:r>
        <w:rPr>
          <w:rFonts w:ascii="Times New Roman" w:hAnsi="Times New Roman"/>
        </w:rPr>
        <w:t>附图3 项目总平面布置示意图</w:t>
      </w:r>
      <w:bookmarkEnd w:id="36"/>
    </w:p>
    <w:p>
      <w:pPr>
        <w:jc w:val="center"/>
        <w:rPr>
          <w:rFonts w:ascii="Times New Roman" w:hAnsi="Times New Roman" w:cs="Times New Roman"/>
        </w:rPr>
      </w:pPr>
      <w:r>
        <w:rPr>
          <w:rFonts w:ascii="Times New Roman" w:hAnsi="Times New Roman" w:eastAsia="宋体" w:cs="Times New Roman"/>
          <w:sz w:val="21"/>
          <w:szCs w:val="21"/>
          <w:lang w:val="en-US" w:eastAsia="zh-CN" w:bidi="ar-SA"/>
        </w:rPr>
        <w:pict>
          <v:shape id="Picture 6" o:spid="_x0000_s1094" type="#_x0000_t75" style="height:431.25pt;width:606.75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p>
    <w:p>
      <w:pPr>
        <w:rPr>
          <w:rFonts w:ascii="Times New Roman" w:hAnsi="Times New Roman" w:cs="Times New Roman"/>
        </w:rPr>
        <w:sectPr>
          <w:pgSz w:w="16838" w:h="11906" w:orient="landscape"/>
          <w:pgMar w:top="1457" w:right="1440" w:bottom="1457" w:left="1440" w:header="851" w:footer="992" w:gutter="0"/>
          <w:cols w:space="720" w:num="1"/>
          <w:docGrid w:type="linesAndChars" w:linePitch="312" w:charSpace="0"/>
        </w:sectPr>
      </w:pPr>
    </w:p>
    <w:p>
      <w:pPr>
        <w:pStyle w:val="5"/>
        <w:rPr>
          <w:rFonts w:ascii="Times New Roman" w:hAnsi="Times New Roman"/>
        </w:rPr>
      </w:pPr>
      <w:bookmarkStart w:id="37" w:name="_Toc86072638"/>
      <w:r>
        <w:rPr>
          <w:rFonts w:ascii="Times New Roman" w:hAnsi="Times New Roman" w:eastAsia="宋体" w:cs="Times New Roman"/>
          <w:b/>
          <w:bCs/>
          <w:sz w:val="24"/>
          <w:szCs w:val="32"/>
          <w:lang w:val="en-US" w:eastAsia="zh-CN" w:bidi="ar-SA"/>
        </w:rPr>
        <w:pict>
          <v:shape id="Picture 249" o:spid="_x0000_s1095" type="#_x0000_t75" style="position:absolute;left:0;margin-left:-4.1pt;margin-top:21.7pt;height:654.8pt;width:453.75pt;mso-wrap-distance-bottom:0pt;mso-wrap-distance-top:0pt;rotation:0f;z-index:251669504;" o:ole="f" fillcolor="#FFFFFF" filled="f" o:preferrelative="t" stroked="f" coordorigin="0,0" coordsize="21600,21600">
            <v:fill on="f" color2="#FFFFFF" focus="0%"/>
            <v:imagedata cropbottom="5598f" gain="65536f" blacklevel="0f" gamma="0" o:title="煤气锅炉升级改造项目" r:id="rId18"/>
            <o:lock v:ext="edit" position="f" selection="f" grouping="f" rotation="f" cropping="f" text="f" aspectratio="t"/>
            <w10:wrap type="topAndBottom"/>
          </v:shape>
        </w:pict>
      </w:r>
      <w:r>
        <w:rPr>
          <w:rFonts w:ascii="Times New Roman" w:hAnsi="Times New Roman"/>
        </w:rPr>
        <w:t>附件1 委托书</w:t>
      </w:r>
      <w:bookmarkEnd w:id="37"/>
    </w:p>
    <w:p>
      <w:pPr>
        <w:rPr>
          <w:rFonts w:ascii="Times New Roman" w:hAnsi="Times New Roman" w:cs="Times New Roman"/>
        </w:rPr>
      </w:pPr>
    </w:p>
    <w:p>
      <w:pPr>
        <w:pStyle w:val="2"/>
        <w:spacing w:before="156"/>
        <w:rPr>
          <w:rFonts w:ascii="Times New Roman" w:hAnsi="Times New Roman" w:cs="Times New Roman"/>
        </w:rPr>
        <w:sectPr>
          <w:pgSz w:w="11906" w:h="16838"/>
          <w:pgMar w:top="1440" w:right="1457" w:bottom="1440" w:left="1457" w:header="851" w:footer="992" w:gutter="0"/>
          <w:cols w:space="720" w:num="1"/>
          <w:docGrid w:type="linesAndChars" w:linePitch="312" w:charSpace="0"/>
        </w:sectPr>
      </w:pPr>
    </w:p>
    <w:p>
      <w:pPr>
        <w:pStyle w:val="5"/>
        <w:rPr>
          <w:rFonts w:ascii="Times New Roman" w:hAnsi="Times New Roman"/>
        </w:rPr>
      </w:pPr>
      <w:bookmarkStart w:id="38" w:name="_Toc86072639"/>
      <w:r>
        <w:rPr>
          <w:rFonts w:ascii="Times New Roman" w:hAnsi="Times New Roman" w:eastAsia="宋体" w:cs="Times New Roman"/>
          <w:b/>
          <w:bCs/>
          <w:sz w:val="24"/>
          <w:szCs w:val="32"/>
          <w:lang w:val="en-US" w:eastAsia="zh-CN" w:bidi="ar-SA"/>
        </w:rPr>
        <w:pict>
          <v:shape id="Picture 250" o:spid="_x0000_s1096" type="#_x0000_t75" style="position:absolute;left:0;margin-left:-0.35pt;margin-top:27.2pt;height:571.9pt;width:468pt;mso-wrap-distance-bottom:0pt;mso-wrap-distance-top:0pt;rotation:0f;z-index:251670528;" o:ole="f" fillcolor="#FFFFFF" filled="f" o:preferrelative="t" stroked="f" coordorigin="0,0" coordsize="21600,21600">
            <v:fill on="f" color2="#FFFFFF" focus="0%"/>
            <v:imagedata gain="65536f" blacklevel="0f" gamma="0" o:title="" r:id="rId19"/>
            <o:lock v:ext="edit" position="f" selection="f" grouping="f" rotation="f" cropping="f" text="f" aspectratio="t"/>
            <w10:wrap type="topAndBottom"/>
          </v:shape>
        </w:pict>
      </w:r>
      <w:r>
        <w:rPr>
          <w:rFonts w:ascii="Times New Roman" w:hAnsi="Times New Roman"/>
        </w:rPr>
        <w:t>附件2 工程项目任务单</w:t>
      </w:r>
      <w:bookmarkEnd w:id="38"/>
    </w:p>
    <w:p>
      <w:pPr>
        <w:rPr>
          <w:rFonts w:ascii="Times New Roman" w:hAnsi="Times New Roman" w:cs="Times New Roman"/>
        </w:rPr>
      </w:pPr>
    </w:p>
    <w:p>
      <w:pPr>
        <w:pStyle w:val="5"/>
        <w:rPr>
          <w:rFonts w:ascii="Times New Roman" w:hAnsi="Times New Roman"/>
          <w:szCs w:val="24"/>
        </w:rPr>
      </w:pPr>
      <w:r>
        <w:fldChar w:fldCharType="begin"/>
      </w:r>
      <w:r>
        <w:instrText xml:space="preserve">HYPERLINK  \l "_Toc31225_WPSOffice_Level1" </w:instrText>
      </w:r>
      <w:r>
        <w:fldChar w:fldCharType="separate"/>
      </w:r>
      <w:r>
        <w:rPr>
          <w:rFonts w:ascii="Times New Roman" w:hAnsi="Times New Roman"/>
          <w:szCs w:val="24"/>
        </w:rPr>
        <w:t>附件3 变更前环境影响评价批复</w:t>
      </w:r>
      <w:r>
        <w:fldChar w:fldCharType="end"/>
      </w:r>
    </w:p>
    <w:p>
      <w:pPr>
        <w:jc w:val="center"/>
        <w:rPr>
          <w:rFonts w:ascii="Times New Roman" w:hAnsi="Times New Roman" w:cs="Times New Roman"/>
        </w:rPr>
      </w:pPr>
      <w:r>
        <w:rPr>
          <w:rFonts w:ascii="Times New Roman" w:hAnsi="Times New Roman" w:eastAsia="宋体" w:cs="Times New Roman"/>
          <w:sz w:val="21"/>
          <w:szCs w:val="21"/>
          <w:lang w:val="en-US" w:eastAsia="zh-CN" w:bidi="ar-SA"/>
        </w:rPr>
        <w:pict>
          <v:shape id="Picture 7" o:spid="_x0000_s1097" alt="燃气锅炉高效改造项目环评批文1" type="#_x0000_t75" style="height:645pt;width:450.75pt;rotation:0f;" o:ole="f" fillcolor="#FFFFFF" filled="f" o:preferrelative="t" stroked="f" coordorigin="0,0" coordsize="21600,21600">
            <v:fill on="f" color2="#FFFFFF" focus="0%"/>
            <v:imagedata cropbottom="1777f" gain="65536f" blacklevel="1966f" gamma="0" o:title="燃气锅炉高效改造项目环评批文1" r:id="rId20"/>
            <o:lock v:ext="edit" position="f" selection="f" grouping="f" rotation="f" cropping="f" text="f" aspectratio="t"/>
            <w10:wrap type="none"/>
            <w10:anchorlock/>
          </v:shape>
        </w:pict>
      </w:r>
    </w:p>
    <w:p>
      <w:pPr>
        <w:pStyle w:val="2"/>
        <w:spacing w:before="156"/>
        <w:rPr>
          <w:rFonts w:ascii="Times New Roman" w:hAnsi="Times New Roman" w:cs="Times New Roman"/>
        </w:rPr>
      </w:pPr>
    </w:p>
    <w:p>
      <w:pPr>
        <w:pStyle w:val="2"/>
        <w:spacing w:before="156"/>
        <w:rPr>
          <w:rFonts w:ascii="Times New Roman" w:hAnsi="Times New Roman" w:cs="Times New Roman"/>
          <w:sz w:val="28"/>
          <w:szCs w:val="28"/>
        </w:rPr>
      </w:pPr>
      <w:r>
        <w:rPr>
          <w:rFonts w:ascii="Times New Roman" w:hAnsi="Times New Roman" w:eastAsia="黑体" w:cs="Times New Roman"/>
          <w:spacing w:val="28"/>
          <w:sz w:val="21"/>
          <w:szCs w:val="21"/>
          <w:lang w:val="en-US" w:eastAsia="zh-CN" w:bidi="ar-SA"/>
        </w:rPr>
        <w:pict>
          <v:shape id="图片 2" o:spid="_x0000_s1098" alt="燃气锅炉高效改造项目环评批文2" type="#_x0000_t75" style="position:absolute;left:0;margin-left:2.9pt;margin-top:0.4pt;height:653.05pt;width:446.8pt;mso-wrap-distance-bottom:0pt;mso-wrap-distance-top:0pt;rotation:0f;z-index:251661312;" o:ole="f" fillcolor="#FFFFFF" filled="f" o:preferrelative="t" stroked="f" coordorigin="0,0" coordsize="21600,21600">
            <v:fill on="f" color2="#FFFFFF" focus="0%"/>
            <v:imagedata cropright="975f" gain="65536f" blacklevel="1966f" gamma="0" o:title="燃气锅炉高效改造项目环评批文2" r:id="rId21"/>
            <o:lock v:ext="edit" position="f" selection="f" grouping="f" rotation="f" cropping="f" text="f" aspectratio="t"/>
            <w10:wrap type="topAndBottom"/>
          </v:shape>
        </w:pict>
      </w:r>
    </w:p>
    <w:p>
      <w:pPr>
        <w:pStyle w:val="2"/>
        <w:spacing w:before="156"/>
        <w:rPr>
          <w:rFonts w:ascii="Times New Roman" w:hAnsi="Times New Roman" w:cs="Times New Roman"/>
          <w:sz w:val="28"/>
          <w:szCs w:val="28"/>
        </w:rPr>
      </w:pPr>
      <w:r>
        <w:rPr>
          <w:rFonts w:ascii="Times New Roman" w:hAnsi="Times New Roman" w:eastAsia="黑体" w:cs="Times New Roman"/>
          <w:spacing w:val="28"/>
          <w:sz w:val="21"/>
          <w:szCs w:val="21"/>
          <w:lang w:val="en-US" w:eastAsia="zh-CN" w:bidi="ar-SA"/>
        </w:rPr>
        <w:pict>
          <v:shape id="图片 3" o:spid="_x0000_s1099" alt="燃气锅炉高效改造项目环评批文3" type="#_x0000_t75" style="position:absolute;left:0;margin-left:-3.4pt;margin-top:0pt;height:644.3pt;width:453.55pt;mso-wrap-distance-bottom:0pt;mso-wrap-distance-top:0pt;rotation:0f;z-index:251662336;" o:ole="f" fillcolor="#FFFFFF" filled="f" o:preferrelative="t" stroked="f" coordorigin="0,0" coordsize="21600,21600">
            <v:fill on="f" color2="#FFFFFF" focus="0%"/>
            <v:imagedata gain="65536f" blacklevel="1966f" gamma="0" o:title="燃气锅炉高效改造项目环评批文3" r:id="rId22"/>
            <o:lock v:ext="edit" position="f" selection="f" grouping="f" rotation="f" cropping="f" text="f" aspectratio="t"/>
            <w10:wrap type="topAndBottom"/>
          </v:shape>
        </w:pict>
      </w:r>
    </w:p>
    <w:p>
      <w:pPr>
        <w:pStyle w:val="2"/>
        <w:spacing w:before="156"/>
        <w:rPr>
          <w:rFonts w:ascii="Times New Roman" w:hAnsi="Times New Roman" w:cs="Times New Roman"/>
          <w:sz w:val="28"/>
          <w:szCs w:val="28"/>
        </w:rPr>
      </w:pPr>
    </w:p>
    <w:p>
      <w:pPr>
        <w:pStyle w:val="5"/>
        <w:rPr>
          <w:rFonts w:ascii="Times New Roman" w:hAnsi="Times New Roman"/>
        </w:rPr>
      </w:pPr>
      <w:bookmarkStart w:id="39" w:name="_Toc86072641"/>
      <w:r>
        <w:rPr>
          <w:rFonts w:ascii="Times New Roman" w:hAnsi="Times New Roman"/>
        </w:rPr>
        <w:t>附件4 项目核准文件</w:t>
      </w:r>
      <w:bookmarkEnd w:id="39"/>
    </w:p>
    <w:p>
      <w:pPr>
        <w:pStyle w:val="35"/>
        <w:tabs>
          <w:tab w:val="right" w:leader="dot" w:pos="8306"/>
        </w:tabs>
        <w:spacing w:line="360" w:lineRule="auto"/>
        <w:jc w:val="center"/>
        <w:rPr>
          <w:rFonts w:ascii="Times New Roman" w:hAnsi="Times New Roman" w:cs="Times New Roman"/>
          <w:sz w:val="28"/>
          <w:szCs w:val="28"/>
        </w:rPr>
      </w:pPr>
      <w:r>
        <w:rPr>
          <w:rFonts w:ascii="Times New Roman" w:hAnsi="Times New Roman" w:eastAsia="宋体" w:cs="Times New Roman"/>
          <w:sz w:val="28"/>
          <w:szCs w:val="28"/>
          <w:lang w:val="en-US" w:eastAsia="zh-CN" w:bidi="ar-SA"/>
        </w:rPr>
        <w:pict>
          <v:shape id="Picture 8" o:spid="_x0000_s1100" type="#_x0000_t75" style="height:624pt;width:453.75pt;rotation:0f;" o:ole="f" fillcolor="#FFFFFF" filled="f" o:preferrelative="t" stroked="f" coordorigin="0,0" coordsize="21600,21600">
            <v:fill on="f" color2="#FFFFFF" focus="0%"/>
            <v:imagedata gain="65536f" blacklevel="0f" gamma="0" o:title="" r:id="rId23"/>
            <o:lock v:ext="edit" position="f" selection="f" grouping="f" rotation="f" cropping="f" text="f" aspectratio="t"/>
            <w10:wrap type="none"/>
            <w10:anchorlock/>
          </v:shape>
        </w:pict>
      </w:r>
    </w:p>
    <w:p>
      <w:pPr>
        <w:pStyle w:val="35"/>
        <w:tabs>
          <w:tab w:val="right" w:leader="dot" w:pos="8306"/>
        </w:tabs>
        <w:spacing w:line="360" w:lineRule="auto"/>
        <w:jc w:val="center"/>
        <w:rPr>
          <w:rFonts w:ascii="Times New Roman" w:hAnsi="Times New Roman" w:cs="Times New Roman"/>
          <w:sz w:val="28"/>
          <w:szCs w:val="28"/>
        </w:rPr>
      </w:pPr>
    </w:p>
    <w:p>
      <w:pPr>
        <w:pStyle w:val="35"/>
        <w:tabs>
          <w:tab w:val="right" w:leader="dot" w:pos="8306"/>
        </w:tabs>
        <w:spacing w:line="360" w:lineRule="auto"/>
        <w:jc w:val="center"/>
        <w:rPr>
          <w:rFonts w:ascii="Times New Roman" w:hAnsi="Times New Roman" w:cs="Times New Roman"/>
          <w:sz w:val="28"/>
          <w:szCs w:val="28"/>
        </w:rPr>
      </w:pPr>
      <w:r>
        <w:rPr>
          <w:rFonts w:ascii="Times New Roman" w:hAnsi="Times New Roman" w:eastAsia="宋体" w:cs="Times New Roman"/>
          <w:lang w:val="en-US" w:eastAsia="zh-CN" w:bidi="ar-SA"/>
        </w:rPr>
        <w:pict>
          <v:shape id="Picture 9" o:spid="_x0000_s1101" type="#_x0000_t75" style="height:624pt;width:453.75pt;rotation:0f;" o:ole="f" fillcolor="#FFFFFF" filled="f" o:preferrelative="t" stroked="f" coordorigin="0,0" coordsize="21600,21600">
            <v:fill on="f" color2="#FFFFFF" focus="0%"/>
            <v:imagedata gain="65536f" blacklevel="0f" gamma="0" o:title="" r:id="rId24"/>
            <o:lock v:ext="edit" position="f" selection="f" grouping="f" rotation="f" cropping="f" text="f" aspectratio="t"/>
            <w10:wrap type="none"/>
            <w10:anchorlock/>
          </v:shape>
        </w:pict>
      </w:r>
    </w:p>
    <w:p>
      <w:pPr>
        <w:pStyle w:val="35"/>
        <w:tabs>
          <w:tab w:val="right" w:leader="dot" w:pos="8306"/>
        </w:tabs>
        <w:spacing w:line="360" w:lineRule="auto"/>
        <w:jc w:val="center"/>
        <w:rPr>
          <w:rFonts w:ascii="Times New Roman" w:hAnsi="Times New Roman" w:cs="Times New Roman"/>
          <w:sz w:val="28"/>
          <w:szCs w:val="28"/>
        </w:rPr>
      </w:pPr>
    </w:p>
    <w:p>
      <w:pPr>
        <w:pStyle w:val="35"/>
        <w:tabs>
          <w:tab w:val="right" w:leader="dot" w:pos="8306"/>
        </w:tabs>
        <w:spacing w:line="360" w:lineRule="auto"/>
        <w:jc w:val="center"/>
        <w:rPr>
          <w:rFonts w:ascii="Times New Roman" w:hAnsi="Times New Roman" w:cs="Times New Roman"/>
        </w:rPr>
      </w:pPr>
    </w:p>
    <w:p>
      <w:pPr>
        <w:pStyle w:val="35"/>
        <w:tabs>
          <w:tab w:val="right" w:leader="dot" w:pos="8306"/>
        </w:tabs>
        <w:spacing w:line="360" w:lineRule="auto"/>
        <w:jc w:val="center"/>
        <w:rPr>
          <w:rFonts w:ascii="Times New Roman" w:hAnsi="Times New Roman" w:cs="Times New Roman"/>
        </w:rPr>
      </w:pPr>
    </w:p>
    <w:p>
      <w:pPr>
        <w:pStyle w:val="35"/>
        <w:tabs>
          <w:tab w:val="right" w:leader="dot" w:pos="8306"/>
        </w:tabs>
        <w:spacing w:line="360" w:lineRule="auto"/>
        <w:jc w:val="center"/>
        <w:rPr>
          <w:rFonts w:ascii="Times New Roman" w:hAnsi="Times New Roman" w:cs="Times New Roman"/>
        </w:rPr>
      </w:pPr>
      <w:r>
        <w:rPr>
          <w:rFonts w:ascii="Times New Roman" w:hAnsi="Times New Roman" w:eastAsia="宋体" w:cs="Times New Roman"/>
          <w:lang w:val="en-US" w:eastAsia="zh-CN" w:bidi="ar-SA"/>
        </w:rPr>
        <w:pict>
          <v:shape id="Picture 10" o:spid="_x0000_s1102" type="#_x0000_t75" style="height:624pt;width:453.75pt;rotation:0f;" o:ole="f" fillcolor="#FFFFFF" filled="f" o:preferrelative="t" stroked="f" coordorigin="0,0" coordsize="21600,21600">
            <v:fill on="f" color2="#FFFFFF" focus="0%"/>
            <v:imagedata gain="65536f" blacklevel="0f" gamma="0" o:title="" r:id="rId25"/>
            <o:lock v:ext="edit" position="f" selection="f" grouping="f" rotation="f" cropping="f" text="f" aspectratio="t"/>
            <w10:wrap type="none"/>
            <w10:anchorlock/>
          </v:shape>
        </w:pict>
      </w:r>
    </w:p>
    <w:p>
      <w:pPr>
        <w:pStyle w:val="35"/>
        <w:tabs>
          <w:tab w:val="right" w:leader="dot" w:pos="8306"/>
        </w:tabs>
        <w:spacing w:line="360" w:lineRule="auto"/>
        <w:jc w:val="center"/>
        <w:rPr>
          <w:rFonts w:ascii="Times New Roman" w:hAnsi="Times New Roman" w:cs="Times New Roman"/>
        </w:rPr>
      </w:pPr>
    </w:p>
    <w:p>
      <w:pPr>
        <w:pStyle w:val="35"/>
        <w:tabs>
          <w:tab w:val="right" w:leader="dot" w:pos="8306"/>
        </w:tabs>
        <w:spacing w:line="360" w:lineRule="auto"/>
        <w:jc w:val="center"/>
        <w:rPr>
          <w:rFonts w:ascii="Times New Roman" w:hAnsi="Times New Roman" w:cs="Times New Roman"/>
        </w:rPr>
      </w:pPr>
    </w:p>
    <w:p>
      <w:pPr>
        <w:pStyle w:val="35"/>
        <w:tabs>
          <w:tab w:val="right" w:leader="dot" w:pos="8306"/>
        </w:tabs>
        <w:spacing w:line="360" w:lineRule="auto"/>
        <w:jc w:val="center"/>
        <w:rPr>
          <w:rFonts w:ascii="Times New Roman" w:hAnsi="Times New Roman" w:cs="Times New Roman"/>
        </w:rPr>
      </w:pPr>
    </w:p>
    <w:p>
      <w:pPr>
        <w:pStyle w:val="5"/>
        <w:rPr>
          <w:rFonts w:ascii="Times New Roman" w:hAnsi="Times New Roman"/>
        </w:rPr>
      </w:pPr>
      <w:bookmarkStart w:id="40" w:name="_Toc86072642"/>
      <w:r>
        <w:rPr>
          <w:rFonts w:ascii="Times New Roman" w:hAnsi="Times New Roman"/>
        </w:rPr>
        <w:t>附件5 变更后环评报告申请的复函</w:t>
      </w:r>
      <w:bookmarkEnd w:id="40"/>
    </w:p>
    <w:p>
      <w:pPr>
        <w:pStyle w:val="35"/>
        <w:tabs>
          <w:tab w:val="right" w:leader="dot" w:pos="8306"/>
        </w:tabs>
        <w:spacing w:line="360" w:lineRule="auto"/>
        <w:jc w:val="center"/>
        <w:rPr>
          <w:rFonts w:ascii="Times New Roman" w:hAnsi="Times New Roman" w:cs="Times New Roman"/>
        </w:rPr>
      </w:pPr>
      <w:r>
        <w:rPr>
          <w:rFonts w:ascii="Times New Roman" w:hAnsi="Times New Roman" w:eastAsia="宋体" w:cs="Times New Roman"/>
          <w:lang w:val="en-US" w:eastAsia="zh-CN" w:bidi="ar-SA"/>
        </w:rPr>
        <w:pict>
          <v:shape id="图片 1" o:spid="_x0000_s1103" alt="煤气锅炉升级改造项目环评批复1" type="#_x0000_t75" style="position:absolute;left:0;margin-top:1.7pt;height:605.25pt;width:448.5pt;mso-position-horizontal:right;mso-wrap-distance-bottom:0pt;mso-wrap-distance-top:0pt;rotation:0f;z-index:251663360;" o:ole="f" fillcolor="#FFFFFF" filled="f" o:preferrelative="t" stroked="f" coordorigin="0,0" coordsize="21600,21600">
            <v:fill on="f" color2="#FFFFFF" focus="0%"/>
            <v:imagedata cropleft="758f" gain="65536f" blacklevel="0f" gamma="0" o:title="煤气锅炉升级改造项目环评批复1" r:id="rId26"/>
            <o:lock v:ext="edit" position="f" selection="f" grouping="f" rotation="f" cropping="f" text="f" aspectratio="t"/>
            <w10:wrap type="topAndBottom"/>
          </v:shape>
        </w:pict>
      </w:r>
    </w:p>
    <w:p>
      <w:pPr>
        <w:pStyle w:val="35"/>
        <w:tabs>
          <w:tab w:val="right" w:leader="dot" w:pos="8306"/>
        </w:tabs>
        <w:spacing w:line="360" w:lineRule="auto"/>
        <w:jc w:val="center"/>
        <w:rPr>
          <w:rFonts w:ascii="Times New Roman" w:hAnsi="Times New Roman" w:cs="Times New Roman"/>
        </w:rPr>
      </w:pPr>
    </w:p>
    <w:p>
      <w:pPr>
        <w:pStyle w:val="35"/>
        <w:tabs>
          <w:tab w:val="right" w:leader="dot" w:pos="8306"/>
        </w:tabs>
        <w:spacing w:line="360" w:lineRule="auto"/>
        <w:jc w:val="center"/>
        <w:rPr>
          <w:rFonts w:ascii="Times New Roman" w:hAnsi="Times New Roman" w:cs="Times New Roman"/>
        </w:rPr>
      </w:pPr>
    </w:p>
    <w:p>
      <w:pPr>
        <w:pStyle w:val="35"/>
        <w:tabs>
          <w:tab w:val="right" w:leader="dot" w:pos="8306"/>
        </w:tabs>
        <w:spacing w:line="360" w:lineRule="auto"/>
        <w:jc w:val="center"/>
        <w:rPr>
          <w:rFonts w:ascii="Times New Roman" w:hAnsi="Times New Roman" w:cs="Times New Roman"/>
        </w:rPr>
      </w:pPr>
      <w:r>
        <w:rPr>
          <w:rFonts w:ascii="Times New Roman" w:hAnsi="Times New Roman" w:eastAsia="宋体" w:cs="Times New Roman"/>
          <w:lang w:val="en-US" w:eastAsia="zh-CN" w:bidi="ar-SA"/>
        </w:rPr>
        <w:pict>
          <v:shape id="图片 2" o:spid="_x0000_s1104" alt="煤气锅炉升级改造项目环评批复2" type="#_x0000_t75" style="height:605.25pt;width:441.75pt;rotation:0f;" o:ole="f" fillcolor="#FFFFFF" filled="f" o:preferrelative="t" stroked="f" coordorigin="0,0" coordsize="21600,21600">
            <v:fill on="f" color2="#FFFFFF" focus="0%"/>
            <v:imagedata cropleft="1733f" gain="65536f" blacklevel="0f" gamma="0" o:title="煤气锅炉升级改造项目环评批复2" r:id="rId27"/>
            <o:lock v:ext="edit" position="f" selection="f" grouping="f" rotation="f" cropping="f" text="f" aspectratio="t"/>
            <w10:wrap type="none"/>
            <w10:anchorlock/>
          </v:shape>
        </w:pict>
      </w:r>
    </w:p>
    <w:p>
      <w:pPr>
        <w:pStyle w:val="35"/>
        <w:tabs>
          <w:tab w:val="right" w:leader="dot" w:pos="8306"/>
        </w:tabs>
        <w:spacing w:line="360" w:lineRule="auto"/>
        <w:jc w:val="center"/>
        <w:rPr>
          <w:rFonts w:ascii="Times New Roman" w:hAnsi="Times New Roman" w:cs="Times New Roman"/>
        </w:rPr>
      </w:pPr>
    </w:p>
    <w:p>
      <w:pPr>
        <w:pStyle w:val="35"/>
        <w:tabs>
          <w:tab w:val="right" w:leader="dot" w:pos="8306"/>
        </w:tabs>
        <w:spacing w:line="360" w:lineRule="auto"/>
        <w:jc w:val="center"/>
        <w:rPr>
          <w:rFonts w:ascii="Times New Roman" w:hAnsi="Times New Roman" w:cs="Times New Roman"/>
        </w:rPr>
      </w:pPr>
    </w:p>
    <w:p>
      <w:pPr>
        <w:pStyle w:val="35"/>
        <w:tabs>
          <w:tab w:val="right" w:leader="dot" w:pos="8306"/>
        </w:tabs>
        <w:spacing w:line="360" w:lineRule="auto"/>
        <w:jc w:val="center"/>
        <w:rPr>
          <w:rFonts w:ascii="Times New Roman" w:hAnsi="Times New Roman" w:cs="Times New Roman"/>
        </w:rPr>
        <w:sectPr>
          <w:pgSz w:w="11906" w:h="16838"/>
          <w:pgMar w:top="1440" w:right="1457" w:bottom="1440" w:left="1457" w:header="851" w:footer="992" w:gutter="0"/>
          <w:cols w:space="720" w:num="1"/>
          <w:docGrid w:type="linesAndChars" w:linePitch="312" w:charSpace="0"/>
        </w:sectPr>
      </w:pPr>
    </w:p>
    <w:p>
      <w:pPr>
        <w:pStyle w:val="5"/>
        <w:rPr>
          <w:rFonts w:ascii="Times New Roman" w:hAnsi="Times New Roman"/>
        </w:rPr>
        <w:sectPr>
          <w:pgSz w:w="16838" w:h="11906" w:orient="landscape"/>
          <w:pgMar w:top="1457" w:right="1440" w:bottom="1457" w:left="1440" w:header="851" w:footer="992" w:gutter="0"/>
          <w:cols w:space="720" w:num="1"/>
          <w:docGrid w:type="linesAndChars" w:linePitch="312" w:charSpace="0"/>
        </w:sectPr>
      </w:pPr>
      <w:bookmarkStart w:id="41" w:name="_Toc86072643"/>
      <w:r>
        <w:rPr>
          <w:rFonts w:ascii="Times New Roman" w:hAnsi="Times New Roman" w:eastAsia="宋体" w:cs="Times New Roman"/>
          <w:b/>
          <w:bCs/>
          <w:sz w:val="24"/>
          <w:szCs w:val="32"/>
          <w:lang w:val="en-US" w:eastAsia="zh-CN" w:bidi="ar-SA"/>
        </w:rPr>
        <w:pict>
          <v:shape id="Picture 70" o:spid="_x0000_s1105" type="#_x0000_t75" style="position:absolute;left:0;margin-left:38.75pt;margin-top:23pt;height:425.2pt;width:585.6pt;mso-wrap-distance-bottom:0pt;mso-wrap-distance-top:0pt;rotation:0f;z-index:251660288;" o:ole="f" fillcolor="#FFFFFF" filled="f" o:preferrelative="t" stroked="f" coordorigin="0,0" coordsize="21600,21600">
            <v:fill on="f" color2="#FFFFFF" focus="0%"/>
            <v:imagedata cropleft="992f" croptop="2077f" cropright="1013f" cropbottom="1973f" gain="65536f" blacklevel="0f" gamma="0" o:title="" r:id="rId28"/>
            <o:lock v:ext="edit" position="f" selection="f" grouping="f" rotation="f" cropping="f" text="f" aspectratio="t"/>
            <w10:wrap type="topAndBottom"/>
          </v:shape>
        </w:pict>
      </w:r>
      <w:r>
        <w:rPr>
          <w:rFonts w:ascii="Times New Roman" w:hAnsi="Times New Roman"/>
        </w:rPr>
        <w:t>附件6 排污许可证</w:t>
      </w:r>
      <w:bookmarkEnd w:id="41"/>
    </w:p>
    <w:p>
      <w:pPr>
        <w:pStyle w:val="5"/>
        <w:rPr>
          <w:rFonts w:ascii="Times New Roman" w:hAnsi="Times New Roman"/>
        </w:rPr>
      </w:pPr>
      <w:bookmarkStart w:id="42" w:name="_Toc86072644"/>
      <w:r>
        <w:rPr>
          <w:rFonts w:ascii="Times New Roman" w:hAnsi="Times New Roman"/>
        </w:rPr>
        <w:t>附件8 其他情况说明</w:t>
      </w:r>
      <w:bookmarkEnd w:id="42"/>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pStyle w:val="2"/>
        <w:spacing w:before="156"/>
        <w:rPr>
          <w:rFonts w:ascii="Times New Roman" w:hAnsi="Times New Roman" w:cs="Times New Roman"/>
        </w:rPr>
      </w:pPr>
    </w:p>
    <w:p>
      <w:pPr>
        <w:pStyle w:val="2"/>
        <w:spacing w:before="156"/>
        <w:rPr>
          <w:rFonts w:ascii="Times New Roman" w:hAnsi="Times New Roman" w:cs="Times New Roman"/>
        </w:rPr>
      </w:pPr>
    </w:p>
    <w:p>
      <w:pPr>
        <w:pStyle w:val="2"/>
        <w:spacing w:before="156"/>
        <w:rPr>
          <w:rFonts w:ascii="Times New Roman" w:hAnsi="Times New Roman" w:cs="Times New Roman"/>
        </w:rPr>
      </w:pPr>
    </w:p>
    <w:p>
      <w:pPr>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山西太钢不锈钢股份有限公司</w:t>
      </w:r>
    </w:p>
    <w:p>
      <w:pPr>
        <w:ind w:left="-50" w:leftChars="-135" w:right="-197" w:rightChars="-94" w:hanging="233" w:hangingChars="58"/>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煤气锅炉升级改造项目</w:t>
      </w:r>
    </w:p>
    <w:p>
      <w:pPr>
        <w:ind w:left="-50" w:leftChars="-135" w:right="-197" w:rightChars="-94" w:hanging="233" w:hangingChars="58"/>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竣工环境保护验收监测报告表</w:t>
      </w:r>
    </w:p>
    <w:p>
      <w:pPr>
        <w:jc w:val="center"/>
        <w:rPr>
          <w:rFonts w:ascii="Times New Roman" w:hAnsi="Times New Roman" w:cs="Times New Roman"/>
          <w:b/>
          <w:bCs/>
          <w:color w:val="000000"/>
          <w:sz w:val="36"/>
          <w:szCs w:val="36"/>
        </w:rPr>
      </w:pPr>
      <w:r>
        <w:rPr>
          <w:rFonts w:ascii="Times New Roman" w:hAnsi="Times New Roman" w:cs="Times New Roman"/>
          <w:b/>
          <w:bCs/>
          <w:color w:val="000000"/>
          <w:sz w:val="36"/>
          <w:szCs w:val="36"/>
        </w:rPr>
        <w:t>（其他情况说明）</w:t>
      </w: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pStyle w:val="2"/>
        <w:spacing w:before="156"/>
        <w:rPr>
          <w:rFonts w:ascii="Times New Roman" w:hAnsi="Times New Roman" w:cs="Times New Roman"/>
        </w:rPr>
      </w:pPr>
    </w:p>
    <w:p>
      <w:pPr>
        <w:pStyle w:val="2"/>
        <w:spacing w:before="156"/>
        <w:rPr>
          <w:rFonts w:ascii="Times New Roman" w:hAnsi="Times New Roman" w:cs="Times New Roman"/>
        </w:rPr>
      </w:pPr>
    </w:p>
    <w:p>
      <w:pPr>
        <w:pStyle w:val="2"/>
        <w:spacing w:before="156"/>
        <w:rPr>
          <w:rFonts w:ascii="Times New Roman" w:hAnsi="Times New Roman" w:cs="Times New Roman"/>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rPr>
      </w:pPr>
    </w:p>
    <w:p>
      <w:pPr>
        <w:rPr>
          <w:rFonts w:ascii="Times New Roman" w:hAnsi="Times New Roman" w:cs="Times New Roman"/>
          <w:color w:val="000000"/>
          <w:sz w:val="32"/>
          <w:szCs w:val="32"/>
        </w:rPr>
      </w:pPr>
      <w:r>
        <w:rPr>
          <w:rFonts w:ascii="Times New Roman" w:hAnsi="Times New Roman" w:cs="Times New Roman"/>
          <w:color w:val="000000"/>
          <w:sz w:val="32"/>
          <w:szCs w:val="32"/>
        </w:rPr>
        <w:t>建设单位:</w:t>
      </w:r>
      <w:r>
        <w:rPr>
          <w:rFonts w:ascii="Times New Roman" w:hAnsi="Times New Roman" w:cs="Times New Roman"/>
        </w:rPr>
        <w:t xml:space="preserve"> </w:t>
      </w:r>
      <w:r>
        <w:rPr>
          <w:rFonts w:ascii="Times New Roman" w:hAnsi="Times New Roman" w:cs="Times New Roman"/>
          <w:color w:val="000000"/>
          <w:sz w:val="32"/>
          <w:szCs w:val="32"/>
        </w:rPr>
        <w:t>山西太钢不锈钢股份有限公司能源动力总厂</w:t>
      </w:r>
    </w:p>
    <w:p>
      <w:pPr>
        <w:ind w:firstLine="1280" w:firstLineChars="400"/>
        <w:rPr>
          <w:rFonts w:ascii="Times New Roman" w:hAnsi="Times New Roman" w:cs="Times New Roman"/>
          <w:color w:val="000000"/>
          <w:sz w:val="32"/>
          <w:szCs w:val="32"/>
        </w:rPr>
      </w:pPr>
      <w:r>
        <w:rPr>
          <w:rFonts w:ascii="Times New Roman" w:hAnsi="Times New Roman" w:cs="Times New Roman"/>
          <w:color w:val="000000"/>
          <w:sz w:val="32"/>
          <w:szCs w:val="32"/>
        </w:rPr>
        <w:t>编制单位:山西太钢工程技术有限公司</w:t>
      </w:r>
    </w:p>
    <w:p>
      <w:pPr>
        <w:jc w:val="center"/>
        <w:rPr>
          <w:rFonts w:ascii="Times New Roman" w:hAnsi="Times New Roman" w:cs="Times New Roman"/>
          <w:color w:val="000000"/>
          <w:sz w:val="32"/>
          <w:szCs w:val="32"/>
        </w:rPr>
      </w:pPr>
      <w:r>
        <w:rPr>
          <w:rFonts w:ascii="Times New Roman" w:hAnsi="Times New Roman" w:cs="Times New Roman"/>
          <w:color w:val="000000"/>
          <w:sz w:val="32"/>
          <w:szCs w:val="32"/>
        </w:rPr>
        <w:t>二〇二一年十月</w:t>
      </w:r>
    </w:p>
    <w:p>
      <w:pPr>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sz w:val="28"/>
          <w:szCs w:val="28"/>
        </w:rPr>
      </w:pPr>
      <w:bookmarkStart w:id="43" w:name="_Toc86072645"/>
      <w:r>
        <w:rPr>
          <w:rFonts w:ascii="Times New Roman" w:hAnsi="Times New Roman" w:cs="Times New Roman"/>
          <w:sz w:val="28"/>
          <w:szCs w:val="28"/>
        </w:rPr>
        <w:t>1 环境保护设施设计、施工和验收过程简况</w:t>
      </w:r>
      <w:bookmarkEnd w:id="43"/>
    </w:p>
    <w:p>
      <w:pPr>
        <w:pStyle w:val="32"/>
        <w:ind w:firstLine="480" w:firstLineChars="200"/>
        <w:rPr>
          <w:sz w:val="24"/>
          <w:szCs w:val="24"/>
        </w:rPr>
      </w:pPr>
      <w:bookmarkStart w:id="44" w:name="_Hlk84860212"/>
      <w:r>
        <w:rPr>
          <w:sz w:val="24"/>
          <w:szCs w:val="24"/>
        </w:rPr>
        <w:t>本项目于2019年7月12日取得了太原市工业和信息化局《关于核准山西太钢不锈钢股份有限公司煤气锅炉升级改造项目的通知》（并工信审批</w:t>
      </w:r>
      <w:r>
        <w:rPr>
          <w:rFonts w:ascii="Cambria" w:hAnsi="Cambria" w:cs="Cambria"/>
          <w:sz w:val="24"/>
          <w:szCs w:val="24"/>
        </w:rPr>
        <w:t>⟮</w:t>
      </w:r>
      <w:r>
        <w:rPr>
          <w:sz w:val="24"/>
          <w:szCs w:val="24"/>
        </w:rPr>
        <w:t>2019</w:t>
      </w:r>
      <w:r>
        <w:rPr>
          <w:rFonts w:ascii="Cambria" w:hAnsi="Cambria" w:cs="Cambria"/>
          <w:sz w:val="24"/>
          <w:szCs w:val="24"/>
        </w:rPr>
        <w:t>⟯</w:t>
      </w:r>
      <w:r>
        <w:rPr>
          <w:sz w:val="24"/>
          <w:szCs w:val="24"/>
        </w:rPr>
        <w:t>3号）。2015年8月由山西清泽阳光环保科技有限公司编制完成了《山西太钢不锈钢股份有限公司燃气锅炉高效改造项目环境影响报告表》，2015年8月18日取得了太原市环境保护局尖草坪分局《山西太钢不锈钢股份有限公司燃气锅炉高效改造项目环境影响报告表的批复》（太原市环境保护局尖草坪分局 并环尖审批〔2015〕第38号）。后进一步核算厂内煤气可用量，改进工艺，2019年8月由中冶节能环保有限责任公司针对改进后的工艺编制完成了《山西太钢不锈钢股份有限公司煤气锅炉升级改造项目环境影响报告表变更说明》，2019年8月19日取得了太原市环境保护局尖草坪分局《关于对山西太钢不锈钢股份有限公司煤气锅炉升级改造项目变更环评报告申请的复函》。</w:t>
      </w:r>
    </w:p>
    <w:bookmarkEnd w:id="44"/>
    <w:p>
      <w:pPr>
        <w:pStyle w:val="32"/>
        <w:ind w:firstLine="480" w:firstLineChars="200"/>
        <w:rPr>
          <w:sz w:val="24"/>
          <w:szCs w:val="24"/>
        </w:rPr>
      </w:pPr>
      <w:r>
        <w:rPr>
          <w:sz w:val="24"/>
          <w:szCs w:val="24"/>
        </w:rPr>
        <w:t>本项目于2020年3月开工建设，2021年1月竣工，2021年3月进行调试，2021年8月3日-4日进行验收现场监测。在现场监测及综合各项技术资料的基础上编制完成了本项目的竣工环境保护验收监测报告表。</w:t>
      </w:r>
    </w:p>
    <w:p>
      <w:pPr>
        <w:pStyle w:val="5"/>
        <w:rPr>
          <w:rFonts w:ascii="Times New Roman" w:hAnsi="Times New Roman"/>
        </w:rPr>
      </w:pPr>
      <w:bookmarkStart w:id="45" w:name="_Toc86072646"/>
      <w:r>
        <w:rPr>
          <w:rFonts w:ascii="Times New Roman" w:hAnsi="Times New Roman"/>
        </w:rPr>
        <w:t>1.1 设计简况</w:t>
      </w:r>
      <w:bookmarkEnd w:id="45"/>
    </w:p>
    <w:p>
      <w:pPr>
        <w:pStyle w:val="32"/>
        <w:ind w:firstLine="480" w:firstLineChars="200"/>
        <w:rPr>
          <w:sz w:val="24"/>
          <w:szCs w:val="24"/>
        </w:rPr>
      </w:pPr>
      <w:r>
        <w:rPr>
          <w:sz w:val="24"/>
          <w:szCs w:val="24"/>
        </w:rPr>
        <w:t>本项目环保设施设计单位为中国能源建设集团山西省电力勘测设计院有限公司。在设计过程中采取了环境影响评价报告表和环境影响评价报告表批复文件中提出的环保设施要求，编制了环境保护篇章。</w:t>
      </w:r>
    </w:p>
    <w:p>
      <w:pPr>
        <w:pStyle w:val="32"/>
        <w:ind w:firstLine="480" w:firstLineChars="200"/>
        <w:rPr>
          <w:sz w:val="24"/>
          <w:szCs w:val="24"/>
        </w:rPr>
      </w:pPr>
      <w:r>
        <w:rPr>
          <w:sz w:val="24"/>
          <w:szCs w:val="24"/>
        </w:rPr>
        <w:t>本项目为在太钢能源动力总厂新建1×260t/h亚临界超高温煤气锅炉、1×80MW亚临界超高温直接空冷抽汽凝汽式汽轮发电机组，同步建设脱硫脱硝设施。</w:t>
      </w:r>
    </w:p>
    <w:p>
      <w:pPr>
        <w:pStyle w:val="32"/>
        <w:ind w:firstLine="480" w:firstLineChars="200"/>
        <w:rPr>
          <w:sz w:val="24"/>
          <w:szCs w:val="24"/>
        </w:rPr>
      </w:pPr>
      <w:r>
        <w:rPr>
          <w:sz w:val="24"/>
          <w:szCs w:val="24"/>
        </w:rPr>
        <w:t>本项目投资总概算为31671万元，其中环保投资为320万元。</w:t>
      </w:r>
    </w:p>
    <w:p>
      <w:pPr>
        <w:pStyle w:val="5"/>
        <w:rPr>
          <w:rFonts w:ascii="Times New Roman" w:hAnsi="Times New Roman"/>
        </w:rPr>
      </w:pPr>
      <w:bookmarkStart w:id="46" w:name="_Toc86072647"/>
      <w:r>
        <w:rPr>
          <w:rFonts w:ascii="Times New Roman" w:hAnsi="Times New Roman"/>
        </w:rPr>
        <w:t>1.2 施工简况</w:t>
      </w:r>
      <w:bookmarkEnd w:id="46"/>
    </w:p>
    <w:p>
      <w:pPr>
        <w:pStyle w:val="32"/>
        <w:ind w:firstLine="480" w:firstLineChars="200"/>
        <w:rPr>
          <w:sz w:val="24"/>
          <w:szCs w:val="24"/>
        </w:rPr>
      </w:pPr>
      <w:r>
        <w:rPr>
          <w:sz w:val="24"/>
          <w:szCs w:val="24"/>
        </w:rPr>
        <w:t>本项目环保设施施工单位为中国能源建设集团山西省电力勘测设计院有限公司。本项目于2020年3月开工建设，经工程监理、能源环保部、工程管理部、项目经理部环保专职人员、生产厂专业环保人员验收及功能考核合格后，2021年1月按设计和环境影响评价要求全部建设完成。</w:t>
      </w:r>
    </w:p>
    <w:p>
      <w:pPr>
        <w:pStyle w:val="32"/>
        <w:ind w:firstLine="480" w:firstLineChars="200"/>
        <w:rPr>
          <w:sz w:val="24"/>
          <w:szCs w:val="24"/>
        </w:rPr>
      </w:pPr>
      <w:r>
        <w:rPr>
          <w:sz w:val="24"/>
          <w:szCs w:val="24"/>
        </w:rPr>
        <w:t>本项目建设过程中，工程管理部负责对项目经理部实施过程进行监控，每季度对工程质量、环保、消防、安全、工程计划、投资等方面进行评价检查，确保项目有序进行。能源环保部进行监督检查环境保护设施与主体设施同时施工的情况，确保按批准的环保设施内容进行施工，实现环保设施与主体设施同步竣工。档案部组织对施工过程的环保设计文件、图纸、设备清单等资料进行归档。计财部对环保工程建设的投资决算进行过程控制。</w:t>
      </w:r>
    </w:p>
    <w:p>
      <w:pPr>
        <w:pStyle w:val="32"/>
        <w:ind w:firstLine="480" w:firstLineChars="200"/>
        <w:rPr>
          <w:sz w:val="24"/>
          <w:szCs w:val="24"/>
        </w:rPr>
      </w:pPr>
      <w:r>
        <w:rPr>
          <w:sz w:val="24"/>
          <w:szCs w:val="24"/>
        </w:rPr>
        <w:t>本项目环保设施建成率100%，并投入正常试运行阶段。</w:t>
      </w:r>
    </w:p>
    <w:p>
      <w:pPr>
        <w:pStyle w:val="5"/>
        <w:rPr>
          <w:rFonts w:ascii="Times New Roman" w:hAnsi="Times New Roman"/>
        </w:rPr>
      </w:pPr>
      <w:bookmarkStart w:id="47" w:name="_Toc86072648"/>
      <w:r>
        <w:rPr>
          <w:rFonts w:ascii="Times New Roman" w:hAnsi="Times New Roman"/>
        </w:rPr>
        <w:t>1.3 验收过程简况</w:t>
      </w:r>
      <w:bookmarkEnd w:id="47"/>
    </w:p>
    <w:p>
      <w:pPr>
        <w:pStyle w:val="32"/>
        <w:ind w:firstLine="480" w:firstLineChars="200"/>
        <w:rPr>
          <w:sz w:val="24"/>
          <w:szCs w:val="24"/>
        </w:rPr>
      </w:pPr>
      <w:bookmarkStart w:id="48" w:name="_Hlk84860313"/>
      <w:r>
        <w:rPr>
          <w:sz w:val="24"/>
          <w:szCs w:val="24"/>
        </w:rPr>
        <w:t>本项目于2021年1月竣工，</w:t>
      </w:r>
      <w:bookmarkStart w:id="49" w:name="_Hlk84860324"/>
      <w:r>
        <w:rPr>
          <w:sz w:val="24"/>
          <w:szCs w:val="24"/>
        </w:rPr>
        <w:t>2021年3月进入调试阶段。</w:t>
      </w:r>
      <w:bookmarkEnd w:id="48"/>
      <w:bookmarkEnd w:id="49"/>
      <w:r>
        <w:rPr>
          <w:sz w:val="24"/>
          <w:szCs w:val="24"/>
        </w:rPr>
        <w:t>太钢能源动力总厂委托山西太钢工程技术有限公司编制环境保护竣工验收报告，由山西太钢环境监测有限公司承担噪声、废气监测工作。现场监测时间为2021年8月3日至4日。山西太钢环境监测有限公司参加本次竣工环保验收监测工作的所有监测人员均持证上岗；监测方法均采用国家有关部门颁布的标准（或推荐）方法；监测所用采样、分析仪器、计量器具经有资质的单位检定合格，并在检定周期有效期内的，保证监测数据的准确性和有效性。</w:t>
      </w:r>
    </w:p>
    <w:p>
      <w:pPr>
        <w:pStyle w:val="32"/>
        <w:ind w:firstLine="480" w:firstLineChars="200"/>
        <w:rPr>
          <w:sz w:val="24"/>
          <w:szCs w:val="24"/>
        </w:rPr>
      </w:pPr>
      <w:r>
        <w:rPr>
          <w:sz w:val="24"/>
          <w:szCs w:val="24"/>
        </w:rPr>
        <w:t>环境保护竣工验收报告于2021年9月编制完成，拟采用召集设计、施工、监理、环评、工程管理、主管单位等部门并聘请行业、监测专家于2021年9月29日召开竣工环境保护验收会的形式进行验收。根据验收会议意见，进行相应的监测报告修改及现场整改，得出最终的验收意见和结论。</w:t>
      </w:r>
    </w:p>
    <w:p>
      <w:pPr>
        <w:pStyle w:val="2"/>
        <w:spacing w:before="156"/>
        <w:ind w:firstLine="280"/>
        <w:rPr>
          <w:rFonts w:ascii="Times New Roman" w:hAnsi="Times New Roman" w:cs="Times New Roman"/>
        </w:rPr>
      </w:pPr>
    </w:p>
    <w:p>
      <w:pPr>
        <w:pStyle w:val="2"/>
        <w:spacing w:before="156"/>
        <w:ind w:firstLine="280"/>
        <w:rPr>
          <w:rFonts w:ascii="Times New Roman" w:hAnsi="Times New Roman" w:cs="Times New Roman"/>
        </w:rPr>
      </w:pPr>
    </w:p>
    <w:p>
      <w:pPr>
        <w:pStyle w:val="2"/>
        <w:spacing w:before="156"/>
        <w:ind w:firstLine="280"/>
        <w:rPr>
          <w:rFonts w:ascii="Times New Roman" w:hAnsi="Times New Roman" w:cs="Times New Roman"/>
        </w:rPr>
      </w:pPr>
    </w:p>
    <w:p>
      <w:pPr>
        <w:ind w:firstLine="420" w:firstLineChars="200"/>
        <w:rPr>
          <w:rFonts w:ascii="Times New Roman" w:hAnsi="Times New Roman" w:cs="Times New Roman"/>
        </w:rPr>
      </w:pPr>
    </w:p>
    <w:p>
      <w:pPr>
        <w:rPr>
          <w:rFonts w:ascii="Times New Roman" w:hAnsi="Times New Roman" w:cs="Times New Roman"/>
        </w:rPr>
        <w:sectPr>
          <w:footerReference r:id="rId9" w:type="default"/>
          <w:pgSz w:w="11906" w:h="16838"/>
          <w:pgMar w:top="1440" w:right="1800" w:bottom="1440" w:left="1800" w:header="851" w:footer="992" w:gutter="0"/>
          <w:pgNumType w:start="1"/>
          <w:cols w:space="720" w:num="1"/>
          <w:docGrid w:type="lines" w:linePitch="312" w:charSpace="0"/>
        </w:sectPr>
      </w:pPr>
    </w:p>
    <w:p>
      <w:pPr>
        <w:pStyle w:val="4"/>
        <w:rPr>
          <w:rFonts w:ascii="Times New Roman" w:hAnsi="Times New Roman" w:cs="Times New Roman"/>
          <w:sz w:val="28"/>
          <w:szCs w:val="28"/>
        </w:rPr>
      </w:pPr>
      <w:bookmarkStart w:id="50" w:name="_Toc86072649"/>
      <w:r>
        <w:rPr>
          <w:rFonts w:ascii="Times New Roman" w:hAnsi="Times New Roman" w:cs="Times New Roman"/>
          <w:sz w:val="28"/>
          <w:szCs w:val="28"/>
        </w:rPr>
        <w:t>2 其他环境保护措施的落实情况</w:t>
      </w:r>
      <w:bookmarkEnd w:id="50"/>
    </w:p>
    <w:p>
      <w:pPr>
        <w:pStyle w:val="5"/>
        <w:rPr>
          <w:rFonts w:ascii="Times New Roman" w:hAnsi="Times New Roman"/>
        </w:rPr>
      </w:pPr>
      <w:bookmarkStart w:id="51" w:name="_Toc86072650"/>
      <w:r>
        <w:rPr>
          <w:rFonts w:ascii="Times New Roman" w:hAnsi="Times New Roman"/>
        </w:rPr>
        <w:t>2.1 制度措施落实情况</w:t>
      </w:r>
      <w:bookmarkEnd w:id="51"/>
    </w:p>
    <w:p>
      <w:pPr>
        <w:pStyle w:val="32"/>
        <w:ind w:firstLine="480" w:firstLineChars="200"/>
        <w:rPr>
          <w:sz w:val="24"/>
          <w:szCs w:val="24"/>
        </w:rPr>
      </w:pPr>
      <w:r>
        <w:rPr>
          <w:sz w:val="24"/>
          <w:szCs w:val="24"/>
        </w:rPr>
        <w:t>（1）环保组织机构及规章制度</w:t>
      </w:r>
    </w:p>
    <w:p>
      <w:pPr>
        <w:pStyle w:val="32"/>
        <w:ind w:firstLine="480" w:firstLineChars="200"/>
        <w:rPr>
          <w:sz w:val="24"/>
          <w:szCs w:val="24"/>
        </w:rPr>
      </w:pPr>
      <w:r>
        <w:rPr>
          <w:rFonts w:ascii="Times New Roman" w:hAnsi="Times New Roman" w:eastAsia="宋体" w:cs="Times New Roman"/>
          <w:kern w:val="2"/>
          <w:sz w:val="24"/>
          <w:szCs w:val="24"/>
          <w:lang w:val="en-US" w:eastAsia="zh-CN" w:bidi="ar-SA"/>
        </w:rPr>
        <w:pict>
          <v:shape id="Picture 234" o:spid="_x0000_s1106" type="#_x0000_t75" style="position:absolute;left:0;margin-left:-19pt;margin-top:56.1pt;height:342.85pt;width:453.3pt;mso-position-horizontal-relative:margin;mso-wrap-distance-bottom:0pt;mso-wrap-distance-left:9pt;mso-wrap-distance-right:9pt;mso-wrap-distance-top:0pt;rotation:0f;z-index:251664384;" o:ole="f" fillcolor="#FFFFFF" filled="f" o:preferrelative="t" stroked="f" coordorigin="0,0" coordsize="21600,21600">
            <v:fill on="f" color2="#FFFFFF" focus="0%"/>
            <v:imagedata gain="65536f" blacklevel="0f" gamma="0" o:title="" r:id="rId29"/>
            <o:lock v:ext="edit" position="f" selection="f" grouping="f" rotation="f" cropping="f" text="f" aspectratio="t"/>
            <w10:wrap type="square"/>
          </v:shape>
        </w:pict>
      </w:r>
      <w:r>
        <w:rPr>
          <w:sz w:val="24"/>
          <w:szCs w:val="24"/>
        </w:rPr>
        <w:t>能源动力总厂建立环保组织机构，能源管控中心职责负责牵头组织制定、修订总厂环境管理制度，全面负责厂环保管理工作。组织结构及职责如下图：</w:t>
      </w:r>
    </w:p>
    <w:p>
      <w:pPr>
        <w:pStyle w:val="32"/>
        <w:jc w:val="center"/>
        <w:rPr>
          <w:sz w:val="24"/>
          <w:szCs w:val="24"/>
        </w:rPr>
      </w:pPr>
      <w:r>
        <w:rPr>
          <w:sz w:val="24"/>
          <w:szCs w:val="24"/>
        </w:rPr>
        <w:t>图2-1  能源动力总厂环境管理组织结构图</w:t>
      </w:r>
    </w:p>
    <w:p>
      <w:pPr>
        <w:pStyle w:val="32"/>
        <w:ind w:firstLine="480" w:firstLineChars="200"/>
        <w:rPr>
          <w:sz w:val="24"/>
          <w:szCs w:val="24"/>
        </w:rPr>
      </w:pPr>
      <w:r>
        <w:rPr>
          <w:sz w:val="24"/>
          <w:szCs w:val="24"/>
        </w:rPr>
        <w:t>（2）环境风险防范措施</w:t>
      </w:r>
    </w:p>
    <w:p>
      <w:pPr>
        <w:pStyle w:val="32"/>
        <w:ind w:firstLine="480" w:firstLineChars="200"/>
        <w:rPr>
          <w:sz w:val="24"/>
          <w:szCs w:val="24"/>
        </w:rPr>
      </w:pPr>
      <w:r>
        <w:rPr>
          <w:sz w:val="24"/>
          <w:szCs w:val="24"/>
        </w:rPr>
        <w:t>能源动力总厂执行《山西太钢不锈钢股份有限公司（尖草坪厂区）突发 事故应急预案（综合）》相关规定。进行了环境风险源及突发环境事件识别、建立应急组织机构、制定应急预案并按照预案进行过演练。</w:t>
      </w:r>
    </w:p>
    <w:p>
      <w:pPr>
        <w:pStyle w:val="32"/>
        <w:ind w:firstLine="480" w:firstLineChars="200"/>
        <w:rPr>
          <w:sz w:val="24"/>
          <w:szCs w:val="24"/>
        </w:rPr>
      </w:pPr>
      <w:r>
        <w:rPr>
          <w:sz w:val="24"/>
          <w:szCs w:val="24"/>
        </w:rPr>
        <w:t>（3）环境监测计划</w:t>
      </w:r>
    </w:p>
    <w:p>
      <w:pPr>
        <w:pStyle w:val="32"/>
        <w:ind w:firstLine="480" w:firstLineChars="200"/>
        <w:rPr>
          <w:sz w:val="24"/>
          <w:szCs w:val="24"/>
        </w:rPr>
      </w:pPr>
      <w:r>
        <w:rPr>
          <w:sz w:val="24"/>
          <w:szCs w:val="24"/>
        </w:rPr>
        <w:t>能源动力总厂执行公司制定的大气污染物达标排放监测计划、水污染物监测计划、无组织污染物达标排放监测计划、污染源自动监控设施比对监测计划。</w:t>
      </w:r>
    </w:p>
    <w:p>
      <w:pPr>
        <w:pStyle w:val="5"/>
        <w:rPr>
          <w:rFonts w:ascii="Times New Roman" w:hAnsi="Times New Roman"/>
        </w:rPr>
      </w:pPr>
      <w:bookmarkStart w:id="52" w:name="_Toc86072651"/>
      <w:r>
        <w:rPr>
          <w:rFonts w:ascii="Times New Roman" w:hAnsi="Times New Roman"/>
        </w:rPr>
        <w:t>2.2 配套措施落实情况</w:t>
      </w:r>
      <w:bookmarkEnd w:id="52"/>
    </w:p>
    <w:p>
      <w:pPr>
        <w:pStyle w:val="32"/>
        <w:ind w:firstLine="480" w:firstLineChars="200"/>
        <w:rPr>
          <w:sz w:val="24"/>
          <w:szCs w:val="24"/>
        </w:rPr>
      </w:pPr>
      <w:r>
        <w:rPr>
          <w:sz w:val="24"/>
          <w:szCs w:val="24"/>
        </w:rPr>
        <w:t>（1）区域削减及淘汰落后产能</w:t>
      </w:r>
    </w:p>
    <w:p>
      <w:pPr>
        <w:pStyle w:val="32"/>
        <w:ind w:firstLine="480" w:firstLineChars="200"/>
        <w:rPr>
          <w:sz w:val="24"/>
          <w:szCs w:val="24"/>
        </w:rPr>
      </w:pPr>
      <w:r>
        <w:rPr>
          <w:sz w:val="24"/>
          <w:szCs w:val="24"/>
        </w:rPr>
        <w:t>本项目属于环保项目，不涉及区域内削减污染物总量措施和淘汰落后产能的措施。本项目采用的生产工艺成熟，技改后颗粒物、NOx实际排放量分别为2.92t/a，40.48t/a，SO</w:t>
      </w:r>
      <w:r>
        <w:rPr>
          <w:sz w:val="24"/>
          <w:szCs w:val="24"/>
          <w:vertAlign w:val="subscript"/>
        </w:rPr>
        <w:t>2</w:t>
      </w:r>
      <w:r>
        <w:rPr>
          <w:sz w:val="24"/>
          <w:szCs w:val="24"/>
        </w:rPr>
        <w:t>实际排放浓度低于检出限，均低于技改前排放量。</w:t>
      </w:r>
    </w:p>
    <w:p>
      <w:pPr>
        <w:pStyle w:val="32"/>
        <w:ind w:firstLine="480" w:firstLineChars="200"/>
        <w:rPr>
          <w:sz w:val="24"/>
          <w:szCs w:val="24"/>
        </w:rPr>
      </w:pPr>
      <w:r>
        <w:rPr>
          <w:sz w:val="24"/>
          <w:szCs w:val="24"/>
        </w:rPr>
        <w:t>（2）防护距离控制及居民搬迁</w:t>
      </w:r>
    </w:p>
    <w:p>
      <w:pPr>
        <w:pStyle w:val="32"/>
        <w:ind w:firstLine="480" w:firstLineChars="200"/>
        <w:rPr>
          <w:sz w:val="24"/>
          <w:szCs w:val="24"/>
        </w:rPr>
      </w:pPr>
      <w:r>
        <w:rPr>
          <w:sz w:val="24"/>
          <w:szCs w:val="24"/>
        </w:rPr>
        <w:t>本项目在太钢厂区内进行建设，符合《太原市城市总体规划》要求，不涉及防护距离控制及居民搬迁。</w:t>
      </w:r>
    </w:p>
    <w:p>
      <w:pPr>
        <w:pStyle w:val="5"/>
        <w:rPr>
          <w:rFonts w:ascii="Times New Roman" w:hAnsi="Times New Roman"/>
        </w:rPr>
      </w:pPr>
      <w:bookmarkStart w:id="53" w:name="_Toc86072652"/>
      <w:r>
        <w:rPr>
          <w:rFonts w:ascii="Times New Roman" w:hAnsi="Times New Roman"/>
        </w:rPr>
        <w:t>2.3 其他措施落实情况</w:t>
      </w:r>
      <w:bookmarkEnd w:id="53"/>
    </w:p>
    <w:p>
      <w:pPr>
        <w:pStyle w:val="32"/>
        <w:ind w:firstLine="480" w:firstLineChars="200"/>
        <w:rPr>
          <w:sz w:val="24"/>
          <w:szCs w:val="24"/>
        </w:rPr>
      </w:pPr>
      <w:r>
        <w:rPr>
          <w:sz w:val="24"/>
          <w:szCs w:val="24"/>
        </w:rPr>
        <w:t>本项目在太钢厂区内进行建设，不涉及林地补偿、珍稀动植物保护、区域环境整治、相关外围工程建设情况。</w:t>
      </w:r>
    </w:p>
    <w:p>
      <w:pPr>
        <w:ind w:firstLine="420" w:firstLineChars="200"/>
        <w:rPr>
          <w:rFonts w:ascii="Times New Roman" w:hAnsi="Times New Roman" w:cs="Times New Roman"/>
        </w:rPr>
        <w:sectPr>
          <w:pgSz w:w="11906" w:h="16838"/>
          <w:pgMar w:top="1440" w:right="1800" w:bottom="1440" w:left="1800" w:header="851" w:footer="992" w:gutter="0"/>
          <w:cols w:space="720" w:num="1"/>
          <w:docGrid w:type="lines" w:linePitch="312" w:charSpace="0"/>
        </w:sectPr>
      </w:pPr>
    </w:p>
    <w:p>
      <w:pPr>
        <w:pStyle w:val="4"/>
        <w:rPr>
          <w:rFonts w:ascii="Times New Roman" w:hAnsi="Times New Roman" w:cs="Times New Roman"/>
        </w:rPr>
      </w:pPr>
      <w:bookmarkStart w:id="54" w:name="_Toc86072653"/>
      <w:r>
        <w:rPr>
          <w:rFonts w:ascii="Times New Roman" w:hAnsi="Times New Roman" w:cs="Times New Roman"/>
        </w:rPr>
        <w:t>3 整改工作情况</w:t>
      </w:r>
      <w:bookmarkEnd w:id="54"/>
    </w:p>
    <w:p>
      <w:pPr>
        <w:pStyle w:val="32"/>
        <w:ind w:firstLine="480" w:firstLineChars="200"/>
        <w:rPr>
          <w:sz w:val="24"/>
          <w:szCs w:val="24"/>
        </w:rPr>
      </w:pPr>
      <w:r>
        <w:rPr>
          <w:sz w:val="24"/>
          <w:szCs w:val="24"/>
        </w:rPr>
        <w:t>本项目实际建设规模、建设内容与中冶节能环保有限责任公司编制的《山西太钢不锈钢股份有限公司煤气锅炉升级改造项目环境影响报告表变更说明》中描述相一致，无变动内容。参考竣工环境保护验收意见，无整改情况。</w:t>
      </w:r>
    </w:p>
    <w:p>
      <w:pPr>
        <w:pStyle w:val="32"/>
        <w:ind w:firstLine="560" w:firstLineChars="200"/>
        <w:sectPr>
          <w:pgSz w:w="11906" w:h="16838"/>
          <w:pgMar w:top="1440" w:right="1457" w:bottom="1440" w:left="1457" w:header="851" w:footer="992" w:gutter="0"/>
          <w:cols w:space="720" w:num="1"/>
          <w:docGrid w:type="linesAndChars" w:linePitch="312" w:charSpace="0"/>
        </w:sectPr>
      </w:pPr>
    </w:p>
    <w:p>
      <w:pPr>
        <w:pStyle w:val="5"/>
        <w:rPr>
          <w:rFonts w:ascii="Times New Roman" w:hAnsi="Times New Roman"/>
        </w:rPr>
      </w:pPr>
      <w:bookmarkStart w:id="55" w:name="_Toc86072654"/>
      <w:r>
        <w:rPr>
          <w:rFonts w:ascii="Times New Roman" w:hAnsi="Times New Roman"/>
        </w:rPr>
        <w:t>附件9 竣工环境保护验收意见</w:t>
      </w:r>
      <w:bookmarkEnd w:id="55"/>
    </w:p>
    <w:p>
      <w:pPr>
        <w:pStyle w:val="32"/>
        <w:ind w:firstLine="560" w:firstLineChars="200"/>
      </w:pPr>
    </w:p>
    <w:p>
      <w:pPr>
        <w:spacing w:line="500" w:lineRule="exact"/>
        <w:jc w:val="center"/>
        <w:rPr>
          <w:rFonts w:ascii="Times New Roman" w:hAnsi="Times New Roman" w:cs="Times New Roman"/>
          <w:b/>
          <w:sz w:val="32"/>
          <w:szCs w:val="32"/>
        </w:rPr>
      </w:pPr>
      <w:r>
        <w:rPr>
          <w:rFonts w:ascii="Times New Roman" w:hAnsi="Times New Roman" w:cs="Times New Roman"/>
          <w:b/>
          <w:sz w:val="32"/>
          <w:szCs w:val="32"/>
        </w:rPr>
        <w:t>山西太钢不锈钢股份有限公司煤气锅炉升级改造项目</w:t>
      </w:r>
    </w:p>
    <w:p>
      <w:pPr>
        <w:spacing w:line="500" w:lineRule="exact"/>
        <w:jc w:val="center"/>
        <w:rPr>
          <w:rFonts w:ascii="Times New Roman" w:hAnsi="Times New Roman" w:cs="Times New Roman"/>
          <w:b/>
          <w:sz w:val="32"/>
          <w:szCs w:val="32"/>
        </w:rPr>
      </w:pPr>
      <w:r>
        <w:rPr>
          <w:rFonts w:ascii="Times New Roman" w:hAnsi="Times New Roman" w:cs="Times New Roman"/>
          <w:b/>
          <w:sz w:val="32"/>
          <w:szCs w:val="32"/>
        </w:rPr>
        <w:t>竣工环境保护验收意见</w:t>
      </w:r>
    </w:p>
    <w:p>
      <w:pPr>
        <w:spacing w:line="460" w:lineRule="exact"/>
        <w:ind w:firstLine="560" w:firstLineChars="200"/>
        <w:rPr>
          <w:rFonts w:ascii="Times New Roman" w:hAnsi="Times New Roman" w:cs="Times New Roman"/>
          <w:sz w:val="28"/>
          <w:szCs w:val="28"/>
        </w:rPr>
      </w:pP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2021年9月29日，山西太钢不锈钢股份有限公司根据《</w:t>
      </w:r>
      <w:bookmarkStart w:id="56" w:name="_Hlk5136271"/>
      <w:r>
        <w:rPr>
          <w:rFonts w:ascii="Times New Roman" w:hAnsi="Times New Roman" w:cs="Times New Roman"/>
          <w:sz w:val="24"/>
          <w:szCs w:val="24"/>
        </w:rPr>
        <w:t>山西太钢不锈钢股份有限公司</w:t>
      </w:r>
      <w:bookmarkEnd w:id="56"/>
      <w:r>
        <w:rPr>
          <w:rFonts w:ascii="Times New Roman" w:hAnsi="Times New Roman" w:cs="Times New Roman"/>
          <w:sz w:val="24"/>
          <w:szCs w:val="24"/>
        </w:rPr>
        <w:t>煤气锅炉升级改造项目竣工环境保护验收监测报告》并对照《建设项目竣工环境保护验收暂行办法》、《山西省环境保护厅关于做好建设项目环境保护管理相关工作的通知》，严格依照国家有关法律法规、建设项目竣工环境保护验收技术规范、本项目环境影响报告表和审批部门审批决定等要求对本项目进行验收。</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根据原国家环境保护部和原山西省环境保护厅相关规定，本次验收全部为项目建设单位自主验收。</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参加验收的有项目设计和施工单位中国能源建设集团山西省电力勘测设计院有限公司，环境工程监理单位山西震益工程建设监理公司，项目环评单位山西清泽阳光环保科技有限公司、中冶节能环保有限责任公司，验收报告编制单位山西太钢工程技术有限公司，验收监测单位山西太钢环境监测有限公司的代表及应邀专家。与会代表检查了项目现场，听取了建设单位对工程建设和环保设施调试的情况介绍以及监测单位对项目竣工验收监测情况的介绍，验收组（名单附后）提出验收意见如下：</w:t>
      </w:r>
    </w:p>
    <w:p>
      <w:pPr>
        <w:pStyle w:val="38"/>
        <w:adjustRightInd w:val="0"/>
        <w:snapToGrid w:val="0"/>
        <w:spacing w:before="0" w:beforeAutospacing="0" w:after="0" w:afterAutospacing="0" w:line="460" w:lineRule="exact"/>
        <w:ind w:firstLine="562" w:firstLineChars="200"/>
        <w:jc w:val="both"/>
        <w:outlineLvl w:val="0"/>
        <w:rPr>
          <w:rFonts w:ascii="Times New Roman" w:hAnsi="Times New Roman" w:cs="Times New Roman"/>
          <w:b/>
          <w:color w:val="000000"/>
          <w:sz w:val="28"/>
          <w:szCs w:val="28"/>
        </w:rPr>
      </w:pPr>
      <w:bookmarkStart w:id="57" w:name="_Toc86072655"/>
      <w:r>
        <w:rPr>
          <w:rFonts w:ascii="Times New Roman" w:hAnsi="Times New Roman" w:cs="Times New Roman"/>
          <w:b/>
          <w:color w:val="000000"/>
          <w:sz w:val="28"/>
          <w:szCs w:val="28"/>
        </w:rPr>
        <w:t>一、工程建设基本情况</w:t>
      </w:r>
      <w:bookmarkEnd w:id="57"/>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（一）建设地点、规模、主要建设内容</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建设地点：山西太钢不锈钢股份有限公司能源动力总厂办公楼南侧，300MW机组2#机以东</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建设性质：技术改造</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建设规模：新建1×260t/h亚临界超高温煤气锅炉、1×80MW亚临界超高温直接空冷抽汽凝汽式汽轮发电机组，同步建设脱硫脱硝设施。</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工程组成与建设内容：项目包括主体工程、辅助工程、公用工程、依托工程、环保工程、淘汰工程等，主要建设内容：本项目利用太钢公司的富余高炉煤气，新建1×260t/h亚临界超高温煤气锅炉和1×80MW亚临界超高温直接空冷抽汽凝汽式汽轮发电机组，配套设施包括热力系统、燃烧系统、控制系统、电气系统、脱硫系统、脱硝系统等。本项目建成后，现有2台130t/h的中温中压煤气锅炉（9#、10#锅炉）停炉作为应急备用。工程组成与建设内容见表1。</w:t>
      </w:r>
    </w:p>
    <w:p>
      <w:pPr>
        <w:spacing w:line="500" w:lineRule="exact"/>
        <w:jc w:val="center"/>
        <w:rPr>
          <w:rFonts w:ascii="Times New Roman" w:hAnsi="Times New Roman" w:cs="Times New Roman"/>
          <w:b/>
          <w:color w:val="000000"/>
          <w:sz w:val="24"/>
        </w:rPr>
        <w:sectPr>
          <w:footerReference r:id="rId10" w:type="default"/>
          <w:pgSz w:w="11906" w:h="16838"/>
          <w:pgMar w:top="1417" w:right="1587" w:bottom="1417" w:left="1701" w:header="851" w:footer="992" w:gutter="0"/>
          <w:cols w:space="720" w:num="1"/>
          <w:docGrid w:type="lines" w:linePitch="312" w:charSpace="0"/>
        </w:sectPr>
      </w:pPr>
    </w:p>
    <w:p>
      <w:pPr>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表1  项目组成及建设内容表</w:t>
      </w:r>
    </w:p>
    <w:tbl>
      <w:tblPr>
        <w:tblStyle w:val="21"/>
        <w:tblW w:w="14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449"/>
        <w:gridCol w:w="1300"/>
        <w:gridCol w:w="3324"/>
        <w:gridCol w:w="3469"/>
        <w:gridCol w:w="3324"/>
        <w:gridCol w:w="1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307" w:type="dxa"/>
            <w:gridSpan w:val="3"/>
            <w:vAlign w:val="center"/>
          </w:tcPr>
          <w:p>
            <w:pPr>
              <w:pStyle w:val="42"/>
              <w:spacing w:line="320" w:lineRule="exact"/>
              <w:rPr>
                <w:b/>
                <w:bCs/>
                <w:szCs w:val="21"/>
              </w:rPr>
            </w:pPr>
            <w:r>
              <w:rPr>
                <w:b/>
                <w:bCs/>
                <w:szCs w:val="21"/>
              </w:rPr>
              <w:t>工程名称</w:t>
            </w:r>
          </w:p>
        </w:tc>
        <w:tc>
          <w:tcPr>
            <w:tcW w:w="3324" w:type="dxa"/>
            <w:vAlign w:val="center"/>
          </w:tcPr>
          <w:p>
            <w:pPr>
              <w:pStyle w:val="42"/>
              <w:spacing w:line="320" w:lineRule="exact"/>
              <w:rPr>
                <w:b/>
                <w:bCs/>
                <w:szCs w:val="21"/>
              </w:rPr>
            </w:pPr>
            <w:r>
              <w:rPr>
                <w:b/>
                <w:bCs/>
                <w:szCs w:val="21"/>
              </w:rPr>
              <w:t>变更前项目环评设计建设内容</w:t>
            </w:r>
          </w:p>
        </w:tc>
        <w:tc>
          <w:tcPr>
            <w:tcW w:w="3469" w:type="dxa"/>
            <w:vAlign w:val="center"/>
          </w:tcPr>
          <w:p>
            <w:pPr>
              <w:pStyle w:val="42"/>
              <w:spacing w:line="320" w:lineRule="exact"/>
              <w:rPr>
                <w:b/>
                <w:bCs/>
                <w:szCs w:val="21"/>
              </w:rPr>
            </w:pPr>
            <w:r>
              <w:rPr>
                <w:b/>
                <w:bCs/>
                <w:szCs w:val="21"/>
              </w:rPr>
              <w:t>变更后项目环评设计建设内容</w:t>
            </w:r>
          </w:p>
        </w:tc>
        <w:tc>
          <w:tcPr>
            <w:tcW w:w="3324" w:type="dxa"/>
            <w:vAlign w:val="center"/>
          </w:tcPr>
          <w:p>
            <w:pPr>
              <w:pStyle w:val="42"/>
              <w:spacing w:line="320" w:lineRule="exact"/>
              <w:rPr>
                <w:b/>
                <w:bCs/>
                <w:szCs w:val="21"/>
              </w:rPr>
            </w:pPr>
            <w:r>
              <w:rPr>
                <w:b/>
                <w:bCs/>
              </w:rPr>
              <w:t>实际建设内容</w:t>
            </w:r>
          </w:p>
        </w:tc>
        <w:tc>
          <w:tcPr>
            <w:tcW w:w="1794" w:type="dxa"/>
            <w:vAlign w:val="center"/>
          </w:tcPr>
          <w:p>
            <w:pPr>
              <w:pStyle w:val="42"/>
              <w:spacing w:line="320" w:lineRule="exact"/>
              <w:rPr>
                <w:b/>
                <w:bCs/>
              </w:rPr>
            </w:pPr>
            <w:r>
              <w:rPr>
                <w:b/>
                <w:bCs/>
              </w:rPr>
              <w:t>与变更后环评</w:t>
            </w:r>
          </w:p>
          <w:p>
            <w:pPr>
              <w:pStyle w:val="42"/>
              <w:spacing w:line="320" w:lineRule="exact"/>
              <w:rPr>
                <w:b/>
                <w:bCs/>
                <w:szCs w:val="21"/>
              </w:rPr>
            </w:pPr>
            <w:r>
              <w:rPr>
                <w:b/>
                <w:bCs/>
              </w:rPr>
              <w:t>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restart"/>
            <w:vAlign w:val="center"/>
          </w:tcPr>
          <w:p>
            <w:pPr>
              <w:pStyle w:val="42"/>
              <w:spacing w:line="320" w:lineRule="exact"/>
              <w:rPr>
                <w:szCs w:val="21"/>
              </w:rPr>
            </w:pPr>
            <w:r>
              <w:rPr>
                <w:szCs w:val="21"/>
              </w:rPr>
              <w:t>主体工程</w:t>
            </w:r>
          </w:p>
        </w:tc>
        <w:tc>
          <w:tcPr>
            <w:tcW w:w="1749" w:type="dxa"/>
            <w:gridSpan w:val="2"/>
            <w:vAlign w:val="center"/>
          </w:tcPr>
          <w:p>
            <w:pPr>
              <w:pStyle w:val="42"/>
              <w:spacing w:line="320" w:lineRule="exact"/>
              <w:rPr>
                <w:szCs w:val="21"/>
              </w:rPr>
            </w:pPr>
            <w:r>
              <w:rPr>
                <w:szCs w:val="21"/>
              </w:rPr>
              <w:t>煤气锅炉</w:t>
            </w:r>
          </w:p>
        </w:tc>
        <w:tc>
          <w:tcPr>
            <w:tcW w:w="3324" w:type="dxa"/>
            <w:vAlign w:val="center"/>
          </w:tcPr>
          <w:p>
            <w:pPr>
              <w:pStyle w:val="42"/>
              <w:spacing w:line="320" w:lineRule="exact"/>
              <w:rPr>
                <w:szCs w:val="21"/>
              </w:rPr>
            </w:pPr>
            <w:r>
              <w:rPr>
                <w:szCs w:val="21"/>
              </w:rPr>
              <w:t>2台240t/h高温高压煤气锅炉</w:t>
            </w:r>
          </w:p>
        </w:tc>
        <w:tc>
          <w:tcPr>
            <w:tcW w:w="3469" w:type="dxa"/>
            <w:vAlign w:val="center"/>
          </w:tcPr>
          <w:p>
            <w:pPr>
              <w:pStyle w:val="42"/>
              <w:spacing w:line="320" w:lineRule="exact"/>
              <w:rPr>
                <w:szCs w:val="21"/>
              </w:rPr>
            </w:pPr>
            <w:r>
              <w:rPr>
                <w:szCs w:val="21"/>
              </w:rPr>
              <w:t>1×260t/h亚临界超高温煤气锅炉</w:t>
            </w:r>
          </w:p>
        </w:tc>
        <w:tc>
          <w:tcPr>
            <w:tcW w:w="3324" w:type="dxa"/>
            <w:vAlign w:val="center"/>
          </w:tcPr>
          <w:p>
            <w:pPr>
              <w:pStyle w:val="42"/>
              <w:spacing w:line="320" w:lineRule="exact"/>
              <w:rPr>
                <w:szCs w:val="21"/>
              </w:rPr>
            </w:pPr>
            <w:r>
              <w:rPr>
                <w:szCs w:val="21"/>
              </w:rPr>
              <w:t>1×260t/h亚临界超高温煤气锅炉</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1749" w:type="dxa"/>
            <w:gridSpan w:val="2"/>
            <w:vAlign w:val="center"/>
          </w:tcPr>
          <w:p>
            <w:pPr>
              <w:pStyle w:val="42"/>
              <w:spacing w:line="320" w:lineRule="exact"/>
              <w:rPr>
                <w:szCs w:val="21"/>
              </w:rPr>
            </w:pPr>
            <w:r>
              <w:rPr>
                <w:szCs w:val="21"/>
              </w:rPr>
              <w:t>汽轮发电机组</w:t>
            </w:r>
          </w:p>
        </w:tc>
        <w:tc>
          <w:tcPr>
            <w:tcW w:w="3324" w:type="dxa"/>
            <w:vAlign w:val="center"/>
          </w:tcPr>
          <w:p>
            <w:pPr>
              <w:pStyle w:val="42"/>
              <w:spacing w:line="320" w:lineRule="exact"/>
              <w:rPr>
                <w:szCs w:val="21"/>
              </w:rPr>
            </w:pPr>
            <w:r>
              <w:rPr>
                <w:szCs w:val="21"/>
              </w:rPr>
              <w:t>2台12MW背压发电机组</w:t>
            </w:r>
          </w:p>
        </w:tc>
        <w:tc>
          <w:tcPr>
            <w:tcW w:w="3469" w:type="dxa"/>
            <w:vAlign w:val="center"/>
          </w:tcPr>
          <w:p>
            <w:pPr>
              <w:pStyle w:val="42"/>
              <w:spacing w:line="320" w:lineRule="exact"/>
              <w:rPr>
                <w:szCs w:val="21"/>
              </w:rPr>
            </w:pPr>
            <w:r>
              <w:rPr>
                <w:szCs w:val="21"/>
              </w:rPr>
              <w:t>1×80MW亚临界超高温直接空冷抽汽凝汽式汽轮发电机组</w:t>
            </w:r>
          </w:p>
        </w:tc>
        <w:tc>
          <w:tcPr>
            <w:tcW w:w="3324" w:type="dxa"/>
            <w:vAlign w:val="center"/>
          </w:tcPr>
          <w:p>
            <w:pPr>
              <w:pStyle w:val="42"/>
              <w:spacing w:line="320" w:lineRule="exact"/>
              <w:rPr>
                <w:szCs w:val="21"/>
              </w:rPr>
            </w:pPr>
            <w:r>
              <w:rPr>
                <w:szCs w:val="21"/>
              </w:rPr>
              <w:t>1×80MW亚临界超高温直接空冷抽汽凝汽式汽轮发电机组</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1749" w:type="dxa"/>
            <w:gridSpan w:val="2"/>
            <w:vAlign w:val="center"/>
          </w:tcPr>
          <w:p>
            <w:pPr>
              <w:pStyle w:val="42"/>
              <w:spacing w:line="320" w:lineRule="exact"/>
              <w:rPr>
                <w:szCs w:val="21"/>
              </w:rPr>
            </w:pPr>
            <w:r>
              <w:rPr>
                <w:szCs w:val="21"/>
              </w:rPr>
              <w:t>除盐水站</w:t>
            </w:r>
          </w:p>
        </w:tc>
        <w:tc>
          <w:tcPr>
            <w:tcW w:w="3324" w:type="dxa"/>
            <w:vAlign w:val="center"/>
          </w:tcPr>
          <w:p>
            <w:pPr>
              <w:pStyle w:val="42"/>
              <w:spacing w:line="320" w:lineRule="exact"/>
              <w:rPr>
                <w:szCs w:val="21"/>
              </w:rPr>
            </w:pPr>
            <w:r>
              <w:rPr>
                <w:szCs w:val="21"/>
              </w:rPr>
              <w:t>1座400t/h除盐水站，34m×19m×16m，布置有除二氧化碳器、原水泵、反渗透装置等，用于提供煤气锅炉补给水</w:t>
            </w:r>
          </w:p>
        </w:tc>
        <w:tc>
          <w:tcPr>
            <w:tcW w:w="3469" w:type="dxa"/>
            <w:vAlign w:val="center"/>
          </w:tcPr>
          <w:p>
            <w:pPr>
              <w:pStyle w:val="42"/>
              <w:spacing w:line="320" w:lineRule="exact"/>
              <w:rPr>
                <w:szCs w:val="21"/>
              </w:rPr>
            </w:pPr>
            <w:r>
              <w:rPr>
                <w:szCs w:val="21"/>
              </w:rPr>
              <w:t>锅炉除盐水就近从太钢除盐水管网引接</w:t>
            </w:r>
          </w:p>
        </w:tc>
        <w:tc>
          <w:tcPr>
            <w:tcW w:w="3324" w:type="dxa"/>
            <w:vAlign w:val="center"/>
          </w:tcPr>
          <w:p>
            <w:pPr>
              <w:pStyle w:val="42"/>
              <w:spacing w:line="320" w:lineRule="exact"/>
              <w:rPr>
                <w:szCs w:val="21"/>
                <w:highlight w:val="yellow"/>
              </w:rPr>
            </w:pPr>
            <w:r>
              <w:rPr>
                <w:szCs w:val="21"/>
              </w:rPr>
              <w:t>锅炉除盐水就近从太钢除盐水管网引接</w:t>
            </w:r>
          </w:p>
        </w:tc>
        <w:tc>
          <w:tcPr>
            <w:tcW w:w="1794" w:type="dxa"/>
            <w:vAlign w:val="center"/>
          </w:tcPr>
          <w:p>
            <w:pPr>
              <w:pStyle w:val="42"/>
              <w:spacing w:line="320" w:lineRule="exact"/>
              <w:rPr>
                <w:szCs w:val="21"/>
                <w:highlight w:val="yellow"/>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restart"/>
            <w:vAlign w:val="center"/>
          </w:tcPr>
          <w:p>
            <w:pPr>
              <w:pStyle w:val="42"/>
              <w:spacing w:line="320" w:lineRule="exact"/>
              <w:rPr>
                <w:szCs w:val="21"/>
              </w:rPr>
            </w:pPr>
            <w:r>
              <w:rPr>
                <w:szCs w:val="21"/>
              </w:rPr>
              <w:t>辅助工程</w:t>
            </w:r>
          </w:p>
        </w:tc>
        <w:tc>
          <w:tcPr>
            <w:tcW w:w="1749" w:type="dxa"/>
            <w:gridSpan w:val="2"/>
            <w:vAlign w:val="center"/>
          </w:tcPr>
          <w:p>
            <w:pPr>
              <w:pStyle w:val="42"/>
              <w:spacing w:line="320" w:lineRule="exact"/>
              <w:rPr>
                <w:szCs w:val="21"/>
              </w:rPr>
            </w:pPr>
            <w:r>
              <w:rPr>
                <w:szCs w:val="21"/>
              </w:rPr>
              <w:t>主厂房</w:t>
            </w:r>
          </w:p>
        </w:tc>
        <w:tc>
          <w:tcPr>
            <w:tcW w:w="3324" w:type="dxa"/>
            <w:vAlign w:val="center"/>
          </w:tcPr>
          <w:p>
            <w:pPr>
              <w:pStyle w:val="42"/>
              <w:spacing w:line="320" w:lineRule="exact"/>
              <w:rPr>
                <w:szCs w:val="21"/>
              </w:rPr>
            </w:pPr>
            <w:r>
              <w:rPr>
                <w:szCs w:val="21"/>
              </w:rPr>
              <w:t>布置引风机室、水平烟道、除氧间等</w:t>
            </w:r>
          </w:p>
        </w:tc>
        <w:tc>
          <w:tcPr>
            <w:tcW w:w="3469" w:type="dxa"/>
            <w:vAlign w:val="center"/>
          </w:tcPr>
          <w:p>
            <w:pPr>
              <w:pStyle w:val="42"/>
              <w:spacing w:line="320" w:lineRule="exact"/>
              <w:rPr>
                <w:szCs w:val="21"/>
              </w:rPr>
            </w:pPr>
            <w:r>
              <w:rPr>
                <w:szCs w:val="21"/>
              </w:rPr>
              <w:t>布置汽机房、除氧间、锅炉房等</w:t>
            </w:r>
          </w:p>
        </w:tc>
        <w:tc>
          <w:tcPr>
            <w:tcW w:w="3324" w:type="dxa"/>
            <w:vAlign w:val="center"/>
          </w:tcPr>
          <w:p>
            <w:pPr>
              <w:pStyle w:val="42"/>
              <w:spacing w:line="320" w:lineRule="exact"/>
              <w:rPr>
                <w:szCs w:val="21"/>
              </w:rPr>
            </w:pPr>
            <w:r>
              <w:rPr>
                <w:szCs w:val="21"/>
              </w:rPr>
              <w:t>布置汽机房、除氧间、锅炉房等</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1749" w:type="dxa"/>
            <w:gridSpan w:val="2"/>
            <w:vAlign w:val="center"/>
          </w:tcPr>
          <w:p>
            <w:pPr>
              <w:pStyle w:val="42"/>
              <w:spacing w:line="320" w:lineRule="exact"/>
              <w:rPr>
                <w:szCs w:val="21"/>
              </w:rPr>
            </w:pPr>
            <w:r>
              <w:rPr>
                <w:szCs w:val="21"/>
              </w:rPr>
              <w:t>空冷平台</w:t>
            </w:r>
          </w:p>
        </w:tc>
        <w:tc>
          <w:tcPr>
            <w:tcW w:w="3324" w:type="dxa"/>
            <w:vAlign w:val="center"/>
          </w:tcPr>
          <w:p>
            <w:pPr>
              <w:pStyle w:val="42"/>
              <w:spacing w:line="320" w:lineRule="exact"/>
              <w:rPr>
                <w:szCs w:val="21"/>
              </w:rPr>
            </w:pPr>
            <w:r>
              <w:rPr>
                <w:szCs w:val="21"/>
              </w:rPr>
              <w:t>无</w:t>
            </w:r>
          </w:p>
        </w:tc>
        <w:tc>
          <w:tcPr>
            <w:tcW w:w="3469" w:type="dxa"/>
            <w:vAlign w:val="center"/>
          </w:tcPr>
          <w:p>
            <w:pPr>
              <w:pStyle w:val="42"/>
              <w:spacing w:line="320" w:lineRule="exact"/>
              <w:rPr>
                <w:szCs w:val="21"/>
              </w:rPr>
            </w:pPr>
            <w:r>
              <w:rPr>
                <w:szCs w:val="21"/>
              </w:rPr>
              <w:t>布置循环水泵房、蒸发冷却器、主变压器和空冷配电间等。汽轮机凝汽系统采用直接空冷，辅助设备采用闭式循环系统带蒸发冷却器的二次循环冷却方案</w:t>
            </w:r>
          </w:p>
        </w:tc>
        <w:tc>
          <w:tcPr>
            <w:tcW w:w="3324" w:type="dxa"/>
            <w:vAlign w:val="center"/>
          </w:tcPr>
          <w:p>
            <w:pPr>
              <w:pStyle w:val="42"/>
              <w:spacing w:line="320" w:lineRule="exact"/>
              <w:rPr>
                <w:szCs w:val="21"/>
              </w:rPr>
            </w:pPr>
            <w:r>
              <w:rPr>
                <w:szCs w:val="21"/>
              </w:rPr>
              <w:t>布置循环水泵房、蒸发冷却器、主变压器和空冷配电间等。汽轮机凝汽系统采用直接空冷，辅助设备采用闭式循环系统带蒸发冷却器的二次循环冷却方案</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restart"/>
            <w:vAlign w:val="center"/>
          </w:tcPr>
          <w:p>
            <w:pPr>
              <w:pStyle w:val="42"/>
              <w:spacing w:line="320" w:lineRule="exact"/>
              <w:rPr>
                <w:szCs w:val="21"/>
              </w:rPr>
            </w:pPr>
            <w:r>
              <w:rPr>
                <w:szCs w:val="21"/>
              </w:rPr>
              <w:t>公用工程</w:t>
            </w:r>
          </w:p>
        </w:tc>
        <w:tc>
          <w:tcPr>
            <w:tcW w:w="1749" w:type="dxa"/>
            <w:gridSpan w:val="2"/>
            <w:vAlign w:val="center"/>
          </w:tcPr>
          <w:p>
            <w:pPr>
              <w:pStyle w:val="42"/>
              <w:spacing w:line="320" w:lineRule="exact"/>
              <w:rPr>
                <w:szCs w:val="21"/>
              </w:rPr>
            </w:pPr>
            <w:r>
              <w:rPr>
                <w:szCs w:val="21"/>
              </w:rPr>
              <w:t>供电</w:t>
            </w:r>
          </w:p>
        </w:tc>
        <w:tc>
          <w:tcPr>
            <w:tcW w:w="3324" w:type="dxa"/>
            <w:vAlign w:val="center"/>
          </w:tcPr>
          <w:p>
            <w:pPr>
              <w:pStyle w:val="42"/>
              <w:spacing w:line="320" w:lineRule="exact"/>
              <w:rPr>
                <w:szCs w:val="21"/>
              </w:rPr>
            </w:pPr>
            <w:r>
              <w:rPr>
                <w:szCs w:val="21"/>
              </w:rPr>
              <w:t>项目自身提供，新建10kV配电室</w:t>
            </w:r>
          </w:p>
        </w:tc>
        <w:tc>
          <w:tcPr>
            <w:tcW w:w="3469" w:type="dxa"/>
            <w:vAlign w:val="center"/>
          </w:tcPr>
          <w:p>
            <w:pPr>
              <w:pStyle w:val="42"/>
              <w:spacing w:line="320" w:lineRule="exact"/>
              <w:rPr>
                <w:szCs w:val="21"/>
              </w:rPr>
            </w:pPr>
            <w:r>
              <w:rPr>
                <w:szCs w:val="21"/>
              </w:rPr>
              <w:t>项目自身提供，新建1座110kV升压站，以1回110kV电缆出线接入太钢110kV变电站</w:t>
            </w:r>
          </w:p>
        </w:tc>
        <w:tc>
          <w:tcPr>
            <w:tcW w:w="3324" w:type="dxa"/>
            <w:vAlign w:val="center"/>
          </w:tcPr>
          <w:p>
            <w:pPr>
              <w:pStyle w:val="42"/>
              <w:spacing w:line="320" w:lineRule="exact"/>
              <w:rPr>
                <w:szCs w:val="21"/>
              </w:rPr>
            </w:pPr>
            <w:r>
              <w:rPr>
                <w:szCs w:val="21"/>
              </w:rPr>
              <w:t>项目自身提供，新建1座110kV升压站，以1回110kV电缆出线接入太钢110kV变电站</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1749" w:type="dxa"/>
            <w:gridSpan w:val="2"/>
            <w:vAlign w:val="center"/>
          </w:tcPr>
          <w:p>
            <w:pPr>
              <w:pStyle w:val="42"/>
              <w:spacing w:line="320" w:lineRule="exact"/>
              <w:rPr>
                <w:szCs w:val="21"/>
              </w:rPr>
            </w:pPr>
            <w:r>
              <w:rPr>
                <w:szCs w:val="21"/>
              </w:rPr>
              <w:t>供水</w:t>
            </w:r>
          </w:p>
        </w:tc>
        <w:tc>
          <w:tcPr>
            <w:tcW w:w="3324" w:type="dxa"/>
            <w:vAlign w:val="center"/>
          </w:tcPr>
          <w:p>
            <w:pPr>
              <w:pStyle w:val="42"/>
              <w:spacing w:line="320" w:lineRule="exact"/>
              <w:rPr>
                <w:szCs w:val="21"/>
              </w:rPr>
            </w:pPr>
            <w:r>
              <w:rPr>
                <w:szCs w:val="21"/>
              </w:rPr>
              <w:t>太钢管网统一供给</w:t>
            </w:r>
          </w:p>
        </w:tc>
        <w:tc>
          <w:tcPr>
            <w:tcW w:w="3469" w:type="dxa"/>
            <w:vAlign w:val="center"/>
          </w:tcPr>
          <w:p>
            <w:pPr>
              <w:pStyle w:val="42"/>
              <w:spacing w:line="320" w:lineRule="exact"/>
              <w:rPr>
                <w:szCs w:val="21"/>
              </w:rPr>
            </w:pPr>
            <w:r>
              <w:rPr>
                <w:szCs w:val="21"/>
              </w:rPr>
              <w:t>不变</w:t>
            </w:r>
          </w:p>
        </w:tc>
        <w:tc>
          <w:tcPr>
            <w:tcW w:w="3324" w:type="dxa"/>
            <w:vAlign w:val="center"/>
          </w:tcPr>
          <w:p>
            <w:pPr>
              <w:pStyle w:val="42"/>
              <w:spacing w:line="320" w:lineRule="exact"/>
              <w:rPr>
                <w:szCs w:val="21"/>
              </w:rPr>
            </w:pPr>
            <w:r>
              <w:rPr>
                <w:szCs w:val="21"/>
              </w:rPr>
              <w:t>不变</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1749" w:type="dxa"/>
            <w:gridSpan w:val="2"/>
            <w:vAlign w:val="center"/>
          </w:tcPr>
          <w:p>
            <w:pPr>
              <w:pStyle w:val="42"/>
              <w:spacing w:line="320" w:lineRule="exact"/>
              <w:rPr>
                <w:szCs w:val="21"/>
              </w:rPr>
            </w:pPr>
            <w:r>
              <w:rPr>
                <w:szCs w:val="21"/>
              </w:rPr>
              <w:t>煤气</w:t>
            </w:r>
          </w:p>
        </w:tc>
        <w:tc>
          <w:tcPr>
            <w:tcW w:w="3324" w:type="dxa"/>
            <w:vAlign w:val="center"/>
          </w:tcPr>
          <w:p>
            <w:pPr>
              <w:pStyle w:val="42"/>
              <w:spacing w:line="320" w:lineRule="exact"/>
              <w:rPr>
                <w:szCs w:val="21"/>
              </w:rPr>
            </w:pPr>
            <w:r>
              <w:rPr>
                <w:szCs w:val="21"/>
              </w:rPr>
              <w:t>太钢煤气管网供应</w:t>
            </w:r>
          </w:p>
        </w:tc>
        <w:tc>
          <w:tcPr>
            <w:tcW w:w="3469" w:type="dxa"/>
            <w:vAlign w:val="center"/>
          </w:tcPr>
          <w:p>
            <w:pPr>
              <w:pStyle w:val="42"/>
              <w:spacing w:line="320" w:lineRule="exact"/>
              <w:rPr>
                <w:szCs w:val="21"/>
              </w:rPr>
            </w:pPr>
            <w:r>
              <w:rPr>
                <w:szCs w:val="21"/>
              </w:rPr>
              <w:t>不变</w:t>
            </w:r>
          </w:p>
        </w:tc>
        <w:tc>
          <w:tcPr>
            <w:tcW w:w="3324" w:type="dxa"/>
            <w:vAlign w:val="center"/>
          </w:tcPr>
          <w:p>
            <w:pPr>
              <w:pStyle w:val="42"/>
              <w:spacing w:line="320" w:lineRule="exact"/>
              <w:rPr>
                <w:szCs w:val="21"/>
              </w:rPr>
            </w:pPr>
            <w:r>
              <w:rPr>
                <w:szCs w:val="21"/>
              </w:rPr>
              <w:t>不变</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1749" w:type="dxa"/>
            <w:gridSpan w:val="2"/>
            <w:vAlign w:val="center"/>
          </w:tcPr>
          <w:p>
            <w:pPr>
              <w:pStyle w:val="42"/>
              <w:spacing w:line="320" w:lineRule="exact"/>
              <w:rPr>
                <w:szCs w:val="21"/>
              </w:rPr>
            </w:pPr>
            <w:r>
              <w:rPr>
                <w:szCs w:val="21"/>
              </w:rPr>
              <w:t>压缩空气</w:t>
            </w:r>
          </w:p>
        </w:tc>
        <w:tc>
          <w:tcPr>
            <w:tcW w:w="3324" w:type="dxa"/>
            <w:vAlign w:val="center"/>
          </w:tcPr>
          <w:p>
            <w:pPr>
              <w:pStyle w:val="42"/>
              <w:spacing w:line="320" w:lineRule="exact"/>
              <w:rPr>
                <w:szCs w:val="21"/>
              </w:rPr>
            </w:pPr>
            <w:r>
              <w:rPr>
                <w:szCs w:val="21"/>
              </w:rPr>
              <w:t>太钢厂区压缩空气管网供应</w:t>
            </w:r>
          </w:p>
        </w:tc>
        <w:tc>
          <w:tcPr>
            <w:tcW w:w="3469" w:type="dxa"/>
            <w:vAlign w:val="center"/>
          </w:tcPr>
          <w:p>
            <w:pPr>
              <w:pStyle w:val="42"/>
              <w:spacing w:line="320" w:lineRule="exact"/>
              <w:rPr>
                <w:szCs w:val="21"/>
              </w:rPr>
            </w:pPr>
            <w:r>
              <w:rPr>
                <w:szCs w:val="21"/>
              </w:rPr>
              <w:t>不变</w:t>
            </w:r>
          </w:p>
        </w:tc>
        <w:tc>
          <w:tcPr>
            <w:tcW w:w="3324" w:type="dxa"/>
            <w:vAlign w:val="center"/>
          </w:tcPr>
          <w:p>
            <w:pPr>
              <w:pStyle w:val="42"/>
              <w:spacing w:line="320" w:lineRule="exact"/>
              <w:rPr>
                <w:szCs w:val="21"/>
              </w:rPr>
            </w:pPr>
            <w:r>
              <w:rPr>
                <w:szCs w:val="21"/>
              </w:rPr>
              <w:t>不变</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restart"/>
            <w:vAlign w:val="center"/>
          </w:tcPr>
          <w:p>
            <w:pPr>
              <w:pStyle w:val="42"/>
              <w:spacing w:line="320" w:lineRule="exact"/>
              <w:rPr>
                <w:szCs w:val="21"/>
              </w:rPr>
            </w:pPr>
            <w:r>
              <w:rPr>
                <w:szCs w:val="21"/>
              </w:rPr>
              <w:t>依托工程</w:t>
            </w:r>
          </w:p>
        </w:tc>
        <w:tc>
          <w:tcPr>
            <w:tcW w:w="1749" w:type="dxa"/>
            <w:gridSpan w:val="2"/>
            <w:vAlign w:val="center"/>
          </w:tcPr>
          <w:p>
            <w:pPr>
              <w:pStyle w:val="42"/>
              <w:spacing w:line="320" w:lineRule="exact"/>
              <w:rPr>
                <w:szCs w:val="21"/>
              </w:rPr>
            </w:pPr>
            <w:r>
              <w:rPr>
                <w:szCs w:val="21"/>
              </w:rPr>
              <w:t>排水</w:t>
            </w:r>
          </w:p>
        </w:tc>
        <w:tc>
          <w:tcPr>
            <w:tcW w:w="3324" w:type="dxa"/>
            <w:vAlign w:val="center"/>
          </w:tcPr>
          <w:p>
            <w:pPr>
              <w:pStyle w:val="42"/>
              <w:spacing w:line="320" w:lineRule="exact"/>
              <w:rPr>
                <w:szCs w:val="21"/>
              </w:rPr>
            </w:pPr>
            <w:r>
              <w:rPr>
                <w:szCs w:val="21"/>
              </w:rPr>
              <w:t>依托太钢厂区现有生活污水和生产废水排水管网，送太钢赵庄污水处理场处理后回用，不外排</w:t>
            </w:r>
          </w:p>
        </w:tc>
        <w:tc>
          <w:tcPr>
            <w:tcW w:w="3469" w:type="dxa"/>
            <w:vAlign w:val="center"/>
          </w:tcPr>
          <w:p>
            <w:pPr>
              <w:pStyle w:val="42"/>
              <w:spacing w:line="320" w:lineRule="exact"/>
              <w:rPr>
                <w:szCs w:val="21"/>
              </w:rPr>
            </w:pPr>
            <w:r>
              <w:rPr>
                <w:szCs w:val="21"/>
              </w:rPr>
              <w:t>依托太钢厂区现有生活污水和生产废水排水管网，送太钢污水处理厂处理。</w:t>
            </w:r>
          </w:p>
        </w:tc>
        <w:tc>
          <w:tcPr>
            <w:tcW w:w="3324" w:type="dxa"/>
            <w:vAlign w:val="center"/>
          </w:tcPr>
          <w:p>
            <w:pPr>
              <w:pStyle w:val="42"/>
              <w:spacing w:line="320" w:lineRule="exact"/>
              <w:rPr>
                <w:szCs w:val="21"/>
              </w:rPr>
            </w:pPr>
            <w:r>
              <w:rPr>
                <w:szCs w:val="21"/>
              </w:rPr>
              <w:t>依托太钢厂区现有生活污水和生产废水排水管网，送太钢污水处理厂处理。</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1749" w:type="dxa"/>
            <w:gridSpan w:val="2"/>
            <w:vAlign w:val="center"/>
          </w:tcPr>
          <w:p>
            <w:pPr>
              <w:pStyle w:val="42"/>
              <w:spacing w:line="320" w:lineRule="exact"/>
              <w:rPr>
                <w:szCs w:val="21"/>
              </w:rPr>
            </w:pPr>
            <w:r>
              <w:rPr>
                <w:szCs w:val="21"/>
              </w:rPr>
              <w:t>办公区</w:t>
            </w:r>
          </w:p>
        </w:tc>
        <w:tc>
          <w:tcPr>
            <w:tcW w:w="3324" w:type="dxa"/>
            <w:vAlign w:val="center"/>
          </w:tcPr>
          <w:p>
            <w:pPr>
              <w:pStyle w:val="42"/>
              <w:spacing w:line="320" w:lineRule="exact"/>
              <w:rPr>
                <w:szCs w:val="21"/>
              </w:rPr>
            </w:pPr>
            <w:r>
              <w:rPr>
                <w:szCs w:val="21"/>
              </w:rPr>
              <w:t>办公场所依托太钢能源动力厂办公楼</w:t>
            </w:r>
          </w:p>
        </w:tc>
        <w:tc>
          <w:tcPr>
            <w:tcW w:w="3469" w:type="dxa"/>
            <w:vAlign w:val="center"/>
          </w:tcPr>
          <w:p>
            <w:pPr>
              <w:pStyle w:val="42"/>
              <w:spacing w:line="320" w:lineRule="exact"/>
              <w:rPr>
                <w:szCs w:val="21"/>
              </w:rPr>
            </w:pPr>
            <w:r>
              <w:rPr>
                <w:szCs w:val="21"/>
              </w:rPr>
              <w:t>不变</w:t>
            </w:r>
          </w:p>
        </w:tc>
        <w:tc>
          <w:tcPr>
            <w:tcW w:w="3324" w:type="dxa"/>
            <w:vAlign w:val="center"/>
          </w:tcPr>
          <w:p>
            <w:pPr>
              <w:pStyle w:val="42"/>
              <w:spacing w:line="320" w:lineRule="exact"/>
              <w:rPr>
                <w:szCs w:val="21"/>
              </w:rPr>
            </w:pPr>
            <w:r>
              <w:rPr>
                <w:szCs w:val="21"/>
              </w:rPr>
              <w:t>不变</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restart"/>
            <w:vAlign w:val="center"/>
          </w:tcPr>
          <w:p>
            <w:pPr>
              <w:pStyle w:val="42"/>
              <w:spacing w:line="320" w:lineRule="exact"/>
              <w:rPr>
                <w:szCs w:val="21"/>
              </w:rPr>
            </w:pPr>
            <w:r>
              <w:rPr>
                <w:szCs w:val="21"/>
              </w:rPr>
              <w:t>环保工程</w:t>
            </w:r>
          </w:p>
        </w:tc>
        <w:tc>
          <w:tcPr>
            <w:tcW w:w="449" w:type="dxa"/>
            <w:vAlign w:val="center"/>
          </w:tcPr>
          <w:p>
            <w:pPr>
              <w:pStyle w:val="42"/>
              <w:spacing w:line="320" w:lineRule="exact"/>
              <w:rPr>
                <w:szCs w:val="21"/>
              </w:rPr>
            </w:pPr>
            <w:r>
              <w:rPr>
                <w:szCs w:val="21"/>
              </w:rPr>
              <w:t>废气</w:t>
            </w:r>
          </w:p>
        </w:tc>
        <w:tc>
          <w:tcPr>
            <w:tcW w:w="1300" w:type="dxa"/>
            <w:vAlign w:val="center"/>
          </w:tcPr>
          <w:p>
            <w:pPr>
              <w:pStyle w:val="42"/>
              <w:spacing w:line="320" w:lineRule="exact"/>
              <w:rPr>
                <w:szCs w:val="21"/>
              </w:rPr>
            </w:pPr>
            <w:r>
              <w:rPr>
                <w:szCs w:val="21"/>
              </w:rPr>
              <w:t>锅炉烟气</w:t>
            </w:r>
          </w:p>
        </w:tc>
        <w:tc>
          <w:tcPr>
            <w:tcW w:w="3324" w:type="dxa"/>
            <w:vAlign w:val="center"/>
          </w:tcPr>
          <w:p>
            <w:pPr>
              <w:pStyle w:val="42"/>
              <w:spacing w:line="320" w:lineRule="exact"/>
              <w:rPr>
                <w:szCs w:val="21"/>
              </w:rPr>
            </w:pPr>
            <w:r>
              <w:rPr>
                <w:szCs w:val="21"/>
              </w:rPr>
              <w:t>2台燃气锅炉各安装一套低氮燃烧器，并预留脱硝位置</w:t>
            </w:r>
          </w:p>
        </w:tc>
        <w:tc>
          <w:tcPr>
            <w:tcW w:w="3469" w:type="dxa"/>
            <w:vAlign w:val="center"/>
          </w:tcPr>
          <w:p>
            <w:pPr>
              <w:pStyle w:val="42"/>
              <w:spacing w:line="320" w:lineRule="exact"/>
              <w:rPr>
                <w:szCs w:val="21"/>
              </w:rPr>
            </w:pPr>
            <w:r>
              <w:rPr>
                <w:szCs w:val="21"/>
              </w:rPr>
              <w:t>石灰石－石膏湿法脱硫，脱硫浆液利用现有2×300MW的脱硫制浆液系统；低氮燃烧器+烟气再循环+SCR脱硝，尿素系统利用现有2×300MW的制备系统。</w:t>
            </w:r>
          </w:p>
        </w:tc>
        <w:tc>
          <w:tcPr>
            <w:tcW w:w="3324" w:type="dxa"/>
            <w:vAlign w:val="center"/>
          </w:tcPr>
          <w:p>
            <w:pPr>
              <w:pStyle w:val="42"/>
              <w:spacing w:line="320" w:lineRule="exact"/>
              <w:rPr>
                <w:szCs w:val="21"/>
              </w:rPr>
            </w:pPr>
            <w:r>
              <w:rPr>
                <w:szCs w:val="21"/>
              </w:rPr>
              <w:t>一致</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449" w:type="dxa"/>
            <w:vAlign w:val="center"/>
          </w:tcPr>
          <w:p>
            <w:pPr>
              <w:pStyle w:val="42"/>
              <w:spacing w:line="320" w:lineRule="exact"/>
              <w:rPr>
                <w:szCs w:val="21"/>
              </w:rPr>
            </w:pPr>
            <w:r>
              <w:rPr>
                <w:szCs w:val="21"/>
              </w:rPr>
              <w:t>废水</w:t>
            </w:r>
          </w:p>
        </w:tc>
        <w:tc>
          <w:tcPr>
            <w:tcW w:w="1300" w:type="dxa"/>
            <w:vAlign w:val="center"/>
          </w:tcPr>
          <w:p>
            <w:pPr>
              <w:pStyle w:val="42"/>
              <w:spacing w:line="320" w:lineRule="exact"/>
              <w:rPr>
                <w:szCs w:val="21"/>
              </w:rPr>
            </w:pPr>
            <w:r>
              <w:rPr>
                <w:szCs w:val="21"/>
              </w:rPr>
              <w:t>生产废水、生活污水</w:t>
            </w:r>
          </w:p>
        </w:tc>
        <w:tc>
          <w:tcPr>
            <w:tcW w:w="3324" w:type="dxa"/>
            <w:vAlign w:val="center"/>
          </w:tcPr>
          <w:p>
            <w:pPr>
              <w:pStyle w:val="42"/>
              <w:spacing w:line="320" w:lineRule="exact"/>
              <w:rPr>
                <w:szCs w:val="21"/>
              </w:rPr>
            </w:pPr>
            <w:r>
              <w:rPr>
                <w:szCs w:val="21"/>
              </w:rPr>
              <w:t>送太钢赵庄污水处理厂处理</w:t>
            </w:r>
          </w:p>
        </w:tc>
        <w:tc>
          <w:tcPr>
            <w:tcW w:w="3469" w:type="dxa"/>
            <w:vAlign w:val="center"/>
          </w:tcPr>
          <w:p>
            <w:pPr>
              <w:pStyle w:val="42"/>
              <w:spacing w:line="320" w:lineRule="exact"/>
              <w:rPr>
                <w:szCs w:val="21"/>
              </w:rPr>
            </w:pPr>
            <w:r>
              <w:rPr>
                <w:szCs w:val="21"/>
              </w:rPr>
              <w:t>送太钢污水处理厂处理。</w:t>
            </w:r>
          </w:p>
        </w:tc>
        <w:tc>
          <w:tcPr>
            <w:tcW w:w="3324" w:type="dxa"/>
            <w:vAlign w:val="center"/>
          </w:tcPr>
          <w:p>
            <w:pPr>
              <w:pStyle w:val="42"/>
              <w:spacing w:line="320" w:lineRule="exact"/>
              <w:rPr>
                <w:szCs w:val="21"/>
              </w:rPr>
            </w:pPr>
            <w:r>
              <w:rPr>
                <w:szCs w:val="21"/>
              </w:rPr>
              <w:t>送太钢污水处理厂处理。</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449" w:type="dxa"/>
            <w:vMerge w:val="restart"/>
            <w:vAlign w:val="center"/>
          </w:tcPr>
          <w:p>
            <w:pPr>
              <w:pStyle w:val="42"/>
              <w:spacing w:line="320" w:lineRule="exact"/>
              <w:rPr>
                <w:szCs w:val="21"/>
              </w:rPr>
            </w:pPr>
            <w:r>
              <w:rPr>
                <w:szCs w:val="21"/>
              </w:rPr>
              <w:t>固废</w:t>
            </w:r>
          </w:p>
        </w:tc>
        <w:tc>
          <w:tcPr>
            <w:tcW w:w="1300" w:type="dxa"/>
            <w:vAlign w:val="center"/>
          </w:tcPr>
          <w:p>
            <w:pPr>
              <w:pStyle w:val="42"/>
              <w:spacing w:line="320" w:lineRule="exact"/>
              <w:rPr>
                <w:szCs w:val="21"/>
              </w:rPr>
            </w:pPr>
            <w:r>
              <w:rPr>
                <w:szCs w:val="21"/>
              </w:rPr>
              <w:t>脱硫石膏</w:t>
            </w:r>
          </w:p>
        </w:tc>
        <w:tc>
          <w:tcPr>
            <w:tcW w:w="3324" w:type="dxa"/>
            <w:vAlign w:val="center"/>
          </w:tcPr>
          <w:p>
            <w:pPr>
              <w:pStyle w:val="42"/>
              <w:spacing w:line="320" w:lineRule="exact"/>
              <w:rPr>
                <w:szCs w:val="21"/>
              </w:rPr>
            </w:pPr>
            <w:r>
              <w:rPr>
                <w:szCs w:val="21"/>
              </w:rPr>
              <w:t>无</w:t>
            </w:r>
          </w:p>
        </w:tc>
        <w:tc>
          <w:tcPr>
            <w:tcW w:w="3469" w:type="dxa"/>
            <w:vAlign w:val="center"/>
          </w:tcPr>
          <w:p>
            <w:pPr>
              <w:pStyle w:val="42"/>
              <w:spacing w:line="320" w:lineRule="exact"/>
              <w:rPr>
                <w:szCs w:val="21"/>
              </w:rPr>
            </w:pPr>
            <w:r>
              <w:rPr>
                <w:szCs w:val="21"/>
              </w:rPr>
              <w:t>太钢能源动力总厂石膏生产线生产为石膏粉后统一外售，全部综合利用</w:t>
            </w:r>
          </w:p>
        </w:tc>
        <w:tc>
          <w:tcPr>
            <w:tcW w:w="3324" w:type="dxa"/>
            <w:vAlign w:val="center"/>
          </w:tcPr>
          <w:p>
            <w:pPr>
              <w:pStyle w:val="42"/>
              <w:spacing w:line="320" w:lineRule="exact"/>
              <w:rPr>
                <w:szCs w:val="21"/>
              </w:rPr>
            </w:pPr>
            <w:r>
              <w:rPr>
                <w:szCs w:val="21"/>
              </w:rPr>
              <w:t>太钢能源动力总厂石膏生产线生产为石膏粉后统一外售，全部综合利用</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449" w:type="dxa"/>
            <w:vMerge w:val="continue"/>
            <w:vAlign w:val="center"/>
          </w:tcPr>
          <w:p>
            <w:pPr>
              <w:pStyle w:val="42"/>
              <w:spacing w:line="320" w:lineRule="exact"/>
              <w:rPr>
                <w:szCs w:val="21"/>
              </w:rPr>
            </w:pPr>
          </w:p>
        </w:tc>
        <w:tc>
          <w:tcPr>
            <w:tcW w:w="1300" w:type="dxa"/>
            <w:vAlign w:val="center"/>
          </w:tcPr>
          <w:p>
            <w:pPr>
              <w:pStyle w:val="42"/>
              <w:spacing w:line="320" w:lineRule="exact"/>
              <w:rPr>
                <w:szCs w:val="21"/>
              </w:rPr>
            </w:pPr>
            <w:r>
              <w:rPr>
                <w:szCs w:val="21"/>
              </w:rPr>
              <w:t>废催化剂</w:t>
            </w:r>
          </w:p>
        </w:tc>
        <w:tc>
          <w:tcPr>
            <w:tcW w:w="3324" w:type="dxa"/>
            <w:vAlign w:val="center"/>
          </w:tcPr>
          <w:p>
            <w:pPr>
              <w:pStyle w:val="42"/>
              <w:spacing w:line="320" w:lineRule="exact"/>
              <w:rPr>
                <w:szCs w:val="21"/>
              </w:rPr>
            </w:pPr>
            <w:r>
              <w:rPr>
                <w:szCs w:val="21"/>
              </w:rPr>
              <w:t>无</w:t>
            </w:r>
          </w:p>
        </w:tc>
        <w:tc>
          <w:tcPr>
            <w:tcW w:w="3469" w:type="dxa"/>
            <w:vAlign w:val="center"/>
          </w:tcPr>
          <w:p>
            <w:pPr>
              <w:pStyle w:val="42"/>
              <w:spacing w:line="320" w:lineRule="exact"/>
              <w:rPr>
                <w:szCs w:val="21"/>
              </w:rPr>
            </w:pPr>
            <w:r>
              <w:rPr>
                <w:szCs w:val="21"/>
              </w:rPr>
              <w:t>更换的废催化剂由生产厂家统一回收</w:t>
            </w:r>
          </w:p>
        </w:tc>
        <w:tc>
          <w:tcPr>
            <w:tcW w:w="3324" w:type="dxa"/>
            <w:vAlign w:val="center"/>
          </w:tcPr>
          <w:p>
            <w:pPr>
              <w:pStyle w:val="42"/>
              <w:spacing w:line="320" w:lineRule="exact"/>
              <w:rPr>
                <w:szCs w:val="21"/>
              </w:rPr>
            </w:pPr>
            <w:r>
              <w:rPr>
                <w:szCs w:val="21"/>
              </w:rPr>
              <w:t>更换的废催化剂由生产厂家统一回收</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449" w:type="dxa"/>
            <w:vMerge w:val="continue"/>
            <w:vAlign w:val="center"/>
          </w:tcPr>
          <w:p>
            <w:pPr>
              <w:pStyle w:val="42"/>
              <w:spacing w:line="320" w:lineRule="exact"/>
              <w:rPr>
                <w:szCs w:val="21"/>
              </w:rPr>
            </w:pPr>
          </w:p>
        </w:tc>
        <w:tc>
          <w:tcPr>
            <w:tcW w:w="1300" w:type="dxa"/>
            <w:vAlign w:val="center"/>
          </w:tcPr>
          <w:p>
            <w:pPr>
              <w:pStyle w:val="42"/>
              <w:spacing w:line="320" w:lineRule="exact"/>
              <w:rPr>
                <w:szCs w:val="21"/>
              </w:rPr>
            </w:pPr>
            <w:r>
              <w:rPr>
                <w:szCs w:val="21"/>
              </w:rPr>
              <w:t>废机油</w:t>
            </w:r>
          </w:p>
        </w:tc>
        <w:tc>
          <w:tcPr>
            <w:tcW w:w="3324" w:type="dxa"/>
            <w:vAlign w:val="center"/>
          </w:tcPr>
          <w:p>
            <w:pPr>
              <w:pStyle w:val="42"/>
              <w:spacing w:line="320" w:lineRule="exact"/>
              <w:rPr>
                <w:szCs w:val="21"/>
              </w:rPr>
            </w:pPr>
            <w:r>
              <w:rPr>
                <w:szCs w:val="21"/>
              </w:rPr>
              <w:t>太原钢铁（集团）公司福利总厂进行集中处置</w:t>
            </w:r>
          </w:p>
        </w:tc>
        <w:tc>
          <w:tcPr>
            <w:tcW w:w="3469" w:type="dxa"/>
            <w:vAlign w:val="center"/>
          </w:tcPr>
          <w:p>
            <w:pPr>
              <w:pStyle w:val="42"/>
              <w:spacing w:line="320" w:lineRule="exact"/>
              <w:rPr>
                <w:szCs w:val="21"/>
              </w:rPr>
            </w:pPr>
            <w:r>
              <w:rPr>
                <w:szCs w:val="21"/>
              </w:rPr>
              <w:t>太钢加工厂统一收集后交有资质单位处理</w:t>
            </w:r>
          </w:p>
        </w:tc>
        <w:tc>
          <w:tcPr>
            <w:tcW w:w="3324" w:type="dxa"/>
            <w:vAlign w:val="center"/>
          </w:tcPr>
          <w:p>
            <w:pPr>
              <w:pStyle w:val="42"/>
              <w:spacing w:line="320" w:lineRule="exact"/>
              <w:rPr>
                <w:szCs w:val="21"/>
              </w:rPr>
            </w:pPr>
            <w:r>
              <w:rPr>
                <w:szCs w:val="21"/>
              </w:rPr>
              <w:t>太钢加工厂统一收集后交有资质单位处理</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449" w:type="dxa"/>
            <w:vMerge w:val="continue"/>
            <w:vAlign w:val="center"/>
          </w:tcPr>
          <w:p>
            <w:pPr>
              <w:pStyle w:val="42"/>
              <w:spacing w:line="320" w:lineRule="exact"/>
              <w:rPr>
                <w:szCs w:val="21"/>
              </w:rPr>
            </w:pPr>
          </w:p>
        </w:tc>
        <w:tc>
          <w:tcPr>
            <w:tcW w:w="1300" w:type="dxa"/>
            <w:vAlign w:val="center"/>
          </w:tcPr>
          <w:p>
            <w:pPr>
              <w:pStyle w:val="42"/>
              <w:spacing w:line="320" w:lineRule="exact"/>
              <w:rPr>
                <w:szCs w:val="21"/>
              </w:rPr>
            </w:pPr>
            <w:r>
              <w:rPr>
                <w:szCs w:val="21"/>
              </w:rPr>
              <w:t>生活垃圾</w:t>
            </w:r>
          </w:p>
        </w:tc>
        <w:tc>
          <w:tcPr>
            <w:tcW w:w="3324" w:type="dxa"/>
            <w:vAlign w:val="center"/>
          </w:tcPr>
          <w:p>
            <w:pPr>
              <w:pStyle w:val="42"/>
              <w:spacing w:line="320" w:lineRule="exact"/>
              <w:rPr>
                <w:szCs w:val="21"/>
              </w:rPr>
            </w:pPr>
            <w:r>
              <w:rPr>
                <w:spacing w:val="6"/>
                <w:szCs w:val="21"/>
              </w:rPr>
              <w:t>环卫部门统一处理.</w:t>
            </w:r>
          </w:p>
        </w:tc>
        <w:tc>
          <w:tcPr>
            <w:tcW w:w="3469" w:type="dxa"/>
            <w:vAlign w:val="center"/>
          </w:tcPr>
          <w:p>
            <w:pPr>
              <w:pStyle w:val="42"/>
              <w:spacing w:line="320" w:lineRule="exact"/>
              <w:rPr>
                <w:szCs w:val="21"/>
              </w:rPr>
            </w:pPr>
            <w:r>
              <w:rPr>
                <w:szCs w:val="21"/>
              </w:rPr>
              <w:t>不变</w:t>
            </w:r>
          </w:p>
        </w:tc>
        <w:tc>
          <w:tcPr>
            <w:tcW w:w="3324" w:type="dxa"/>
            <w:vAlign w:val="center"/>
          </w:tcPr>
          <w:p>
            <w:pPr>
              <w:pStyle w:val="42"/>
              <w:spacing w:line="320" w:lineRule="exact"/>
              <w:rPr>
                <w:szCs w:val="21"/>
              </w:rPr>
            </w:pPr>
            <w:r>
              <w:rPr>
                <w:szCs w:val="21"/>
              </w:rPr>
              <w:t>不变</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449" w:type="dxa"/>
            <w:vAlign w:val="center"/>
          </w:tcPr>
          <w:p>
            <w:pPr>
              <w:pStyle w:val="42"/>
              <w:spacing w:line="320" w:lineRule="exact"/>
              <w:rPr>
                <w:szCs w:val="21"/>
              </w:rPr>
            </w:pPr>
            <w:r>
              <w:rPr>
                <w:szCs w:val="21"/>
              </w:rPr>
              <w:t>噪声</w:t>
            </w:r>
          </w:p>
        </w:tc>
        <w:tc>
          <w:tcPr>
            <w:tcW w:w="1300" w:type="dxa"/>
            <w:vAlign w:val="center"/>
          </w:tcPr>
          <w:p>
            <w:pPr>
              <w:pStyle w:val="42"/>
              <w:spacing w:line="320" w:lineRule="exact"/>
              <w:rPr>
                <w:szCs w:val="21"/>
              </w:rPr>
            </w:pPr>
            <w:r>
              <w:rPr>
                <w:szCs w:val="21"/>
              </w:rPr>
              <w:t>生产设备</w:t>
            </w:r>
          </w:p>
        </w:tc>
        <w:tc>
          <w:tcPr>
            <w:tcW w:w="3324" w:type="dxa"/>
            <w:vAlign w:val="center"/>
          </w:tcPr>
          <w:p>
            <w:pPr>
              <w:pStyle w:val="42"/>
              <w:spacing w:line="320" w:lineRule="exact"/>
              <w:rPr>
                <w:spacing w:val="6"/>
                <w:szCs w:val="21"/>
              </w:rPr>
            </w:pPr>
            <w:r>
              <w:rPr>
                <w:szCs w:val="21"/>
              </w:rPr>
              <w:t>选用低噪设备、并室内安装；送风机入口、锅炉排汽及安全阀排汽处安装消声器；汽轮发电机组设置基础减振，并采取隔声措施；水泵采取隔声措施等</w:t>
            </w:r>
          </w:p>
        </w:tc>
        <w:tc>
          <w:tcPr>
            <w:tcW w:w="3469" w:type="dxa"/>
            <w:vAlign w:val="center"/>
          </w:tcPr>
          <w:p>
            <w:pPr>
              <w:pStyle w:val="42"/>
              <w:spacing w:line="320" w:lineRule="exact"/>
              <w:rPr>
                <w:szCs w:val="21"/>
              </w:rPr>
            </w:pPr>
            <w:r>
              <w:rPr>
                <w:szCs w:val="21"/>
              </w:rPr>
              <w:t>不变</w:t>
            </w:r>
          </w:p>
        </w:tc>
        <w:tc>
          <w:tcPr>
            <w:tcW w:w="3324" w:type="dxa"/>
            <w:vAlign w:val="center"/>
          </w:tcPr>
          <w:p>
            <w:pPr>
              <w:pStyle w:val="42"/>
              <w:spacing w:line="320" w:lineRule="exact"/>
              <w:rPr>
                <w:szCs w:val="21"/>
              </w:rPr>
            </w:pPr>
            <w:r>
              <w:rPr>
                <w:szCs w:val="21"/>
              </w:rPr>
              <w:t>不变</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558" w:type="dxa"/>
            <w:vMerge w:val="continue"/>
            <w:vAlign w:val="center"/>
          </w:tcPr>
          <w:p>
            <w:pPr>
              <w:pStyle w:val="42"/>
              <w:spacing w:line="320" w:lineRule="exact"/>
              <w:rPr>
                <w:szCs w:val="21"/>
              </w:rPr>
            </w:pPr>
          </w:p>
        </w:tc>
        <w:tc>
          <w:tcPr>
            <w:tcW w:w="1749" w:type="dxa"/>
            <w:gridSpan w:val="2"/>
            <w:vAlign w:val="center"/>
          </w:tcPr>
          <w:p>
            <w:pPr>
              <w:pStyle w:val="42"/>
              <w:spacing w:line="320" w:lineRule="exact"/>
              <w:rPr>
                <w:szCs w:val="21"/>
              </w:rPr>
            </w:pPr>
            <w:r>
              <w:rPr>
                <w:szCs w:val="21"/>
              </w:rPr>
              <w:t>绿化</w:t>
            </w:r>
          </w:p>
        </w:tc>
        <w:tc>
          <w:tcPr>
            <w:tcW w:w="3324" w:type="dxa"/>
            <w:vAlign w:val="center"/>
          </w:tcPr>
          <w:p>
            <w:pPr>
              <w:pStyle w:val="42"/>
              <w:spacing w:line="320" w:lineRule="exact"/>
              <w:rPr>
                <w:spacing w:val="6"/>
                <w:szCs w:val="21"/>
              </w:rPr>
            </w:pPr>
            <w:r>
              <w:rPr>
                <w:szCs w:val="21"/>
              </w:rPr>
              <w:t>绿化面积为300m</w:t>
            </w:r>
            <w:r>
              <w:rPr>
                <w:szCs w:val="21"/>
                <w:vertAlign w:val="superscript"/>
              </w:rPr>
              <w:t>2</w:t>
            </w:r>
          </w:p>
        </w:tc>
        <w:tc>
          <w:tcPr>
            <w:tcW w:w="3469" w:type="dxa"/>
            <w:vAlign w:val="center"/>
          </w:tcPr>
          <w:p>
            <w:pPr>
              <w:pStyle w:val="42"/>
              <w:spacing w:line="320" w:lineRule="exact"/>
              <w:rPr>
                <w:szCs w:val="21"/>
              </w:rPr>
            </w:pPr>
            <w:r>
              <w:rPr>
                <w:szCs w:val="21"/>
              </w:rPr>
              <w:t>绿化面积为264m</w:t>
            </w:r>
            <w:r>
              <w:rPr>
                <w:szCs w:val="21"/>
                <w:vertAlign w:val="superscript"/>
              </w:rPr>
              <w:t>2</w:t>
            </w:r>
          </w:p>
        </w:tc>
        <w:tc>
          <w:tcPr>
            <w:tcW w:w="3324" w:type="dxa"/>
            <w:vAlign w:val="center"/>
          </w:tcPr>
          <w:p>
            <w:pPr>
              <w:pStyle w:val="42"/>
              <w:spacing w:line="320" w:lineRule="exact"/>
              <w:rPr>
                <w:szCs w:val="21"/>
              </w:rPr>
            </w:pPr>
            <w:r>
              <w:rPr>
                <w:szCs w:val="21"/>
              </w:rPr>
              <w:t>绿化面积为264m</w:t>
            </w:r>
            <w:r>
              <w:rPr>
                <w:szCs w:val="21"/>
                <w:vertAlign w:val="superscript"/>
              </w:rPr>
              <w:t>2</w:t>
            </w:r>
          </w:p>
        </w:tc>
        <w:tc>
          <w:tcPr>
            <w:tcW w:w="1794" w:type="dxa"/>
            <w:vAlign w:val="center"/>
          </w:tcPr>
          <w:p>
            <w:pPr>
              <w:pStyle w:val="42"/>
              <w:spacing w:line="320" w:lineRule="exact"/>
              <w:rPr>
                <w:szCs w:val="21"/>
              </w:rPr>
            </w:pPr>
            <w:r>
              <w:rPr>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307" w:type="dxa"/>
            <w:gridSpan w:val="3"/>
            <w:vAlign w:val="center"/>
          </w:tcPr>
          <w:p>
            <w:pPr>
              <w:pStyle w:val="42"/>
              <w:spacing w:line="320" w:lineRule="exact"/>
              <w:rPr>
                <w:szCs w:val="21"/>
              </w:rPr>
            </w:pPr>
            <w:r>
              <w:rPr>
                <w:szCs w:val="21"/>
              </w:rPr>
              <w:t>淘汰工程</w:t>
            </w:r>
          </w:p>
        </w:tc>
        <w:tc>
          <w:tcPr>
            <w:tcW w:w="3324" w:type="dxa"/>
            <w:vAlign w:val="center"/>
          </w:tcPr>
          <w:p>
            <w:pPr>
              <w:pStyle w:val="42"/>
              <w:spacing w:line="320" w:lineRule="exact"/>
              <w:rPr>
                <w:szCs w:val="21"/>
              </w:rPr>
            </w:pPr>
            <w:r>
              <w:rPr>
                <w:szCs w:val="21"/>
              </w:rPr>
              <w:t>对原1台75t/h（4#）、2台130t/h（9#、10#）、1台120t/h（5#）煤气锅炉进行整合，拆除原4#、5#锅炉和除尘器，9#、10#锅炉作为应急备用。</w:t>
            </w:r>
          </w:p>
        </w:tc>
        <w:tc>
          <w:tcPr>
            <w:tcW w:w="3469" w:type="dxa"/>
            <w:vAlign w:val="center"/>
          </w:tcPr>
          <w:p>
            <w:pPr>
              <w:pStyle w:val="42"/>
              <w:spacing w:line="320" w:lineRule="exact"/>
              <w:rPr>
                <w:szCs w:val="21"/>
              </w:rPr>
            </w:pPr>
            <w:r>
              <w:rPr>
                <w:szCs w:val="21"/>
              </w:rPr>
              <w:t>原4#、5#锅炉已停炉，本项目建成后9#、10#锅炉停炉作为应急备用。淘汰部分基本不变。</w:t>
            </w:r>
          </w:p>
        </w:tc>
        <w:tc>
          <w:tcPr>
            <w:tcW w:w="3324" w:type="dxa"/>
            <w:vAlign w:val="center"/>
          </w:tcPr>
          <w:p>
            <w:pPr>
              <w:pStyle w:val="42"/>
              <w:spacing w:line="320" w:lineRule="exact"/>
              <w:rPr>
                <w:szCs w:val="21"/>
              </w:rPr>
            </w:pPr>
            <w:r>
              <w:rPr>
                <w:szCs w:val="21"/>
              </w:rPr>
              <w:t>原4#、5#锅炉已停炉，本项目建成后9#、10#锅炉停炉作为应急备用。淘汰部分基本不变。</w:t>
            </w:r>
          </w:p>
        </w:tc>
        <w:tc>
          <w:tcPr>
            <w:tcW w:w="1794" w:type="dxa"/>
            <w:vAlign w:val="center"/>
          </w:tcPr>
          <w:p>
            <w:pPr>
              <w:pStyle w:val="42"/>
              <w:spacing w:line="320" w:lineRule="exact"/>
              <w:rPr>
                <w:szCs w:val="21"/>
              </w:rPr>
            </w:pPr>
            <w:r>
              <w:rPr>
                <w:szCs w:val="21"/>
              </w:rPr>
              <w:t>一致</w:t>
            </w:r>
          </w:p>
        </w:tc>
      </w:tr>
    </w:tbl>
    <w:p>
      <w:pPr>
        <w:pStyle w:val="38"/>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sectPr>
          <w:pgSz w:w="16838" w:h="11906" w:orient="landscape"/>
          <w:pgMar w:top="1304" w:right="1418" w:bottom="1304" w:left="1418" w:header="851" w:footer="992" w:gutter="0"/>
          <w:cols w:space="720" w:num="1"/>
          <w:docGrid w:type="linesAndChars" w:linePitch="312" w:charSpace="0"/>
        </w:sectPr>
      </w:pP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（二）建设过程及环保审批情况</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1、项目环境影响报告表编制与审批情况</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山西清泽阳光环保科技有限公司于2015年8月编制完成了《山西太钢不锈钢股份有限公司燃气锅炉高效改造项目环境影响报告表》。太原市环境保护局尖草坪分局于2015年8月18日以并环尖审批〔2015〕第38号文对该项目环境影响报告表进行了批复。</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2、开工与竣工时间、调试运行时间</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项目于2020年3月开工建设，于2021年1月竣工，于2021年3月至8月进行试生产并进行环保设施调试。调试期间，委托山西太钢环境监测有限公司于2018年11月14日至11月21日按照验收监测方案开展了验收监测和环境管理检查。</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3、项目从立项至调试过程中无环境投诉、违法或处罚记录等。</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（三）投资情况</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项目实际总投资30958万元，其中环保投资342万元，占总投资的1.1%。</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（四）验收范围</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本次竣工环境保护验收包括太钢不锈钢股份有限公司燃气锅炉高效改造项目的主体工程、辅助工程、环保工程及公辅设施等。</w:t>
      </w:r>
    </w:p>
    <w:p>
      <w:pPr>
        <w:pStyle w:val="38"/>
        <w:snapToGrid w:val="0"/>
        <w:spacing w:before="0" w:beforeAutospacing="0" w:after="0" w:afterAutospacing="0" w:line="500" w:lineRule="exact"/>
        <w:ind w:firstLine="562" w:firstLineChars="200"/>
        <w:jc w:val="both"/>
        <w:outlineLvl w:val="0"/>
        <w:rPr>
          <w:rFonts w:ascii="Times New Roman" w:hAnsi="Times New Roman" w:cs="Times New Roman"/>
          <w:b/>
          <w:bCs/>
          <w:kern w:val="2"/>
          <w:sz w:val="28"/>
          <w:szCs w:val="28"/>
        </w:rPr>
      </w:pPr>
      <w:bookmarkStart w:id="58" w:name="_Toc86072656"/>
      <w:r>
        <w:rPr>
          <w:rFonts w:ascii="Times New Roman" w:hAnsi="Times New Roman" w:cs="Times New Roman"/>
          <w:b/>
          <w:bCs/>
          <w:kern w:val="2"/>
          <w:sz w:val="28"/>
          <w:szCs w:val="28"/>
        </w:rPr>
        <w:t>二、工程变动情况</w:t>
      </w:r>
      <w:bookmarkEnd w:id="58"/>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经核实，本项目变更内容为由2台240 t/h高温高压煤气锅炉+2台12MW背压机组，变更为1×260t/h亚临界超高温煤气锅炉+1×80MW亚临界超高温直接空冷抽汽凝汽式汽轮发电机组，并同步建设锅炉烟气脱硫脱硝设施。</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本项目变更后于2019年7月12日取得了太原市工业和信息化局关于《山西太钢不锈钢股份有限公司煤气锅炉升级改造项目核准证》，并于2019年8月19日收到太原市环境保护局尖草坪分局《关于对山西太钢不锈钢股份有限公司煤气锅炉升级改造项目变更环评报告申请的复函》。</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本项目变更的主要目的是适应太钢厂区富余煤气量变化情况、最新的环保政策及超低排放标准要求。本项目变更后能削减污染物排放总量，对区域环境的影响有一定的改善作用。根据《关于印发环评管理中部分行业建设项目重大变动清单的通知》（环办〔2015〕52号）中附件《火电建设项目重大变动清单（试行）》对比结果，本项目变更内容不属于重大变更。</w:t>
      </w:r>
    </w:p>
    <w:p>
      <w:pPr>
        <w:pStyle w:val="2"/>
        <w:spacing w:before="156"/>
        <w:rPr>
          <w:rFonts w:ascii="Times New Roman" w:hAnsi="Times New Roman" w:cs="Times New Roman"/>
        </w:rPr>
      </w:pPr>
    </w:p>
    <w:p>
      <w:pPr>
        <w:pStyle w:val="38"/>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bookmarkStart w:id="59" w:name="_Toc86072657"/>
      <w:r>
        <w:rPr>
          <w:rFonts w:ascii="Times New Roman" w:hAnsi="Times New Roman" w:cs="Times New Roman"/>
          <w:b/>
          <w:color w:val="000000"/>
          <w:sz w:val="28"/>
          <w:szCs w:val="28"/>
        </w:rPr>
        <w:t>三、环境保护设施建设情况</w:t>
      </w:r>
      <w:bookmarkEnd w:id="59"/>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（一）废气产生及治理设施</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本项目废气主要为燃气锅炉燃烧煤气排放的烟气，经过脱硝（低氮燃烧器+烟气再循环+SCR脱硝）和脱硫（石灰石－石膏湿法脱硫）处理后，经60m高烟囱排放。</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（二）废水产生及治理设施</w:t>
      </w:r>
    </w:p>
    <w:p>
      <w:pPr>
        <w:spacing w:line="460" w:lineRule="exact"/>
        <w:ind w:firstLine="480" w:firstLineChars="200"/>
        <w:rPr>
          <w:rFonts w:ascii="Times New Roman" w:hAnsi="Times New Roman" w:cs="Times New Roman"/>
          <w:sz w:val="24"/>
          <w:szCs w:val="24"/>
        </w:rPr>
      </w:pPr>
      <w:bookmarkStart w:id="60" w:name="_Toc5029893"/>
      <w:r>
        <w:rPr>
          <w:rFonts w:ascii="Times New Roman" w:hAnsi="Times New Roman" w:cs="Times New Roman"/>
          <w:sz w:val="24"/>
          <w:szCs w:val="24"/>
        </w:rPr>
        <w:t>1、锅炉排水、主厂房辅助工艺排水，经收集后送太钢污水处理厂统一处理。</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2、锅炉烟气采用石灰石-石膏湿法烟气脱硫系统，在石灰石制浆过程及石膏脱水等过程中，产生少量的脱硫废水，经处理后回用，不外排。</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3、汽轮机凝结水，全部收集于下部凝结水箱经凝结泵送入现有凝结水处理装置处理后全部作为除盐水回用，不外排。</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4、生活污水经厂区生活污水管网送太钢污水厂统一处理。本项目无新增人员，，不新增生活污水。</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（三）固体废物</w:t>
      </w:r>
      <w:bookmarkEnd w:id="60"/>
    </w:p>
    <w:p>
      <w:pPr>
        <w:spacing w:line="460" w:lineRule="exact"/>
        <w:ind w:firstLine="480" w:firstLineChars="200"/>
        <w:rPr>
          <w:rFonts w:ascii="Times New Roman" w:hAnsi="Times New Roman" w:cs="Times New Roman"/>
          <w:sz w:val="24"/>
          <w:szCs w:val="24"/>
        </w:rPr>
      </w:pPr>
      <w:bookmarkStart w:id="61" w:name="_Hlk38827306"/>
      <w:r>
        <w:rPr>
          <w:rFonts w:ascii="Times New Roman" w:hAnsi="Times New Roman" w:cs="Times New Roman"/>
          <w:sz w:val="24"/>
          <w:szCs w:val="24"/>
        </w:rPr>
        <w:t>（1）一般固体废弃物：</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脱硫石膏：锅炉烟气脱硫系统采用石灰石－石膏湿法脱硫，全部由太钢能源动力总厂石膏生产线生产为石膏粉后统一外售，全部综合利用。</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废催化剂：锅炉烟气脱硝SCR系统2年更换一次催化剂，更换的废催化剂全部由催化剂生产厂家回收利用。</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生活垃圾：本项目产生的生活垃圾主要为职工日常生活中抛弃的各类废弃物，如废纸、废塑料等。生活垃圾统一收集后由当地环卫部门统一处理。</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（2）危险固体废弃物：</w:t>
      </w:r>
    </w:p>
    <w:bookmarkEnd w:id="61"/>
    <w:p>
      <w:pPr>
        <w:spacing w:line="460" w:lineRule="exact"/>
        <w:ind w:firstLine="480" w:firstLineChars="200"/>
        <w:rPr>
          <w:rFonts w:ascii="Times New Roman" w:hAnsi="Times New Roman" w:cs="Times New Roman"/>
          <w:sz w:val="24"/>
          <w:szCs w:val="24"/>
        </w:rPr>
      </w:pPr>
      <w:bookmarkStart w:id="62" w:name="_Toc5029894"/>
      <w:r>
        <w:rPr>
          <w:rFonts w:ascii="Times New Roman" w:hAnsi="Times New Roman" w:cs="Times New Roman"/>
          <w:sz w:val="24"/>
          <w:szCs w:val="24"/>
        </w:rPr>
        <w:t>废机油：由太钢加工厂统一收集后送有资质单位处理。</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（四）噪声</w:t>
      </w:r>
      <w:bookmarkEnd w:id="62"/>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本项目噪声主要为锅炉发电系统的汽轮发电机组、水泵、风机等产噪设备，通过采取室内安装、基础减振等措施后，对周围声环境影响不大。</w:t>
      </w:r>
    </w:p>
    <w:p>
      <w:pPr>
        <w:pStyle w:val="2"/>
        <w:spacing w:before="156"/>
        <w:rPr>
          <w:rFonts w:ascii="Times New Roman" w:hAnsi="Times New Roman" w:cs="Times New Roman"/>
        </w:rPr>
      </w:pPr>
    </w:p>
    <w:p>
      <w:pPr>
        <w:pStyle w:val="2"/>
        <w:spacing w:before="156"/>
        <w:rPr>
          <w:rFonts w:ascii="Times New Roman" w:hAnsi="Times New Roman" w:cs="Times New Roman"/>
        </w:rPr>
      </w:pPr>
    </w:p>
    <w:p>
      <w:pPr>
        <w:pStyle w:val="2"/>
        <w:spacing w:before="156"/>
        <w:rPr>
          <w:rFonts w:ascii="Times New Roman" w:hAnsi="Times New Roman" w:cs="Times New Roman"/>
        </w:rPr>
      </w:pPr>
    </w:p>
    <w:p>
      <w:pPr>
        <w:pStyle w:val="2"/>
        <w:spacing w:before="156"/>
        <w:rPr>
          <w:rFonts w:ascii="Times New Roman" w:hAnsi="Times New Roman" w:cs="Times New Roman"/>
        </w:rPr>
      </w:pPr>
    </w:p>
    <w:p>
      <w:pPr>
        <w:pStyle w:val="2"/>
        <w:spacing w:before="156"/>
        <w:rPr>
          <w:rFonts w:ascii="Times New Roman" w:hAnsi="Times New Roman" w:cs="Times New Roman"/>
        </w:rPr>
      </w:pP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（五）环保设施建设情况与环评报告及批复对照</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环保设施建设情况与环评报告要求对照见表2。</w:t>
      </w:r>
    </w:p>
    <w:p>
      <w:pPr>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表2环保设施建设情况与环评报告对照表</w:t>
      </w:r>
    </w:p>
    <w:tbl>
      <w:tblPr>
        <w:tblStyle w:val="21"/>
        <w:tblW w:w="92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915"/>
        <w:gridCol w:w="1348"/>
        <w:gridCol w:w="2954"/>
        <w:gridCol w:w="3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7" w:hRule="atLeast"/>
          <w:tblHeader/>
        </w:trPr>
        <w:tc>
          <w:tcPr>
            <w:tcW w:w="510" w:type="dxa"/>
            <w:vAlign w:val="center"/>
          </w:tcPr>
          <w:p>
            <w:pPr>
              <w:jc w:val="center"/>
              <w:rPr>
                <w:rFonts w:ascii="Times New Roman" w:hAnsi="Times New Roman" w:cs="Times New Roman"/>
                <w:b/>
              </w:rPr>
            </w:pPr>
            <w:r>
              <w:rPr>
                <w:rFonts w:ascii="Times New Roman" w:hAnsi="Times New Roman" w:cs="Times New Roman"/>
                <w:b/>
              </w:rPr>
              <w:t>类别</w:t>
            </w:r>
          </w:p>
        </w:tc>
        <w:tc>
          <w:tcPr>
            <w:tcW w:w="915" w:type="dxa"/>
            <w:vAlign w:val="center"/>
          </w:tcPr>
          <w:p>
            <w:pPr>
              <w:jc w:val="center"/>
              <w:rPr>
                <w:rFonts w:ascii="Times New Roman" w:hAnsi="Times New Roman" w:cs="Times New Roman"/>
                <w:b/>
              </w:rPr>
            </w:pPr>
            <w:r>
              <w:rPr>
                <w:rFonts w:ascii="Times New Roman" w:hAnsi="Times New Roman" w:cs="Times New Roman"/>
                <w:b/>
              </w:rPr>
              <w:t>污染源</w:t>
            </w:r>
          </w:p>
        </w:tc>
        <w:tc>
          <w:tcPr>
            <w:tcW w:w="1348" w:type="dxa"/>
            <w:vAlign w:val="center"/>
          </w:tcPr>
          <w:p>
            <w:pPr>
              <w:jc w:val="center"/>
              <w:rPr>
                <w:rFonts w:ascii="Times New Roman" w:hAnsi="Times New Roman" w:cs="Times New Roman"/>
                <w:b/>
              </w:rPr>
            </w:pPr>
            <w:r>
              <w:rPr>
                <w:rFonts w:ascii="Times New Roman" w:hAnsi="Times New Roman" w:cs="Times New Roman"/>
                <w:b/>
              </w:rPr>
              <w:t>污染物</w:t>
            </w:r>
          </w:p>
        </w:tc>
        <w:tc>
          <w:tcPr>
            <w:tcW w:w="2954" w:type="dxa"/>
            <w:vAlign w:val="center"/>
          </w:tcPr>
          <w:p>
            <w:pPr>
              <w:jc w:val="center"/>
              <w:rPr>
                <w:rFonts w:ascii="Times New Roman" w:hAnsi="Times New Roman" w:cs="Times New Roman"/>
                <w:b/>
              </w:rPr>
            </w:pPr>
            <w:r>
              <w:rPr>
                <w:rFonts w:ascii="Times New Roman" w:hAnsi="Times New Roman" w:cs="Times New Roman"/>
                <w:b/>
              </w:rPr>
              <w:t>环评要求</w:t>
            </w:r>
          </w:p>
        </w:tc>
        <w:tc>
          <w:tcPr>
            <w:tcW w:w="3481" w:type="dxa"/>
            <w:vAlign w:val="center"/>
          </w:tcPr>
          <w:p>
            <w:pPr>
              <w:jc w:val="center"/>
              <w:rPr>
                <w:rFonts w:ascii="Times New Roman" w:hAnsi="Times New Roman" w:cs="Times New Roman"/>
                <w:b/>
              </w:rPr>
            </w:pPr>
            <w:r>
              <w:rPr>
                <w:rFonts w:ascii="Times New Roman" w:hAnsi="Times New Roman" w:cs="Times New Roman"/>
                <w:b/>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65" w:hRule="atLeast"/>
        </w:trPr>
        <w:tc>
          <w:tcPr>
            <w:tcW w:w="510" w:type="dxa"/>
            <w:vAlign w:val="center"/>
          </w:tcPr>
          <w:p>
            <w:pPr>
              <w:contextualSpacing/>
              <w:jc w:val="center"/>
              <w:rPr>
                <w:rFonts w:ascii="Times New Roman" w:hAnsi="Times New Roman" w:cs="Times New Roman"/>
              </w:rPr>
            </w:pPr>
            <w:r>
              <w:rPr>
                <w:rFonts w:ascii="Times New Roman" w:hAnsi="Times New Roman" w:cs="Times New Roman"/>
              </w:rPr>
              <w:t>废气</w:t>
            </w:r>
          </w:p>
        </w:tc>
        <w:tc>
          <w:tcPr>
            <w:tcW w:w="915" w:type="dxa"/>
            <w:vAlign w:val="center"/>
          </w:tcPr>
          <w:p>
            <w:pPr>
              <w:jc w:val="center"/>
              <w:rPr>
                <w:rFonts w:ascii="Times New Roman" w:hAnsi="Times New Roman" w:cs="Times New Roman"/>
                <w:color w:val="000000"/>
              </w:rPr>
            </w:pPr>
            <w:r>
              <w:rPr>
                <w:rFonts w:ascii="Times New Roman" w:hAnsi="Times New Roman" w:cs="Times New Roman"/>
              </w:rPr>
              <w:t>燃气锅炉</w:t>
            </w:r>
          </w:p>
        </w:tc>
        <w:tc>
          <w:tcPr>
            <w:tcW w:w="1348" w:type="dxa"/>
            <w:vAlign w:val="center"/>
          </w:tcPr>
          <w:p>
            <w:pPr>
              <w:jc w:val="center"/>
              <w:rPr>
                <w:rFonts w:ascii="Times New Roman" w:hAnsi="Times New Roman" w:cs="Times New Roman"/>
                <w:color w:val="000000"/>
              </w:rPr>
            </w:pPr>
            <w:r>
              <w:rPr>
                <w:rFonts w:ascii="Times New Roman" w:hAnsi="Times New Roman" w:cs="Times New Roman"/>
                <w:color w:val="000000"/>
              </w:rPr>
              <w:t>烟尘、SO</w:t>
            </w:r>
            <w:r>
              <w:rPr>
                <w:rFonts w:ascii="Times New Roman" w:hAnsi="Times New Roman" w:cs="Times New Roman"/>
                <w:color w:val="000000"/>
                <w:vertAlign w:val="subscript"/>
              </w:rPr>
              <w:t>2</w:t>
            </w:r>
            <w:r>
              <w:rPr>
                <w:rFonts w:ascii="Times New Roman" w:hAnsi="Times New Roman" w:cs="Times New Roman"/>
                <w:color w:val="000000"/>
              </w:rPr>
              <w:t>、NO</w:t>
            </w:r>
            <w:r>
              <w:rPr>
                <w:rFonts w:ascii="Times New Roman" w:hAnsi="Times New Roman" w:cs="Times New Roman"/>
                <w:color w:val="000000"/>
                <w:vertAlign w:val="subscript"/>
              </w:rPr>
              <w:t>X</w:t>
            </w:r>
          </w:p>
        </w:tc>
        <w:tc>
          <w:tcPr>
            <w:tcW w:w="2954" w:type="dxa"/>
            <w:vAlign w:val="center"/>
          </w:tcPr>
          <w:p>
            <w:pPr>
              <w:spacing w:before="120" w:line="276" w:lineRule="auto"/>
              <w:jc w:val="center"/>
              <w:rPr>
                <w:rFonts w:ascii="Times New Roman" w:hAnsi="Times New Roman" w:cs="Times New Roman"/>
                <w:spacing w:val="4"/>
              </w:rPr>
            </w:pPr>
            <w:r>
              <w:rPr>
                <w:rFonts w:ascii="Times New Roman" w:hAnsi="Times New Roman" w:cs="Times New Roman"/>
                <w:spacing w:val="4"/>
              </w:rPr>
              <w:t>对助燃空气进行过滤</w:t>
            </w:r>
          </w:p>
          <w:p>
            <w:pPr>
              <w:rPr>
                <w:rFonts w:ascii="Times New Roman" w:hAnsi="Times New Roman" w:cs="Times New Roman"/>
                <w:color w:val="000000"/>
              </w:rPr>
            </w:pPr>
            <w:r>
              <w:rPr>
                <w:rFonts w:ascii="Times New Roman" w:hAnsi="Times New Roman" w:cs="Times New Roman"/>
                <w:spacing w:val="4"/>
              </w:rPr>
              <w:t>调</w:t>
            </w:r>
            <w:r>
              <w:rPr>
                <w:rFonts w:ascii="Times New Roman" w:hAnsi="Times New Roman" w:cs="Times New Roman"/>
              </w:rPr>
              <w:t>整锅炉工作参数，安装低氮燃烧器（预留脱硝位置）</w:t>
            </w:r>
          </w:p>
        </w:tc>
        <w:tc>
          <w:tcPr>
            <w:tcW w:w="3481" w:type="dxa"/>
            <w:vAlign w:val="center"/>
          </w:tcPr>
          <w:p>
            <w:pPr>
              <w:rPr>
                <w:rFonts w:ascii="Times New Roman" w:hAnsi="Times New Roman" w:cs="Times New Roman"/>
                <w:color w:val="000000"/>
              </w:rPr>
            </w:pPr>
            <w:r>
              <w:rPr>
                <w:rFonts w:ascii="Times New Roman" w:hAnsi="Times New Roman" w:cs="Times New Roman"/>
                <w:spacing w:val="4"/>
              </w:rPr>
              <w:t>废气经低氮燃烧器+烟气再循环+SCR脱硝、石灰石－石膏湿法脱硫后排放</w:t>
            </w:r>
            <w:bookmarkStart w:id="70" w:name="_GoBack"/>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6" w:hRule="atLeast"/>
        </w:trPr>
        <w:tc>
          <w:tcPr>
            <w:tcW w:w="510" w:type="dxa"/>
            <w:vMerge w:val="restart"/>
            <w:vAlign w:val="center"/>
          </w:tcPr>
          <w:p>
            <w:pPr>
              <w:contextualSpacing/>
              <w:jc w:val="center"/>
              <w:rPr>
                <w:rFonts w:ascii="Times New Roman" w:hAnsi="Times New Roman" w:cs="Times New Roman"/>
              </w:rPr>
            </w:pPr>
            <w:r>
              <w:rPr>
                <w:rFonts w:ascii="Times New Roman" w:hAnsi="Times New Roman" w:cs="Times New Roman"/>
              </w:rPr>
              <w:t>废水</w:t>
            </w:r>
          </w:p>
        </w:tc>
        <w:tc>
          <w:tcPr>
            <w:tcW w:w="915" w:type="dxa"/>
            <w:vAlign w:val="center"/>
          </w:tcPr>
          <w:p>
            <w:pPr>
              <w:pStyle w:val="32"/>
              <w:spacing w:line="276" w:lineRule="auto"/>
              <w:jc w:val="center"/>
              <w:rPr>
                <w:sz w:val="21"/>
                <w:szCs w:val="21"/>
              </w:rPr>
            </w:pPr>
            <w:r>
              <w:rPr>
                <w:sz w:val="21"/>
                <w:szCs w:val="21"/>
              </w:rPr>
              <w:t>生活污水</w:t>
            </w:r>
          </w:p>
        </w:tc>
        <w:tc>
          <w:tcPr>
            <w:tcW w:w="1348" w:type="dxa"/>
            <w:vAlign w:val="center"/>
          </w:tcPr>
          <w:p>
            <w:pPr>
              <w:pStyle w:val="32"/>
              <w:spacing w:line="276" w:lineRule="auto"/>
              <w:jc w:val="center"/>
              <w:rPr>
                <w:sz w:val="21"/>
                <w:szCs w:val="21"/>
              </w:rPr>
            </w:pPr>
            <w:r>
              <w:rPr>
                <w:sz w:val="21"/>
                <w:szCs w:val="21"/>
              </w:rPr>
              <w:t>COD、BOD、NH</w:t>
            </w:r>
            <w:r>
              <w:rPr>
                <w:sz w:val="21"/>
                <w:szCs w:val="21"/>
                <w:vertAlign w:val="subscript"/>
              </w:rPr>
              <w:t>3</w:t>
            </w:r>
            <w:r>
              <w:rPr>
                <w:sz w:val="21"/>
                <w:szCs w:val="21"/>
              </w:rPr>
              <w:t>-N、SS</w:t>
            </w:r>
          </w:p>
        </w:tc>
        <w:tc>
          <w:tcPr>
            <w:tcW w:w="2954" w:type="dxa"/>
            <w:vMerge w:val="restart"/>
            <w:vAlign w:val="center"/>
          </w:tcPr>
          <w:p>
            <w:pPr>
              <w:spacing w:line="276" w:lineRule="auto"/>
              <w:jc w:val="center"/>
              <w:outlineLvl w:val="0"/>
              <w:rPr>
                <w:rFonts w:ascii="Times New Roman" w:hAnsi="Times New Roman" w:cs="Times New Roman"/>
              </w:rPr>
            </w:pPr>
            <w:bookmarkStart w:id="63" w:name="_Toc86072658"/>
            <w:r>
              <w:rPr>
                <w:rFonts w:ascii="Times New Roman" w:hAnsi="Times New Roman" w:cs="Times New Roman"/>
              </w:rPr>
              <w:t>排往太钢厂区污水管网，最后进入太钢赵庄污水处理厂处理后回用，不外排</w:t>
            </w:r>
            <w:bookmarkEnd w:id="63"/>
          </w:p>
          <w:p>
            <w:pPr>
              <w:rPr>
                <w:rFonts w:ascii="Times New Roman" w:hAnsi="Times New Roman" w:cs="Times New Roman"/>
              </w:rPr>
            </w:pPr>
            <w:r>
              <w:rPr>
                <w:rFonts w:ascii="Times New Roman" w:hAnsi="Times New Roman" w:cs="Times New Roman"/>
              </w:rPr>
              <w:t>（处理规模为19万m</w:t>
            </w:r>
            <w:r>
              <w:rPr>
                <w:rFonts w:ascii="Times New Roman" w:hAnsi="Times New Roman" w:cs="Times New Roman"/>
                <w:vertAlign w:val="superscript"/>
              </w:rPr>
              <w:t>3</w:t>
            </w:r>
            <w:r>
              <w:rPr>
                <w:rFonts w:ascii="Times New Roman" w:hAnsi="Times New Roman" w:cs="Times New Roman"/>
              </w:rPr>
              <w:t>/d）</w:t>
            </w:r>
          </w:p>
        </w:tc>
        <w:tc>
          <w:tcPr>
            <w:tcW w:w="3481" w:type="dxa"/>
            <w:vMerge w:val="restart"/>
            <w:vAlign w:val="center"/>
          </w:tcPr>
          <w:p>
            <w:pPr>
              <w:spacing w:line="276" w:lineRule="auto"/>
              <w:jc w:val="center"/>
              <w:outlineLvl w:val="0"/>
              <w:rPr>
                <w:rFonts w:ascii="Times New Roman" w:hAnsi="Times New Roman" w:cs="Times New Roman"/>
              </w:rPr>
            </w:pPr>
            <w:bookmarkStart w:id="64" w:name="_Toc86072659"/>
            <w:r>
              <w:rPr>
                <w:rFonts w:ascii="Times New Roman" w:hAnsi="Times New Roman" w:cs="Times New Roman"/>
              </w:rPr>
              <w:t>排往太钢厂区污水管网，最后进入太钢赵庄污水处理厂处理后回用，不外排</w:t>
            </w:r>
            <w:bookmarkEnd w:id="64"/>
          </w:p>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5" w:hRule="atLeast"/>
        </w:trPr>
        <w:tc>
          <w:tcPr>
            <w:tcW w:w="510" w:type="dxa"/>
            <w:vMerge w:val="continue"/>
            <w:vAlign w:val="center"/>
          </w:tcPr>
          <w:p>
            <w:pPr>
              <w:contextualSpacing/>
              <w:jc w:val="center"/>
              <w:rPr>
                <w:rFonts w:ascii="Times New Roman" w:hAnsi="Times New Roman" w:cs="Times New Roman"/>
              </w:rPr>
            </w:pPr>
          </w:p>
        </w:tc>
        <w:tc>
          <w:tcPr>
            <w:tcW w:w="915" w:type="dxa"/>
            <w:vAlign w:val="center"/>
          </w:tcPr>
          <w:p>
            <w:pPr>
              <w:pStyle w:val="32"/>
              <w:spacing w:line="276" w:lineRule="auto"/>
              <w:jc w:val="center"/>
              <w:rPr>
                <w:sz w:val="21"/>
                <w:szCs w:val="21"/>
              </w:rPr>
            </w:pPr>
            <w:r>
              <w:rPr>
                <w:sz w:val="21"/>
                <w:szCs w:val="21"/>
              </w:rPr>
              <w:t>生产废水</w:t>
            </w:r>
          </w:p>
        </w:tc>
        <w:tc>
          <w:tcPr>
            <w:tcW w:w="1348" w:type="dxa"/>
            <w:vAlign w:val="center"/>
          </w:tcPr>
          <w:p>
            <w:pPr>
              <w:pStyle w:val="32"/>
              <w:spacing w:line="276" w:lineRule="auto"/>
              <w:jc w:val="center"/>
              <w:rPr>
                <w:sz w:val="21"/>
                <w:szCs w:val="21"/>
              </w:rPr>
            </w:pPr>
            <w:r>
              <w:rPr>
                <w:sz w:val="21"/>
                <w:szCs w:val="21"/>
              </w:rPr>
              <w:t>清洁排水</w:t>
            </w:r>
          </w:p>
        </w:tc>
        <w:tc>
          <w:tcPr>
            <w:tcW w:w="2954" w:type="dxa"/>
            <w:vMerge w:val="continue"/>
            <w:vAlign w:val="center"/>
          </w:tcPr>
          <w:p>
            <w:pPr>
              <w:rPr>
                <w:rFonts w:ascii="Times New Roman" w:hAnsi="Times New Roman" w:cs="Times New Roman"/>
              </w:rPr>
            </w:pPr>
          </w:p>
        </w:tc>
        <w:tc>
          <w:tcPr>
            <w:tcW w:w="3481" w:type="dxa"/>
            <w:vMerge w:val="continue"/>
            <w:vAlign w:val="center"/>
          </w:tcPr>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2" w:hRule="atLeast"/>
        </w:trPr>
        <w:tc>
          <w:tcPr>
            <w:tcW w:w="510" w:type="dxa"/>
            <w:vMerge w:val="restart"/>
            <w:vAlign w:val="center"/>
          </w:tcPr>
          <w:p>
            <w:pPr>
              <w:contextualSpacing/>
              <w:jc w:val="center"/>
              <w:rPr>
                <w:rFonts w:ascii="Times New Roman" w:hAnsi="Times New Roman" w:cs="Times New Roman"/>
              </w:rPr>
            </w:pPr>
            <w:r>
              <w:rPr>
                <w:rFonts w:ascii="Times New Roman" w:hAnsi="Times New Roman" w:cs="Times New Roman"/>
              </w:rPr>
              <w:t>固废</w:t>
            </w:r>
          </w:p>
        </w:tc>
        <w:tc>
          <w:tcPr>
            <w:tcW w:w="915" w:type="dxa"/>
            <w:vAlign w:val="center"/>
          </w:tcPr>
          <w:p>
            <w:pPr>
              <w:jc w:val="center"/>
              <w:rPr>
                <w:rFonts w:ascii="Times New Roman" w:hAnsi="Times New Roman" w:cs="Times New Roman"/>
                <w:color w:val="000000"/>
              </w:rPr>
            </w:pPr>
            <w:r>
              <w:rPr>
                <w:rFonts w:ascii="Times New Roman" w:hAnsi="Times New Roman" w:cs="Times New Roman"/>
                <w:color w:val="000000"/>
              </w:rPr>
              <w:t>一般固废</w:t>
            </w:r>
          </w:p>
        </w:tc>
        <w:tc>
          <w:tcPr>
            <w:tcW w:w="1348" w:type="dxa"/>
            <w:vAlign w:val="center"/>
          </w:tcPr>
          <w:p>
            <w:pPr>
              <w:jc w:val="center"/>
              <w:rPr>
                <w:rFonts w:ascii="Times New Roman" w:hAnsi="Times New Roman" w:cs="Times New Roman"/>
                <w:color w:val="000000"/>
              </w:rPr>
            </w:pPr>
            <w:r>
              <w:rPr>
                <w:rFonts w:ascii="Times New Roman" w:hAnsi="Times New Roman" w:cs="Times New Roman"/>
              </w:rPr>
              <w:t>生活垃圾</w:t>
            </w:r>
          </w:p>
        </w:tc>
        <w:tc>
          <w:tcPr>
            <w:tcW w:w="2954" w:type="dxa"/>
            <w:vAlign w:val="center"/>
          </w:tcPr>
          <w:p>
            <w:pPr>
              <w:pStyle w:val="32"/>
              <w:spacing w:line="276" w:lineRule="auto"/>
              <w:jc w:val="center"/>
              <w:rPr>
                <w:sz w:val="21"/>
                <w:szCs w:val="21"/>
              </w:rPr>
            </w:pPr>
            <w:r>
              <w:rPr>
                <w:sz w:val="21"/>
                <w:szCs w:val="21"/>
              </w:rPr>
              <w:t>厂区设封闭垃圾箱，定期交环卫部门统一处理</w:t>
            </w:r>
          </w:p>
        </w:tc>
        <w:tc>
          <w:tcPr>
            <w:tcW w:w="3481" w:type="dxa"/>
            <w:vAlign w:val="center"/>
          </w:tcPr>
          <w:p>
            <w:pPr>
              <w:pStyle w:val="32"/>
              <w:spacing w:line="276" w:lineRule="auto"/>
              <w:jc w:val="center"/>
              <w:rPr>
                <w:sz w:val="21"/>
                <w:szCs w:val="21"/>
              </w:rPr>
            </w:pPr>
            <w:r>
              <w:rPr>
                <w:sz w:val="21"/>
                <w:szCs w:val="21"/>
              </w:rPr>
              <w:t>厂区设封闭垃圾箱，定期交环卫部门统一处理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45" w:hRule="atLeast"/>
        </w:trPr>
        <w:tc>
          <w:tcPr>
            <w:tcW w:w="510" w:type="dxa"/>
            <w:vMerge w:val="continue"/>
            <w:vAlign w:val="center"/>
          </w:tcPr>
          <w:p>
            <w:pPr>
              <w:contextualSpacing/>
              <w:jc w:val="center"/>
              <w:rPr>
                <w:rFonts w:ascii="Times New Roman" w:hAnsi="Times New Roman" w:cs="Times New Roman"/>
              </w:rPr>
            </w:pPr>
          </w:p>
        </w:tc>
        <w:tc>
          <w:tcPr>
            <w:tcW w:w="915" w:type="dxa"/>
            <w:vAlign w:val="center"/>
          </w:tcPr>
          <w:p>
            <w:pPr>
              <w:jc w:val="center"/>
              <w:rPr>
                <w:rFonts w:ascii="Times New Roman" w:hAnsi="Times New Roman" w:cs="Times New Roman"/>
                <w:color w:val="000000"/>
              </w:rPr>
            </w:pPr>
            <w:r>
              <w:rPr>
                <w:rFonts w:ascii="Times New Roman" w:hAnsi="Times New Roman" w:cs="Times New Roman"/>
                <w:color w:val="000000"/>
              </w:rPr>
              <w:t>危险废物</w:t>
            </w:r>
          </w:p>
        </w:tc>
        <w:tc>
          <w:tcPr>
            <w:tcW w:w="1348" w:type="dxa"/>
            <w:vAlign w:val="center"/>
          </w:tcPr>
          <w:p>
            <w:pPr>
              <w:jc w:val="center"/>
              <w:rPr>
                <w:rFonts w:ascii="Times New Roman" w:hAnsi="Times New Roman" w:cs="Times New Roman"/>
                <w:color w:val="000000"/>
              </w:rPr>
            </w:pPr>
            <w:r>
              <w:rPr>
                <w:rFonts w:ascii="Times New Roman" w:hAnsi="Times New Roman" w:cs="Times New Roman"/>
              </w:rPr>
              <w:t>废机油</w:t>
            </w:r>
          </w:p>
        </w:tc>
        <w:tc>
          <w:tcPr>
            <w:tcW w:w="2954" w:type="dxa"/>
            <w:vAlign w:val="center"/>
          </w:tcPr>
          <w:p>
            <w:pPr>
              <w:autoSpaceDE w:val="0"/>
              <w:autoSpaceDN w:val="0"/>
              <w:spacing w:line="276" w:lineRule="auto"/>
              <w:jc w:val="center"/>
              <w:rPr>
                <w:rFonts w:ascii="Times New Roman" w:hAnsi="Times New Roman" w:cs="Times New Roman"/>
              </w:rPr>
            </w:pPr>
            <w:r>
              <w:rPr>
                <w:rFonts w:ascii="Times New Roman" w:hAnsi="Times New Roman" w:cs="Times New Roman"/>
              </w:rPr>
              <w:t>交由太原钢铁（集团）公司福利总厂进行集中处置</w:t>
            </w:r>
          </w:p>
        </w:tc>
        <w:tc>
          <w:tcPr>
            <w:tcW w:w="3481" w:type="dxa"/>
            <w:vAlign w:val="center"/>
          </w:tcPr>
          <w:p>
            <w:pPr>
              <w:autoSpaceDE w:val="0"/>
              <w:autoSpaceDN w:val="0"/>
              <w:spacing w:line="276" w:lineRule="auto"/>
              <w:jc w:val="center"/>
              <w:rPr>
                <w:rFonts w:ascii="Times New Roman" w:hAnsi="Times New Roman" w:cs="Times New Roman"/>
              </w:rPr>
            </w:pPr>
            <w:r>
              <w:rPr>
                <w:rFonts w:ascii="Times New Roman" w:hAnsi="Times New Roman" w:cs="Times New Roman"/>
              </w:rPr>
              <w:t>交由太原钢铁（集团）公司福利总厂进行集中处置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26" w:hRule="atLeast"/>
        </w:trPr>
        <w:tc>
          <w:tcPr>
            <w:tcW w:w="510" w:type="dxa"/>
            <w:vAlign w:val="center"/>
          </w:tcPr>
          <w:p>
            <w:pPr>
              <w:contextualSpacing/>
              <w:jc w:val="center"/>
              <w:rPr>
                <w:rFonts w:ascii="Times New Roman" w:hAnsi="Times New Roman" w:cs="Times New Roman"/>
              </w:rPr>
            </w:pPr>
            <w:r>
              <w:rPr>
                <w:rFonts w:ascii="Times New Roman" w:hAnsi="Times New Roman" w:cs="Times New Roman"/>
              </w:rPr>
              <w:t>噪声</w:t>
            </w:r>
          </w:p>
        </w:tc>
        <w:tc>
          <w:tcPr>
            <w:tcW w:w="915" w:type="dxa"/>
            <w:vAlign w:val="center"/>
          </w:tcPr>
          <w:p>
            <w:pPr>
              <w:jc w:val="center"/>
              <w:rPr>
                <w:rFonts w:ascii="Times New Roman" w:hAnsi="Times New Roman" w:cs="Times New Roman"/>
                <w:color w:val="000000"/>
              </w:rPr>
            </w:pPr>
            <w:r>
              <w:rPr>
                <w:rFonts w:ascii="Times New Roman" w:hAnsi="Times New Roman" w:cs="Times New Roman"/>
              </w:rPr>
              <w:t>汽轮机组、泵类等设备</w:t>
            </w:r>
          </w:p>
        </w:tc>
        <w:tc>
          <w:tcPr>
            <w:tcW w:w="1348" w:type="dxa"/>
            <w:vAlign w:val="center"/>
          </w:tcPr>
          <w:p>
            <w:pPr>
              <w:jc w:val="center"/>
              <w:rPr>
                <w:rFonts w:ascii="Times New Roman" w:hAnsi="Times New Roman" w:cs="Times New Roman"/>
                <w:color w:val="000000"/>
              </w:rPr>
            </w:pPr>
            <w:r>
              <w:rPr>
                <w:rFonts w:ascii="Times New Roman" w:hAnsi="Times New Roman" w:cs="Times New Roman"/>
                <w:color w:val="000000"/>
              </w:rPr>
              <w:t>噪声</w:t>
            </w:r>
          </w:p>
        </w:tc>
        <w:tc>
          <w:tcPr>
            <w:tcW w:w="2954" w:type="dxa"/>
            <w:vAlign w:val="center"/>
          </w:tcPr>
          <w:p>
            <w:pPr>
              <w:contextualSpacing/>
              <w:rPr>
                <w:rFonts w:ascii="Times New Roman" w:hAnsi="Times New Roman" w:cs="Times New Roman"/>
              </w:rPr>
            </w:pPr>
            <w:r>
              <w:rPr>
                <w:rFonts w:ascii="Times New Roman" w:hAnsi="Times New Roman" w:cs="Times New Roman"/>
              </w:rPr>
              <w:t>基础减振、室内屏蔽、安装消声器以及吸声材料</w:t>
            </w:r>
          </w:p>
        </w:tc>
        <w:tc>
          <w:tcPr>
            <w:tcW w:w="3481" w:type="dxa"/>
            <w:vAlign w:val="center"/>
          </w:tcPr>
          <w:p>
            <w:pPr>
              <w:contextualSpacing/>
              <w:rPr>
                <w:rFonts w:ascii="Times New Roman" w:hAnsi="Times New Roman" w:cs="Times New Roman"/>
              </w:rPr>
            </w:pPr>
            <w:r>
              <w:rPr>
                <w:rFonts w:ascii="Times New Roman" w:hAnsi="Times New Roman" w:cs="Times New Roman"/>
              </w:rPr>
              <w:t>本项目</w:t>
            </w:r>
            <w:r>
              <w:rPr>
                <w:rFonts w:ascii="Times New Roman" w:hAnsi="Times New Roman" w:cs="Times New Roman"/>
                <w:bCs/>
              </w:rPr>
              <w:t>通过设低噪声设备，基础减震，厂房隔声；各类水泵泵体基础设橡胶垫，管道间采取柔性连接方式；各风机出口安装消声器等措施，</w:t>
            </w:r>
            <w:r>
              <w:rPr>
                <w:rFonts w:ascii="Times New Roman" w:hAnsi="Times New Roman" w:cs="Times New Roman"/>
              </w:rPr>
              <w:t>厂界噪声昼间为59.3-64.3dB（A），夜间噪声范围为51.3-54.5dB（A），均未超过《工业企业厂界环境噪声排放标准》GB12348-2008中3类标准，即昼间65dB(A)、夜间55dB(A)的要求。</w:t>
            </w:r>
          </w:p>
        </w:tc>
      </w:tr>
    </w:tbl>
    <w:p>
      <w:pPr>
        <w:pStyle w:val="38"/>
        <w:snapToGrid w:val="0"/>
        <w:spacing w:before="0" w:beforeAutospacing="0" w:after="0" w:afterAutospacing="0" w:line="500" w:lineRule="exact"/>
        <w:ind w:firstLine="480" w:firstLineChars="200"/>
        <w:jc w:val="both"/>
        <w:rPr>
          <w:rFonts w:ascii="Times New Roman" w:hAnsi="Times New Roman" w:cs="Times New Roman"/>
          <w:bCs/>
          <w:color w:val="000000"/>
          <w:sz w:val="20"/>
          <w:szCs w:val="20"/>
        </w:rPr>
      </w:pPr>
      <w:r>
        <w:rPr>
          <w:rFonts w:ascii="Times New Roman" w:hAnsi="Times New Roman" w:cs="Times New Roman"/>
          <w:color w:val="000000"/>
          <w:sz w:val="24"/>
          <w:szCs w:val="24"/>
        </w:rPr>
        <w:t>环保设施实际建设情况与环评批复要求对照见表3。</w:t>
      </w:r>
    </w:p>
    <w:p>
      <w:pPr>
        <w:pStyle w:val="38"/>
        <w:snapToGrid w:val="0"/>
        <w:spacing w:before="0" w:beforeAutospacing="0" w:after="0" w:afterAutospacing="0" w:line="500" w:lineRule="exact"/>
        <w:jc w:val="center"/>
        <w:rPr>
          <w:rFonts w:ascii="Times New Roman" w:hAnsi="Times New Roman" w:cs="Times New Roman"/>
          <w:b/>
          <w:color w:val="000000"/>
        </w:rPr>
      </w:pPr>
      <w:r>
        <w:rPr>
          <w:rFonts w:ascii="Times New Roman" w:hAnsi="Times New Roman" w:cs="Times New Roman"/>
          <w:b/>
          <w:color w:val="000000"/>
        </w:rPr>
        <w:t>表3环保设施实际建设情况与环评批复要求对照表</w:t>
      </w:r>
    </w:p>
    <w:tbl>
      <w:tblPr>
        <w:tblStyle w:val="21"/>
        <w:tblW w:w="92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4179"/>
        <w:gridCol w:w="4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633" w:type="dxa"/>
            <w:vAlign w:val="center"/>
          </w:tcPr>
          <w:p>
            <w:pPr>
              <w:jc w:val="center"/>
              <w:rPr>
                <w:rFonts w:ascii="Times New Roman" w:hAnsi="Times New Roman" w:cs="Times New Roman"/>
                <w:b/>
              </w:rPr>
            </w:pPr>
            <w:r>
              <w:rPr>
                <w:rFonts w:ascii="Times New Roman" w:hAnsi="Times New Roman" w:cs="Times New Roman"/>
                <w:b/>
              </w:rPr>
              <w:t>序号</w:t>
            </w:r>
          </w:p>
        </w:tc>
        <w:tc>
          <w:tcPr>
            <w:tcW w:w="4179" w:type="dxa"/>
            <w:vAlign w:val="center"/>
          </w:tcPr>
          <w:p>
            <w:pPr>
              <w:jc w:val="center"/>
              <w:rPr>
                <w:rFonts w:ascii="Times New Roman" w:hAnsi="Times New Roman" w:cs="Times New Roman"/>
                <w:b/>
              </w:rPr>
            </w:pPr>
            <w:r>
              <w:rPr>
                <w:rFonts w:ascii="Times New Roman" w:hAnsi="Times New Roman" w:cs="Times New Roman"/>
                <w:b/>
              </w:rPr>
              <w:t>环评批复要求措施</w:t>
            </w:r>
          </w:p>
        </w:tc>
        <w:tc>
          <w:tcPr>
            <w:tcW w:w="4396" w:type="dxa"/>
            <w:vAlign w:val="center"/>
          </w:tcPr>
          <w:p>
            <w:pPr>
              <w:jc w:val="center"/>
              <w:rPr>
                <w:rFonts w:ascii="Times New Roman" w:hAnsi="Times New Roman" w:cs="Times New Roman"/>
                <w:b/>
              </w:rPr>
            </w:pPr>
            <w:r>
              <w:rPr>
                <w:rFonts w:ascii="Times New Roman" w:hAnsi="Times New Roman" w:cs="Times New Roman"/>
                <w:b/>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33" w:type="dxa"/>
            <w:vAlign w:val="center"/>
          </w:tcPr>
          <w:p>
            <w:pPr>
              <w:jc w:val="center"/>
              <w:rPr>
                <w:rFonts w:ascii="Times New Roman" w:hAnsi="Times New Roman" w:cs="Times New Roman"/>
              </w:rPr>
            </w:pPr>
            <w:r>
              <w:rPr>
                <w:rFonts w:ascii="Times New Roman" w:hAnsi="Times New Roman" w:cs="Times New Roman"/>
              </w:rPr>
              <w:t>1</w:t>
            </w:r>
          </w:p>
        </w:tc>
        <w:tc>
          <w:tcPr>
            <w:tcW w:w="4179" w:type="dxa"/>
            <w:vAlign w:val="center"/>
          </w:tcPr>
          <w:p>
            <w:pPr>
              <w:spacing w:line="276" w:lineRule="auto"/>
              <w:rPr>
                <w:rFonts w:ascii="Times New Roman" w:hAnsi="Times New Roman" w:cs="Times New Roman"/>
              </w:rPr>
            </w:pPr>
            <w:r>
              <w:rPr>
                <w:rFonts w:ascii="Times New Roman" w:hAnsi="Times New Roman" w:cs="Times New Roman"/>
                <w:spacing w:val="4"/>
              </w:rPr>
              <w:t>废气经低氮燃烧器+烟气再循环+SCR脱硝、石灰石－石膏湿法脱硫后排放。</w:t>
            </w:r>
          </w:p>
        </w:tc>
        <w:tc>
          <w:tcPr>
            <w:tcW w:w="4396" w:type="dxa"/>
            <w:vAlign w:val="center"/>
          </w:tcPr>
          <w:p>
            <w:pPr>
              <w:spacing w:line="276" w:lineRule="auto"/>
              <w:rPr>
                <w:rFonts w:ascii="Times New Roman" w:hAnsi="Times New Roman" w:cs="Times New Roman"/>
              </w:rPr>
            </w:pPr>
            <w:r>
              <w:rPr>
                <w:rFonts w:ascii="Times New Roman" w:hAnsi="Times New Roman" w:cs="Times New Roman"/>
                <w:spacing w:val="4"/>
              </w:rPr>
              <w:t>废气经低氮燃烧器+烟气再循环+SCR脱硝、石灰石－石膏湿法脱硫后排放，满足排放标准限值要求。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633" w:type="dxa"/>
            <w:vAlign w:val="center"/>
          </w:tcPr>
          <w:p>
            <w:pPr>
              <w:jc w:val="center"/>
              <w:rPr>
                <w:rFonts w:ascii="Times New Roman" w:hAnsi="Times New Roman" w:cs="Times New Roman"/>
              </w:rPr>
            </w:pPr>
            <w:r>
              <w:rPr>
                <w:rFonts w:ascii="Times New Roman" w:hAnsi="Times New Roman" w:cs="Times New Roman"/>
              </w:rPr>
              <w:t>2</w:t>
            </w:r>
          </w:p>
        </w:tc>
        <w:tc>
          <w:tcPr>
            <w:tcW w:w="4179" w:type="dxa"/>
            <w:vAlign w:val="center"/>
          </w:tcPr>
          <w:p>
            <w:pPr>
              <w:spacing w:line="276" w:lineRule="auto"/>
              <w:rPr>
                <w:rFonts w:ascii="Times New Roman" w:hAnsi="Times New Roman" w:cs="Times New Roman"/>
              </w:rPr>
            </w:pPr>
            <w:r>
              <w:rPr>
                <w:rFonts w:ascii="Times New Roman" w:hAnsi="Times New Roman" w:cs="Times New Roman"/>
              </w:rPr>
              <w:t>废水经厂区管网送太钢污水处理厂统一处理。</w:t>
            </w:r>
          </w:p>
        </w:tc>
        <w:tc>
          <w:tcPr>
            <w:tcW w:w="4396" w:type="dxa"/>
            <w:vAlign w:val="center"/>
          </w:tcPr>
          <w:p>
            <w:pPr>
              <w:spacing w:line="276" w:lineRule="auto"/>
              <w:rPr>
                <w:rFonts w:ascii="Times New Roman" w:hAnsi="Times New Roman" w:cs="Times New Roman"/>
              </w:rPr>
            </w:pPr>
            <w:r>
              <w:rPr>
                <w:rFonts w:ascii="Times New Roman" w:hAnsi="Times New Roman" w:cs="Times New Roman"/>
              </w:rPr>
              <w:t>废水经厂区管网送太钢污水处理厂统一处理。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633" w:type="dxa"/>
            <w:vAlign w:val="center"/>
          </w:tcPr>
          <w:p>
            <w:pPr>
              <w:jc w:val="center"/>
              <w:rPr>
                <w:rFonts w:ascii="Times New Roman" w:hAnsi="Times New Roman" w:cs="Times New Roman"/>
              </w:rPr>
            </w:pPr>
            <w:r>
              <w:rPr>
                <w:rFonts w:ascii="Times New Roman" w:hAnsi="Times New Roman" w:cs="Times New Roman"/>
              </w:rPr>
              <w:t>3</w:t>
            </w:r>
          </w:p>
        </w:tc>
        <w:tc>
          <w:tcPr>
            <w:tcW w:w="4179" w:type="dxa"/>
            <w:vAlign w:val="center"/>
          </w:tcPr>
          <w:p>
            <w:pPr>
              <w:spacing w:line="276" w:lineRule="auto"/>
              <w:rPr>
                <w:rFonts w:ascii="Times New Roman" w:hAnsi="Times New Roman" w:cs="Times New Roman"/>
              </w:rPr>
            </w:pPr>
            <w:r>
              <w:rPr>
                <w:rFonts w:ascii="Times New Roman" w:hAnsi="Times New Roman" w:cs="Times New Roman"/>
              </w:rPr>
              <w:t>废机油由太钢加工厂收集后送有资质单位处置。</w:t>
            </w:r>
          </w:p>
        </w:tc>
        <w:tc>
          <w:tcPr>
            <w:tcW w:w="4396" w:type="dxa"/>
            <w:vAlign w:val="center"/>
          </w:tcPr>
          <w:p>
            <w:pPr>
              <w:spacing w:line="276" w:lineRule="auto"/>
              <w:rPr>
                <w:rFonts w:ascii="Times New Roman" w:hAnsi="Times New Roman" w:cs="Times New Roman"/>
              </w:rPr>
            </w:pPr>
            <w:r>
              <w:rPr>
                <w:rFonts w:ascii="Times New Roman" w:hAnsi="Times New Roman" w:cs="Times New Roman"/>
              </w:rPr>
              <w:t>废机油由太钢加工厂收集后送有资质单位处置。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imes New Roman" w:hAnsi="Times New Roman" w:cs="Times New Roman"/>
              </w:rPr>
            </w:pPr>
            <w:r>
              <w:rPr>
                <w:rFonts w:ascii="Times New Roman" w:hAnsi="Times New Roman" w:cs="Times New Roman"/>
              </w:rPr>
              <w:t>4</w:t>
            </w:r>
          </w:p>
        </w:tc>
        <w:tc>
          <w:tcPr>
            <w:tcW w:w="4179" w:type="dxa"/>
            <w:vAlign w:val="center"/>
          </w:tcPr>
          <w:p>
            <w:pPr>
              <w:spacing w:line="276" w:lineRule="auto"/>
              <w:rPr>
                <w:rFonts w:ascii="Times New Roman" w:hAnsi="Times New Roman" w:cs="Times New Roman"/>
              </w:rPr>
            </w:pPr>
            <w:r>
              <w:rPr>
                <w:rFonts w:ascii="Times New Roman" w:hAnsi="Times New Roman" w:cs="Times New Roman"/>
              </w:rPr>
              <w:t>脱硫石膏由太钢能源动力总厂石膏生产线生产为石膏粉后统一外售，全部综合利用。</w:t>
            </w:r>
          </w:p>
        </w:tc>
        <w:tc>
          <w:tcPr>
            <w:tcW w:w="4396" w:type="dxa"/>
            <w:vAlign w:val="center"/>
          </w:tcPr>
          <w:p>
            <w:pPr>
              <w:spacing w:line="276" w:lineRule="auto"/>
              <w:rPr>
                <w:rFonts w:ascii="Times New Roman" w:hAnsi="Times New Roman" w:cs="Times New Roman"/>
              </w:rPr>
            </w:pPr>
            <w:r>
              <w:rPr>
                <w:rFonts w:ascii="Times New Roman" w:hAnsi="Times New Roman" w:cs="Times New Roman"/>
              </w:rPr>
              <w:t>脱硫石膏由太钢能源动力总厂石膏生产线生产为石膏粉后统一外售，全部综合利用。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imes New Roman" w:hAnsi="Times New Roman" w:cs="Times New Roman"/>
              </w:rPr>
            </w:pPr>
            <w:r>
              <w:rPr>
                <w:rFonts w:ascii="Times New Roman" w:hAnsi="Times New Roman" w:cs="Times New Roman"/>
              </w:rPr>
              <w:t>5</w:t>
            </w:r>
          </w:p>
        </w:tc>
        <w:tc>
          <w:tcPr>
            <w:tcW w:w="4179" w:type="dxa"/>
            <w:vAlign w:val="center"/>
          </w:tcPr>
          <w:p>
            <w:pPr>
              <w:spacing w:line="276" w:lineRule="auto"/>
              <w:rPr>
                <w:rFonts w:ascii="Times New Roman" w:hAnsi="Times New Roman" w:cs="Times New Roman"/>
              </w:rPr>
            </w:pPr>
            <w:r>
              <w:rPr>
                <w:rFonts w:ascii="Times New Roman" w:hAnsi="Times New Roman" w:cs="Times New Roman"/>
              </w:rPr>
              <w:t>更换的废催化剂由催化剂生产厂家统一回收。</w:t>
            </w:r>
          </w:p>
        </w:tc>
        <w:tc>
          <w:tcPr>
            <w:tcW w:w="4396" w:type="dxa"/>
            <w:vAlign w:val="center"/>
          </w:tcPr>
          <w:p>
            <w:pPr>
              <w:spacing w:line="276" w:lineRule="auto"/>
              <w:rPr>
                <w:rFonts w:ascii="Times New Roman" w:hAnsi="Times New Roman" w:cs="Times New Roman"/>
              </w:rPr>
            </w:pPr>
            <w:r>
              <w:rPr>
                <w:rFonts w:ascii="Times New Roman" w:hAnsi="Times New Roman" w:cs="Times New Roman"/>
              </w:rPr>
              <w:t>更换的废催化剂由催化剂生产厂家统一回收。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imes New Roman" w:hAnsi="Times New Roman" w:cs="Times New Roman"/>
              </w:rPr>
            </w:pPr>
            <w:r>
              <w:rPr>
                <w:rFonts w:ascii="Times New Roman" w:hAnsi="Times New Roman" w:cs="Times New Roman"/>
              </w:rPr>
              <w:t>6</w:t>
            </w:r>
          </w:p>
        </w:tc>
        <w:tc>
          <w:tcPr>
            <w:tcW w:w="4179" w:type="dxa"/>
            <w:vAlign w:val="center"/>
          </w:tcPr>
          <w:p>
            <w:pPr>
              <w:spacing w:line="276" w:lineRule="auto"/>
              <w:rPr>
                <w:rFonts w:ascii="Times New Roman" w:hAnsi="Times New Roman" w:cs="Times New Roman"/>
              </w:rPr>
            </w:pPr>
            <w:r>
              <w:rPr>
                <w:rFonts w:ascii="Times New Roman" w:hAnsi="Times New Roman" w:cs="Times New Roman"/>
                <w:bCs/>
              </w:rPr>
              <w:t>生活垃圾统一由公司拉运至环卫部门指定场所处置。</w:t>
            </w:r>
          </w:p>
        </w:tc>
        <w:tc>
          <w:tcPr>
            <w:tcW w:w="4396" w:type="dxa"/>
            <w:vAlign w:val="center"/>
          </w:tcPr>
          <w:p>
            <w:pPr>
              <w:spacing w:line="276" w:lineRule="auto"/>
              <w:rPr>
                <w:rFonts w:ascii="Times New Roman" w:hAnsi="Times New Roman" w:cs="Times New Roman"/>
              </w:rPr>
            </w:pPr>
            <w:r>
              <w:rPr>
                <w:rFonts w:ascii="Times New Roman" w:hAnsi="Times New Roman" w:cs="Times New Roman"/>
                <w:bCs/>
              </w:rPr>
              <w:t>生活垃圾统一由公司拉运至环卫部门指定场所处置。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imes New Roman" w:hAnsi="Times New Roman" w:cs="Times New Roman"/>
              </w:rPr>
            </w:pPr>
            <w:r>
              <w:rPr>
                <w:rFonts w:ascii="Times New Roman" w:hAnsi="Times New Roman" w:cs="Times New Roman"/>
              </w:rPr>
              <w:t>7</w:t>
            </w:r>
          </w:p>
        </w:tc>
        <w:tc>
          <w:tcPr>
            <w:tcW w:w="4179" w:type="dxa"/>
            <w:vAlign w:val="center"/>
          </w:tcPr>
          <w:p>
            <w:pPr>
              <w:spacing w:line="276" w:lineRule="auto"/>
              <w:rPr>
                <w:rFonts w:ascii="Times New Roman" w:hAnsi="Times New Roman" w:cs="Times New Roman"/>
                <w:bCs/>
              </w:rPr>
            </w:pPr>
            <w:r>
              <w:rPr>
                <w:rFonts w:ascii="Times New Roman" w:hAnsi="Times New Roman" w:cs="Times New Roman"/>
              </w:rPr>
              <w:t>设低噪声设备，基础减震，厂房隔声；各类水泵泵体基础设橡胶垫，管道间采取柔性连接方式；各风机出口安装消声器。</w:t>
            </w:r>
          </w:p>
        </w:tc>
        <w:tc>
          <w:tcPr>
            <w:tcW w:w="4396" w:type="dxa"/>
            <w:vAlign w:val="center"/>
          </w:tcPr>
          <w:p>
            <w:pPr>
              <w:spacing w:line="276" w:lineRule="auto"/>
              <w:rPr>
                <w:rFonts w:ascii="Times New Roman" w:hAnsi="Times New Roman" w:cs="Times New Roman"/>
                <w:bCs/>
              </w:rPr>
            </w:pPr>
            <w:r>
              <w:rPr>
                <w:rFonts w:ascii="Times New Roman" w:hAnsi="Times New Roman" w:cs="Times New Roman"/>
                <w:bCs/>
              </w:rPr>
              <w:t>通过设低噪声设备，基础减震，厂房隔声；各类水泵泵体基础设橡胶垫，管道间采取柔性连接方式；各风机出口安装消声器等措施，厂界噪声满足《工业企业厂界环境噪声排放标准》（GB12348-2008）3类标准。</w:t>
            </w:r>
          </w:p>
        </w:tc>
      </w:tr>
    </w:tbl>
    <w:p>
      <w:pPr>
        <w:pStyle w:val="38"/>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bookmarkStart w:id="65" w:name="_Toc86072660"/>
      <w:r>
        <w:rPr>
          <w:rFonts w:ascii="Times New Roman" w:hAnsi="Times New Roman" w:cs="Times New Roman"/>
          <w:b/>
          <w:color w:val="000000"/>
          <w:sz w:val="28"/>
          <w:szCs w:val="28"/>
        </w:rPr>
        <w:t>四、环境保护设施调试效果</w:t>
      </w:r>
      <w:bookmarkEnd w:id="65"/>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（一）环保设施处理效率</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项目调试运行期间，各项环保设施均运行正常，环保设施运行符合环境影响报告表及其环评批复的要求。</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（二）污染物排放情况</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1、废气：本项目燃气锅炉燃烧煤气产生的烟气，经过脱硝系统和脱硫系统处理后，经60m高烟囱排放。本次环保验收对脱硝系统进口、脱硫系统进、出口烟气分别进行监测，根据监测结果知，脱硫系统出口烟气中颗粒物折算浓度的范围为ND-1.4mg/m³，SO</w:t>
      </w:r>
      <w:r>
        <w:rPr>
          <w:rFonts w:ascii="Times New Roman" w:hAnsi="Times New Roman" w:cs="Times New Roman"/>
          <w:sz w:val="24"/>
          <w:szCs w:val="24"/>
          <w:vertAlign w:val="subscript"/>
        </w:rPr>
        <w:t>2</w:t>
      </w:r>
      <w:r>
        <w:rPr>
          <w:rFonts w:ascii="Times New Roman" w:hAnsi="Times New Roman" w:cs="Times New Roman"/>
          <w:sz w:val="24"/>
          <w:szCs w:val="24"/>
        </w:rPr>
        <w:t>折算浓度低于检出限，满足《关于推进实施钢铁行业超低排放的意见》附表2颗粒物＜10mg/m³、SO</w:t>
      </w:r>
      <w:r>
        <w:rPr>
          <w:rFonts w:ascii="Times New Roman" w:hAnsi="Times New Roman" w:cs="Times New Roman"/>
          <w:sz w:val="24"/>
          <w:szCs w:val="24"/>
          <w:vertAlign w:val="subscript"/>
        </w:rPr>
        <w:t>2</w:t>
      </w:r>
      <w:r>
        <w:rPr>
          <w:rFonts w:ascii="Times New Roman" w:hAnsi="Times New Roman" w:cs="Times New Roman"/>
          <w:sz w:val="24"/>
          <w:szCs w:val="24"/>
        </w:rPr>
        <w:t>浓度＜35mg/m³的标准限值要求。NOx折算浓度的范围为14-20mg/m³，满足《关于推进生物质锅炉超低排放改造和燃气锅炉低氮改造的通知》（并环改办发[2018]18号）中超低氮排放浓度NOx＜30mg/m³的标准限值要求。氨折算浓度的范围为1.17-1.72mg/m³，满足《关于印发山西省打赢蓝天保卫战2020年决战计划的通知》中SCR工艺脱硝设施氨逃逸指标小于2.5mg/m³的标准限值要求。</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2、厂界噪声</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厂界噪声验收监测结果表明：监测期间厂界噪声范围为昼间：59.3-64.3dB（A），夜间噪声范围为：51.3-54.5dB（A）。监测结果达到《工业企业厂界环境噪声排放标准》（GB12348-2008）3类标准。</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3、固体废物</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（1）一般固体废弃物：</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本项目生产过程中产生的固体废物脱硫石膏由太钢能源动力总厂石膏生产线生产为石膏粉后统一外售，全部综合利用。锅炉烟气脱硝SCR系统更换的废催化剂全部由催化剂生产厂家回收利用。</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本项目产生的生活垃圾，统一收集后由当地环卫部门统一处理。</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（2）危险固体废弃物：</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废机油由太钢加工厂统一收集后送有资质单位处理。</w:t>
      </w:r>
    </w:p>
    <w:p>
      <w:pPr>
        <w:pStyle w:val="38"/>
        <w:snapToGrid w:val="0"/>
        <w:spacing w:before="0" w:beforeAutospacing="0" w:after="0" w:afterAutospacing="0" w:line="500" w:lineRule="exact"/>
        <w:ind w:firstLine="562" w:firstLineChars="200"/>
        <w:jc w:val="both"/>
        <w:rPr>
          <w:rFonts w:ascii="Times New Roman" w:hAnsi="Times New Roman" w:cs="Times New Roman"/>
          <w:b/>
          <w:color w:val="000000"/>
          <w:kern w:val="2"/>
          <w:sz w:val="28"/>
          <w:szCs w:val="28"/>
        </w:rPr>
      </w:pPr>
      <w:r>
        <w:rPr>
          <w:rFonts w:ascii="Times New Roman" w:hAnsi="Times New Roman" w:cs="Times New Roman"/>
          <w:b/>
          <w:color w:val="000000"/>
          <w:kern w:val="2"/>
          <w:sz w:val="28"/>
          <w:szCs w:val="28"/>
        </w:rPr>
        <w:t>五、污染物排放总量</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经校核，本项目颗粒物排放量为2.92t/a，氮氧化物排放量为40.48t/a，二氧化硫排放浓度低于检出限，低于技改前排放总量，且低于变更前后环评预测排放总量。综上所述，本项目污染物实际排放总量满足变更前后环评报告表及审批部门审批决定规定的总量控制指标。</w:t>
      </w:r>
    </w:p>
    <w:p>
      <w:pPr>
        <w:pStyle w:val="38"/>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bookmarkStart w:id="66" w:name="_Toc86072661"/>
      <w:r>
        <w:rPr>
          <w:rFonts w:ascii="Times New Roman" w:hAnsi="Times New Roman" w:cs="Times New Roman"/>
          <w:b/>
          <w:color w:val="000000"/>
          <w:sz w:val="28"/>
          <w:szCs w:val="28"/>
        </w:rPr>
        <w:t>六、工程建设对环境的影响</w:t>
      </w:r>
      <w:bookmarkEnd w:id="66"/>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项目生产废水统一处理利用不外排；各大气污染物排放源采取有效措施净化；产噪设备采取隔声、降噪等措施控制；各类固废采取相应处置措施。据验收监测结果可知，各污染物满足达标排放，周围环境质量可达到验收执行标准。工程建设对周围环境产生的影响较小。</w:t>
      </w:r>
    </w:p>
    <w:p>
      <w:pPr>
        <w:pStyle w:val="38"/>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bookmarkStart w:id="67" w:name="_Toc86072662"/>
      <w:r>
        <w:rPr>
          <w:rFonts w:ascii="Times New Roman" w:hAnsi="Times New Roman" w:cs="Times New Roman"/>
          <w:b/>
          <w:color w:val="000000"/>
          <w:sz w:val="28"/>
          <w:szCs w:val="28"/>
        </w:rPr>
        <w:t>七、验收结论</w:t>
      </w:r>
      <w:bookmarkEnd w:id="67"/>
    </w:p>
    <w:p>
      <w:pPr>
        <w:spacing w:line="460" w:lineRule="exact"/>
        <w:ind w:firstLine="480" w:firstLineChars="200"/>
        <w:rPr>
          <w:rFonts w:ascii="Times New Roman" w:hAnsi="Times New Roman" w:cs="Times New Roman"/>
          <w:sz w:val="24"/>
          <w:szCs w:val="24"/>
        </w:rPr>
      </w:pPr>
      <w:bookmarkStart w:id="68" w:name="_Hlk38860454"/>
      <w:r>
        <w:rPr>
          <w:rFonts w:ascii="Times New Roman" w:hAnsi="Times New Roman" w:cs="Times New Roman"/>
          <w:sz w:val="24"/>
          <w:szCs w:val="24"/>
        </w:rPr>
        <w:t>山西太钢不锈钢股份有限公司</w:t>
      </w:r>
      <w:bookmarkEnd w:id="68"/>
      <w:r>
        <w:rPr>
          <w:rFonts w:ascii="Times New Roman" w:hAnsi="Times New Roman" w:cs="Times New Roman"/>
          <w:sz w:val="24"/>
          <w:szCs w:val="24"/>
        </w:rPr>
        <w:t>煤气锅炉升级改造项目进行了环境影响评价，报告表经经太原市环境保护局尖草坪分局批复。项目基本按照环评及其批复要求进行了建设。验收监测结果表明，污染物可以做到达标排放，符合总量控制指标要求，不存在国家规定的验收不合格情形。验收组认为，本项目竣工环境保护验收为基本合格。</w:t>
      </w:r>
    </w:p>
    <w:p>
      <w:pPr>
        <w:pStyle w:val="38"/>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bookmarkStart w:id="69" w:name="_Toc86072663"/>
      <w:r>
        <w:rPr>
          <w:rFonts w:ascii="Times New Roman" w:hAnsi="Times New Roman" w:cs="Times New Roman"/>
          <w:b/>
          <w:color w:val="000000"/>
          <w:sz w:val="28"/>
          <w:szCs w:val="28"/>
        </w:rPr>
        <w:t>八、后续要求</w:t>
      </w:r>
      <w:bookmarkEnd w:id="69"/>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加强环保设施的运行管理，设立运行台账，定期维修，确保各环节的污染物稳定达标排放。</w:t>
      </w:r>
    </w:p>
    <w:p>
      <w:pPr>
        <w:spacing w:line="500" w:lineRule="exact"/>
        <w:ind w:firstLine="562" w:firstLineChars="200"/>
        <w:rPr>
          <w:rFonts w:ascii="Times New Roman" w:hAnsi="Times New Roman" w:cs="Times New Roman"/>
          <w:b/>
          <w:sz w:val="28"/>
          <w:szCs w:val="28"/>
        </w:rPr>
      </w:pPr>
      <w:r>
        <w:rPr>
          <w:rFonts w:ascii="Times New Roman" w:hAnsi="Times New Roman" w:cs="Times New Roman"/>
          <w:b/>
          <w:sz w:val="28"/>
          <w:szCs w:val="28"/>
        </w:rPr>
        <w:t>九、验收人员信息</w:t>
      </w:r>
    </w:p>
    <w:p>
      <w:pPr>
        <w:spacing w:line="460" w:lineRule="exact"/>
        <w:ind w:firstLine="480" w:firstLineChars="200"/>
        <w:rPr>
          <w:rFonts w:ascii="Times New Roman" w:hAnsi="Times New Roman" w:cs="Times New Roman"/>
          <w:sz w:val="24"/>
          <w:szCs w:val="24"/>
        </w:rPr>
      </w:pPr>
      <w:r>
        <w:rPr>
          <w:rFonts w:ascii="Times New Roman" w:hAnsi="Times New Roman" w:cs="Times New Roman"/>
          <w:sz w:val="24"/>
          <w:szCs w:val="24"/>
        </w:rPr>
        <w:t>见附表。</w:t>
      </w:r>
    </w:p>
    <w:p>
      <w:pPr>
        <w:spacing w:line="460" w:lineRule="exact"/>
        <w:ind w:firstLine="480" w:firstLineChars="200"/>
        <w:rPr>
          <w:rFonts w:ascii="Times New Roman" w:hAnsi="Times New Roman" w:cs="Times New Roman"/>
          <w:sz w:val="24"/>
          <w:szCs w:val="24"/>
        </w:rPr>
      </w:pPr>
    </w:p>
    <w:p>
      <w:pPr>
        <w:spacing w:line="460" w:lineRule="exact"/>
        <w:ind w:firstLine="480" w:firstLineChars="200"/>
        <w:rPr>
          <w:rFonts w:ascii="Times New Roman" w:hAnsi="Times New Roman" w:cs="Times New Roman"/>
        </w:rPr>
      </w:pPr>
      <w:r>
        <w:rPr>
          <w:rFonts w:ascii="Times New Roman" w:hAnsi="Times New Roman" w:cs="Times New Roman"/>
          <w:sz w:val="24"/>
          <w:szCs w:val="24"/>
        </w:rPr>
        <w:t xml:space="preserve">                                          2021年9月29日</w:t>
      </w:r>
    </w:p>
    <w:sectPr>
      <w:pgSz w:w="11906" w:h="16838"/>
      <w:pgMar w:top="1440" w:right="1457" w:bottom="1440" w:left="145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2"/>
      <w:rPr>
        <w:rFonts w:cs="Tahoma"/>
      </w:rPr>
    </w:pPr>
    <w:r>
      <w:rPr>
        <w:rFonts w:ascii="Calibri" w:hAnsi="Calibri" w:eastAsia="宋体" w:cs="Calibri"/>
        <w:kern w:val="2"/>
        <w:sz w:val="18"/>
        <w:szCs w:val="18"/>
        <w:lang w:val="en-US" w:eastAsia="zh-CN" w:bidi="ar-SA"/>
      </w:rPr>
      <w:pict>
        <v:shape id="Quad Arrow 1"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12"/>
                  <w:rPr>
                    <w:rFonts w:cs="Tahoma"/>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2"/>
      <w:rPr>
        <w:rFonts w:cs="Tahoma"/>
      </w:rPr>
    </w:pPr>
    <w:r>
      <w:rPr>
        <w:rFonts w:ascii="Calibri" w:hAnsi="Calibri" w:eastAsia="宋体" w:cs="Calibri"/>
        <w:kern w:val="2"/>
        <w:sz w:val="18"/>
        <w:szCs w:val="18"/>
        <w:lang w:val="en-US" w:eastAsia="zh-CN" w:bidi="ar-SA"/>
      </w:rPr>
      <w:pict>
        <v:shape id="Quad Arrow 3" o:spid="_x0000_s1026" type="#_x0000_t202" style="position:absolute;left:0;margin-top:0pt;height:144pt;width:144pt;mso-position-horizontal:center;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12"/>
                  <w:rPr>
                    <w:rFonts w:cs="Tahoma"/>
                  </w:rPr>
                </w:pPr>
                <w:r>
                  <w:fldChar w:fldCharType="begin"/>
                </w:r>
                <w:r>
                  <w:instrText xml:space="preserve"> PAGE  \* MERGEFORMAT </w:instrText>
                </w:r>
                <w:r>
                  <w:fldChar w:fldCharType="separate"/>
                </w:r>
                <w:r>
                  <w:t>4</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2"/>
      <w:jc w:val="center"/>
    </w:pPr>
    <w:r>
      <w:fldChar w:fldCharType="begin"/>
    </w:r>
    <w:r>
      <w:instrText xml:space="preserve">PAGE   \* MERGEFORMAT</w:instrText>
    </w:r>
    <w:r>
      <w:fldChar w:fldCharType="separate"/>
    </w:r>
    <w:r>
      <w:rPr>
        <w:lang w:val="zh-CN"/>
      </w:rPr>
      <w:t>24</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2"/>
      <w:tabs>
        <w:tab w:val="center" w:pos="7176"/>
        <w:tab w:val="left" w:pos="8362"/>
      </w:tabs>
      <w:jc w:val="both"/>
      <w:rPr>
        <w:rFonts w:ascii="宋体" w:cs="Tahoma"/>
        <w:sz w:val="21"/>
        <w:szCs w:val="21"/>
      </w:rPr>
    </w:pPr>
    <w:r>
      <w:rPr>
        <w:rFonts w:ascii="Calibri" w:hAnsi="Calibri" w:eastAsia="宋体" w:cs="Calibri"/>
        <w:kern w:val="2"/>
        <w:sz w:val="18"/>
        <w:szCs w:val="18"/>
        <w:lang w:val="en-US" w:eastAsia="zh-CN" w:bidi="ar-SA"/>
      </w:rPr>
      <w:pict>
        <v:shape id="Quad Arrow 6" o:spid="_x0000_s1027" type="#_x0000_t202" style="position:absolute;left:0;margin-top:0pt;height:144pt;width:144pt;mso-position-horizontal:center;mso-position-horizontal-relative:margin;mso-wrap-style:none;rotation:0f;z-index:251660288;"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12"/>
                  <w:rPr>
                    <w:rFonts w:cs="Tahoma"/>
                  </w:rPr>
                </w:pPr>
                <w:r>
                  <w:fldChar w:fldCharType="begin"/>
                </w:r>
                <w:r>
                  <w:instrText xml:space="preserve"> PAGE  \* MERGEFORMAT </w:instrText>
                </w:r>
                <w:r>
                  <w:fldChar w:fldCharType="separate"/>
                </w:r>
                <w:r>
                  <w:t>32</w:t>
                </w:r>
                <w:r>
                  <w:fldChar w:fldCharType="end"/>
                </w:r>
              </w:p>
            </w:txbxContent>
          </v:textbox>
          <w10:anchorlock/>
        </v:shape>
      </w:pict>
    </w:r>
    <w:r>
      <w:rPr>
        <w:rFonts w:ascii="宋体" w:cs="Tahoma"/>
        <w:sz w:val="28"/>
        <w:szCs w:val="28"/>
      </w:rPr>
      <w:tab/>
    </w:r>
    <w:r>
      <w:rPr>
        <w:rFonts w:ascii="宋体" w:cs="Tahoma"/>
        <w:sz w:val="28"/>
        <w:szCs w:val="28"/>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2"/>
      <w:jc w:val="center"/>
    </w:pPr>
    <w:r>
      <w:fldChar w:fldCharType="begin"/>
    </w:r>
    <w:r>
      <w:instrText xml:space="preserve">PAGE   \* MERGEFORMAT</w:instrText>
    </w:r>
    <w:r>
      <w:fldChar w:fldCharType="separate"/>
    </w:r>
    <w:r>
      <w:rPr>
        <w:lang w:val="zh-CN"/>
      </w:rPr>
      <w:t>2</w:t>
    </w:r>
    <w:r>
      <w:fldChar w:fldCharType="end"/>
    </w:r>
  </w:p>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2"/>
      <w:framePr w:wrap="around" w:vAnchor="text" w:hAnchor="margin" w:xAlign="center" w:y="1"/>
      <w:rPr>
        <w:rStyle w:val="58"/>
        <w:rFonts w:ascii="Times New Roman" w:hAnsi="Times New Roman" w:cs="Times New Roman"/>
      </w:rPr>
    </w:pPr>
    <w:r>
      <w:rPr>
        <w:rFonts w:ascii="Times New Roman" w:hAnsi="Times New Roman" w:cs="Times New Roman"/>
      </w:rPr>
      <w:fldChar w:fldCharType="begin"/>
    </w:r>
    <w:r>
      <w:rPr>
        <w:rStyle w:val="58"/>
        <w:rFonts w:ascii="Times New Roman" w:hAnsi="Times New Roman" w:cs="Times New Roman"/>
      </w:rPr>
      <w:instrText xml:space="preserve">PAGE  </w:instrText>
    </w:r>
    <w:r>
      <w:rPr>
        <w:rFonts w:ascii="Times New Roman" w:hAnsi="Times New Roman" w:cs="Times New Roman"/>
      </w:rPr>
      <w:fldChar w:fldCharType="separate"/>
    </w:r>
    <w:r>
      <w:rPr>
        <w:rStyle w:val="58"/>
        <w:rFonts w:ascii="Times New Roman" w:hAnsi="Times New Roman" w:cs="Times New Roman"/>
      </w:rPr>
      <w:t>10</w:t>
    </w:r>
    <w:r>
      <w:rPr>
        <w:rFonts w:ascii="Times New Roman" w:hAnsi="Times New Roman" w:cs="Times New Roman"/>
      </w:rP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3"/>
      <w:rPr>
        <w:rFonts w:cs="Tahoma"/>
      </w:rPr>
    </w:pPr>
    <w:r>
      <w:rPr>
        <w:rFonts w:hint="eastAsia" w:cs="宋体"/>
      </w:rPr>
      <w:t>山西太钢不锈钢股份有限公司煤气锅炉升级改造项目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920991465">
    <w:nsid w:val="36E536E9"/>
    <w:multiLevelType w:val="multilevel"/>
    <w:tmpl w:val="36E536E9"/>
    <w:lvl w:ilvl="0" w:tentative="1">
      <w:start w:val="1"/>
      <w:numFmt w:val="decimal"/>
      <w:pStyle w:val="34"/>
      <w:suff w:val="space"/>
      <w:lvlText w:val="表%1"/>
      <w:lvlJc w:val="left"/>
      <w:pPr>
        <w:ind w:left="284"/>
      </w:pPr>
      <w:rPr>
        <w:rFonts w:hint="eastAsia" w:ascii="黑体" w:hAnsi="黑体" w:eastAsia="黑体"/>
        <w:b/>
        <w:bCs/>
        <w:i w:val="0"/>
        <w:iCs w:val="0"/>
        <w:sz w:val="30"/>
        <w:szCs w:val="30"/>
      </w:rPr>
    </w:lvl>
    <w:lvl w:ilvl="1" w:tentative="1">
      <w:start w:val="1"/>
      <w:numFmt w:val="decimal"/>
      <w:suff w:val="space"/>
      <w:lvlText w:val="%1.%2"/>
      <w:lvlJc w:val="left"/>
      <w:pPr>
        <w:ind w:left="-1560"/>
      </w:pPr>
      <w:rPr>
        <w:rFonts w:hint="default" w:ascii="Times New Roman" w:hAnsi="Times New Roman" w:eastAsia="宋体"/>
        <w:b/>
        <w:bCs/>
        <w:i w:val="0"/>
        <w:iCs w:val="0"/>
        <w:sz w:val="28"/>
        <w:szCs w:val="28"/>
      </w:rPr>
    </w:lvl>
    <w:lvl w:ilvl="2" w:tentative="1">
      <w:start w:val="1"/>
      <w:numFmt w:val="decimal"/>
      <w:suff w:val="space"/>
      <w:lvlText w:val="%1.%2.%3"/>
      <w:lvlJc w:val="left"/>
      <w:pPr>
        <w:ind w:left="-1560"/>
      </w:pPr>
      <w:rPr>
        <w:rFonts w:hint="eastAsia" w:ascii="Times New Roman" w:hAnsi="Times New Roman" w:cs="Times New Roman"/>
        <w:b w:val="0"/>
        <w:bCs w:val="0"/>
        <w:i w:val="0"/>
        <w:iCs w:val="0"/>
        <w:caps w:val="0"/>
        <w:smallCaps w:val="0"/>
        <w:strike w:val="0"/>
        <w:dstrike w:val="0"/>
        <w:snapToGrid w:val="0"/>
        <w:spacing w:val="0"/>
        <w:position w:val="0"/>
        <w:u w:val="none"/>
      </w:rPr>
    </w:lvl>
    <w:lvl w:ilvl="3" w:tentative="1">
      <w:start w:val="1"/>
      <w:numFmt w:val="decimal"/>
      <w:lvlText w:val="%1.%2.%3.%4"/>
      <w:lvlJc w:val="left"/>
      <w:pPr>
        <w:tabs>
          <w:tab w:val="left" w:pos="-760"/>
        </w:tabs>
        <w:ind w:left="-1560"/>
      </w:pPr>
      <w:rPr>
        <w:rFonts w:hint="eastAsia"/>
      </w:rPr>
    </w:lvl>
    <w:lvl w:ilvl="4" w:tentative="1">
      <w:start w:val="1"/>
      <w:numFmt w:val="decimal"/>
      <w:lvlText w:val="%1.%2.%3.%4.%5"/>
      <w:lvlJc w:val="left"/>
      <w:pPr>
        <w:tabs>
          <w:tab w:val="left" w:pos="1621"/>
        </w:tabs>
        <w:ind w:left="1391" w:hanging="850"/>
      </w:pPr>
      <w:rPr>
        <w:rFonts w:hint="eastAsia"/>
      </w:rPr>
    </w:lvl>
    <w:lvl w:ilvl="5" w:tentative="1">
      <w:start w:val="1"/>
      <w:numFmt w:val="decimal"/>
      <w:lvlText w:val="%1.%2.%3.%4.%5.%6"/>
      <w:lvlJc w:val="left"/>
      <w:pPr>
        <w:tabs>
          <w:tab w:val="left" w:pos="2406"/>
        </w:tabs>
        <w:ind w:left="2100" w:hanging="1134"/>
      </w:pPr>
      <w:rPr>
        <w:rFonts w:hint="eastAsia"/>
      </w:rPr>
    </w:lvl>
    <w:lvl w:ilvl="6" w:tentative="1">
      <w:start w:val="1"/>
      <w:numFmt w:val="decimal"/>
      <w:lvlText w:val="%1.%2.%3.%4.%5.%6.%7"/>
      <w:lvlJc w:val="left"/>
      <w:pPr>
        <w:tabs>
          <w:tab w:val="left" w:pos="2831"/>
        </w:tabs>
        <w:ind w:left="2667" w:hanging="1276"/>
      </w:pPr>
      <w:rPr>
        <w:rFonts w:hint="eastAsia"/>
      </w:rPr>
    </w:lvl>
    <w:lvl w:ilvl="7" w:tentative="1">
      <w:start w:val="1"/>
      <w:numFmt w:val="decimal"/>
      <w:lvlText w:val="%1.%2.%3.%4.%5.%6.%7.%8"/>
      <w:lvlJc w:val="left"/>
      <w:pPr>
        <w:tabs>
          <w:tab w:val="left" w:pos="3616"/>
        </w:tabs>
        <w:ind w:left="3234" w:hanging="1418"/>
      </w:pPr>
      <w:rPr>
        <w:rFonts w:hint="eastAsia"/>
      </w:rPr>
    </w:lvl>
    <w:lvl w:ilvl="8" w:tentative="1">
      <w:start w:val="1"/>
      <w:numFmt w:val="decimal"/>
      <w:lvlText w:val="%1.%2.%3.%4.%5.%6.%7.%8.%9"/>
      <w:lvlJc w:val="left"/>
      <w:pPr>
        <w:tabs>
          <w:tab w:val="left" w:pos="4402"/>
        </w:tabs>
        <w:ind w:left="3942" w:hanging="1700"/>
      </w:pPr>
      <w:rPr>
        <w:rFonts w:hint="eastAsia"/>
      </w:rPr>
    </w:lvl>
  </w:abstractNum>
  <w:num w:numId="1">
    <w:abstractNumId w:val="9209914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splitPgBreakAndParaMark/>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987789"/>
    <w:rsid w:val="00000A48"/>
    <w:rsid w:val="000059F9"/>
    <w:rsid w:val="000105ED"/>
    <w:rsid w:val="00012501"/>
    <w:rsid w:val="00013E8E"/>
    <w:rsid w:val="0001458F"/>
    <w:rsid w:val="0001505E"/>
    <w:rsid w:val="00021F4E"/>
    <w:rsid w:val="00025900"/>
    <w:rsid w:val="000314FF"/>
    <w:rsid w:val="000324A7"/>
    <w:rsid w:val="00033290"/>
    <w:rsid w:val="000413FD"/>
    <w:rsid w:val="00042576"/>
    <w:rsid w:val="00046BB9"/>
    <w:rsid w:val="000526ED"/>
    <w:rsid w:val="00056CDF"/>
    <w:rsid w:val="00057B4D"/>
    <w:rsid w:val="0006075C"/>
    <w:rsid w:val="00062FF7"/>
    <w:rsid w:val="00064B27"/>
    <w:rsid w:val="00066BF1"/>
    <w:rsid w:val="000745BB"/>
    <w:rsid w:val="00074AC6"/>
    <w:rsid w:val="00075108"/>
    <w:rsid w:val="00085D94"/>
    <w:rsid w:val="00086B7A"/>
    <w:rsid w:val="00093EFF"/>
    <w:rsid w:val="00095BB9"/>
    <w:rsid w:val="000A1572"/>
    <w:rsid w:val="000A21BD"/>
    <w:rsid w:val="000A56DB"/>
    <w:rsid w:val="000B19B5"/>
    <w:rsid w:val="000B67FE"/>
    <w:rsid w:val="000C213A"/>
    <w:rsid w:val="000C41F1"/>
    <w:rsid w:val="000C5289"/>
    <w:rsid w:val="000D6170"/>
    <w:rsid w:val="000D72CB"/>
    <w:rsid w:val="000E1F39"/>
    <w:rsid w:val="000E1FA5"/>
    <w:rsid w:val="000E2B0E"/>
    <w:rsid w:val="000F0F4A"/>
    <w:rsid w:val="000F3C98"/>
    <w:rsid w:val="000F743C"/>
    <w:rsid w:val="00107E28"/>
    <w:rsid w:val="00110F8A"/>
    <w:rsid w:val="00116B4E"/>
    <w:rsid w:val="00117567"/>
    <w:rsid w:val="0011774D"/>
    <w:rsid w:val="0012620F"/>
    <w:rsid w:val="0012686A"/>
    <w:rsid w:val="00133642"/>
    <w:rsid w:val="001447B3"/>
    <w:rsid w:val="00145D9F"/>
    <w:rsid w:val="001521DC"/>
    <w:rsid w:val="00155C6F"/>
    <w:rsid w:val="001560B1"/>
    <w:rsid w:val="0016068C"/>
    <w:rsid w:val="0016158D"/>
    <w:rsid w:val="001662E2"/>
    <w:rsid w:val="00167308"/>
    <w:rsid w:val="00172D1A"/>
    <w:rsid w:val="00183414"/>
    <w:rsid w:val="001928DA"/>
    <w:rsid w:val="001964A4"/>
    <w:rsid w:val="00196CA9"/>
    <w:rsid w:val="001A2C58"/>
    <w:rsid w:val="001A4F7F"/>
    <w:rsid w:val="001B0D11"/>
    <w:rsid w:val="001B4AD8"/>
    <w:rsid w:val="001B5CA9"/>
    <w:rsid w:val="001B7857"/>
    <w:rsid w:val="001C23C3"/>
    <w:rsid w:val="001D6AF7"/>
    <w:rsid w:val="001E3ABD"/>
    <w:rsid w:val="001E3B7A"/>
    <w:rsid w:val="001E526C"/>
    <w:rsid w:val="001E6F3F"/>
    <w:rsid w:val="001F12C1"/>
    <w:rsid w:val="001F15E7"/>
    <w:rsid w:val="0020001F"/>
    <w:rsid w:val="00202ED9"/>
    <w:rsid w:val="00206253"/>
    <w:rsid w:val="00215B34"/>
    <w:rsid w:val="0022157D"/>
    <w:rsid w:val="00231633"/>
    <w:rsid w:val="00232E19"/>
    <w:rsid w:val="00233799"/>
    <w:rsid w:val="00234E5A"/>
    <w:rsid w:val="0023777D"/>
    <w:rsid w:val="00244EE3"/>
    <w:rsid w:val="00245889"/>
    <w:rsid w:val="002458B6"/>
    <w:rsid w:val="0024769D"/>
    <w:rsid w:val="002507F1"/>
    <w:rsid w:val="0025252D"/>
    <w:rsid w:val="00256E53"/>
    <w:rsid w:val="00263689"/>
    <w:rsid w:val="00263B80"/>
    <w:rsid w:val="00263DB8"/>
    <w:rsid w:val="002661B5"/>
    <w:rsid w:val="0027058F"/>
    <w:rsid w:val="00271F4C"/>
    <w:rsid w:val="00275A9C"/>
    <w:rsid w:val="00276D98"/>
    <w:rsid w:val="00277363"/>
    <w:rsid w:val="00280EAB"/>
    <w:rsid w:val="00287D11"/>
    <w:rsid w:val="00293C08"/>
    <w:rsid w:val="002976C7"/>
    <w:rsid w:val="002A0044"/>
    <w:rsid w:val="002A055D"/>
    <w:rsid w:val="002B0068"/>
    <w:rsid w:val="002B0A92"/>
    <w:rsid w:val="002B0BF9"/>
    <w:rsid w:val="002B0CF1"/>
    <w:rsid w:val="002B56A8"/>
    <w:rsid w:val="002B59CD"/>
    <w:rsid w:val="002B691C"/>
    <w:rsid w:val="002C273E"/>
    <w:rsid w:val="002C3078"/>
    <w:rsid w:val="002C3370"/>
    <w:rsid w:val="002C791A"/>
    <w:rsid w:val="002D1692"/>
    <w:rsid w:val="002D3149"/>
    <w:rsid w:val="002D5746"/>
    <w:rsid w:val="002D58DB"/>
    <w:rsid w:val="002D634E"/>
    <w:rsid w:val="002E2E6C"/>
    <w:rsid w:val="002E72C0"/>
    <w:rsid w:val="002F332B"/>
    <w:rsid w:val="002F4DC1"/>
    <w:rsid w:val="00305D7D"/>
    <w:rsid w:val="00310624"/>
    <w:rsid w:val="00310D21"/>
    <w:rsid w:val="00313E8B"/>
    <w:rsid w:val="0031621A"/>
    <w:rsid w:val="00316D97"/>
    <w:rsid w:val="003205C9"/>
    <w:rsid w:val="003232AA"/>
    <w:rsid w:val="00330F1F"/>
    <w:rsid w:val="003315CE"/>
    <w:rsid w:val="00334429"/>
    <w:rsid w:val="00341860"/>
    <w:rsid w:val="003453AF"/>
    <w:rsid w:val="00346B2F"/>
    <w:rsid w:val="00357270"/>
    <w:rsid w:val="003610AB"/>
    <w:rsid w:val="003704D1"/>
    <w:rsid w:val="00371454"/>
    <w:rsid w:val="00373885"/>
    <w:rsid w:val="00374ACF"/>
    <w:rsid w:val="00374AF7"/>
    <w:rsid w:val="003756FA"/>
    <w:rsid w:val="0037612E"/>
    <w:rsid w:val="00377B58"/>
    <w:rsid w:val="00380954"/>
    <w:rsid w:val="003816BA"/>
    <w:rsid w:val="00381D84"/>
    <w:rsid w:val="00391498"/>
    <w:rsid w:val="00393025"/>
    <w:rsid w:val="003A0E69"/>
    <w:rsid w:val="003A1AF5"/>
    <w:rsid w:val="003A2524"/>
    <w:rsid w:val="003B058D"/>
    <w:rsid w:val="003B166F"/>
    <w:rsid w:val="003C2B9A"/>
    <w:rsid w:val="003C4568"/>
    <w:rsid w:val="003D28A2"/>
    <w:rsid w:val="003D6C61"/>
    <w:rsid w:val="003D75FF"/>
    <w:rsid w:val="003E22F8"/>
    <w:rsid w:val="003E5889"/>
    <w:rsid w:val="003E5EC6"/>
    <w:rsid w:val="003E60BD"/>
    <w:rsid w:val="003F6A8E"/>
    <w:rsid w:val="00411CEA"/>
    <w:rsid w:val="00411FBF"/>
    <w:rsid w:val="004169E8"/>
    <w:rsid w:val="00417D78"/>
    <w:rsid w:val="00427160"/>
    <w:rsid w:val="00427CF1"/>
    <w:rsid w:val="0043343E"/>
    <w:rsid w:val="004338D8"/>
    <w:rsid w:val="00433D44"/>
    <w:rsid w:val="00435D5E"/>
    <w:rsid w:val="0044674C"/>
    <w:rsid w:val="00446A1B"/>
    <w:rsid w:val="0045538D"/>
    <w:rsid w:val="004677CF"/>
    <w:rsid w:val="00470F75"/>
    <w:rsid w:val="004763AC"/>
    <w:rsid w:val="00481C17"/>
    <w:rsid w:val="00486168"/>
    <w:rsid w:val="004A0A83"/>
    <w:rsid w:val="004A6516"/>
    <w:rsid w:val="004A7AD8"/>
    <w:rsid w:val="004B47B9"/>
    <w:rsid w:val="004B5FA4"/>
    <w:rsid w:val="004B77E9"/>
    <w:rsid w:val="004C4213"/>
    <w:rsid w:val="004C6888"/>
    <w:rsid w:val="004C7A11"/>
    <w:rsid w:val="004C7E7C"/>
    <w:rsid w:val="004D0BCB"/>
    <w:rsid w:val="004D5026"/>
    <w:rsid w:val="004D58BD"/>
    <w:rsid w:val="004D5FCC"/>
    <w:rsid w:val="004D6A98"/>
    <w:rsid w:val="004E3741"/>
    <w:rsid w:val="004F0A3C"/>
    <w:rsid w:val="004F0EFF"/>
    <w:rsid w:val="004F3DF2"/>
    <w:rsid w:val="004F4387"/>
    <w:rsid w:val="004F70A3"/>
    <w:rsid w:val="00502A59"/>
    <w:rsid w:val="00503A50"/>
    <w:rsid w:val="00505C16"/>
    <w:rsid w:val="00510A29"/>
    <w:rsid w:val="00515A91"/>
    <w:rsid w:val="005162DE"/>
    <w:rsid w:val="00525C17"/>
    <w:rsid w:val="0052785D"/>
    <w:rsid w:val="005302B3"/>
    <w:rsid w:val="00545E5F"/>
    <w:rsid w:val="005539DB"/>
    <w:rsid w:val="0055631E"/>
    <w:rsid w:val="005564C9"/>
    <w:rsid w:val="00564F74"/>
    <w:rsid w:val="00566D8E"/>
    <w:rsid w:val="00567703"/>
    <w:rsid w:val="0059213C"/>
    <w:rsid w:val="0059618C"/>
    <w:rsid w:val="005A2C7E"/>
    <w:rsid w:val="005B0F03"/>
    <w:rsid w:val="005B3843"/>
    <w:rsid w:val="005B5ADD"/>
    <w:rsid w:val="005B67CE"/>
    <w:rsid w:val="005C1B25"/>
    <w:rsid w:val="005C4608"/>
    <w:rsid w:val="005C6FCE"/>
    <w:rsid w:val="005D14AB"/>
    <w:rsid w:val="005D3919"/>
    <w:rsid w:val="005D4CD3"/>
    <w:rsid w:val="005E054C"/>
    <w:rsid w:val="005E1FA5"/>
    <w:rsid w:val="005E2D38"/>
    <w:rsid w:val="005E5E20"/>
    <w:rsid w:val="005E7A4A"/>
    <w:rsid w:val="005F4037"/>
    <w:rsid w:val="005F527F"/>
    <w:rsid w:val="00600BDA"/>
    <w:rsid w:val="00602CE7"/>
    <w:rsid w:val="0060392B"/>
    <w:rsid w:val="006059DB"/>
    <w:rsid w:val="00605A11"/>
    <w:rsid w:val="00607CF8"/>
    <w:rsid w:val="00610F77"/>
    <w:rsid w:val="00616940"/>
    <w:rsid w:val="00621CD6"/>
    <w:rsid w:val="006320E0"/>
    <w:rsid w:val="00633E1E"/>
    <w:rsid w:val="006354B0"/>
    <w:rsid w:val="0063646D"/>
    <w:rsid w:val="00640A25"/>
    <w:rsid w:val="006422F0"/>
    <w:rsid w:val="00643E43"/>
    <w:rsid w:val="00644AAC"/>
    <w:rsid w:val="00646B4E"/>
    <w:rsid w:val="00651395"/>
    <w:rsid w:val="00653FE0"/>
    <w:rsid w:val="006600F4"/>
    <w:rsid w:val="0066323B"/>
    <w:rsid w:val="006632F7"/>
    <w:rsid w:val="00664CD8"/>
    <w:rsid w:val="006743C7"/>
    <w:rsid w:val="00676F1A"/>
    <w:rsid w:val="00677478"/>
    <w:rsid w:val="006828AC"/>
    <w:rsid w:val="006832DF"/>
    <w:rsid w:val="00683DC7"/>
    <w:rsid w:val="00693C16"/>
    <w:rsid w:val="0069469E"/>
    <w:rsid w:val="006A22C6"/>
    <w:rsid w:val="006A2A2B"/>
    <w:rsid w:val="006B06C0"/>
    <w:rsid w:val="006B1F3D"/>
    <w:rsid w:val="006B682F"/>
    <w:rsid w:val="006B702E"/>
    <w:rsid w:val="006B7DE1"/>
    <w:rsid w:val="006C01CA"/>
    <w:rsid w:val="006C10A3"/>
    <w:rsid w:val="006C2733"/>
    <w:rsid w:val="006C4CE4"/>
    <w:rsid w:val="006D0C52"/>
    <w:rsid w:val="006D2EB8"/>
    <w:rsid w:val="006D6757"/>
    <w:rsid w:val="006D7212"/>
    <w:rsid w:val="006E19FA"/>
    <w:rsid w:val="006E67F3"/>
    <w:rsid w:val="006F6753"/>
    <w:rsid w:val="006F6D0A"/>
    <w:rsid w:val="007137A7"/>
    <w:rsid w:val="0071475C"/>
    <w:rsid w:val="00715B61"/>
    <w:rsid w:val="007228B1"/>
    <w:rsid w:val="00722BA9"/>
    <w:rsid w:val="0072397F"/>
    <w:rsid w:val="007239E6"/>
    <w:rsid w:val="00731D21"/>
    <w:rsid w:val="00732BBF"/>
    <w:rsid w:val="0074008A"/>
    <w:rsid w:val="0074104A"/>
    <w:rsid w:val="007425DB"/>
    <w:rsid w:val="0074273D"/>
    <w:rsid w:val="00750728"/>
    <w:rsid w:val="00750A54"/>
    <w:rsid w:val="007537EE"/>
    <w:rsid w:val="007648E0"/>
    <w:rsid w:val="007705CA"/>
    <w:rsid w:val="00772388"/>
    <w:rsid w:val="007764D4"/>
    <w:rsid w:val="007774F2"/>
    <w:rsid w:val="00784667"/>
    <w:rsid w:val="0079118A"/>
    <w:rsid w:val="00792986"/>
    <w:rsid w:val="00794806"/>
    <w:rsid w:val="00796E53"/>
    <w:rsid w:val="007A1873"/>
    <w:rsid w:val="007A2F4B"/>
    <w:rsid w:val="007B5579"/>
    <w:rsid w:val="007B7481"/>
    <w:rsid w:val="007C549C"/>
    <w:rsid w:val="007C6519"/>
    <w:rsid w:val="007C7D20"/>
    <w:rsid w:val="007D36C2"/>
    <w:rsid w:val="007D3820"/>
    <w:rsid w:val="007D4245"/>
    <w:rsid w:val="007D4308"/>
    <w:rsid w:val="007E4284"/>
    <w:rsid w:val="007E5D13"/>
    <w:rsid w:val="007E6B2F"/>
    <w:rsid w:val="007F3BF7"/>
    <w:rsid w:val="007F3D36"/>
    <w:rsid w:val="00802A6F"/>
    <w:rsid w:val="00805CA1"/>
    <w:rsid w:val="00806C28"/>
    <w:rsid w:val="00807D8B"/>
    <w:rsid w:val="00822A16"/>
    <w:rsid w:val="0082569C"/>
    <w:rsid w:val="00830B28"/>
    <w:rsid w:val="00831EE3"/>
    <w:rsid w:val="0083531C"/>
    <w:rsid w:val="00845908"/>
    <w:rsid w:val="008477A5"/>
    <w:rsid w:val="00847CAA"/>
    <w:rsid w:val="00851C0B"/>
    <w:rsid w:val="0085364E"/>
    <w:rsid w:val="008604D2"/>
    <w:rsid w:val="008632D4"/>
    <w:rsid w:val="008638EF"/>
    <w:rsid w:val="00863C96"/>
    <w:rsid w:val="00864547"/>
    <w:rsid w:val="00870995"/>
    <w:rsid w:val="00872942"/>
    <w:rsid w:val="0088315E"/>
    <w:rsid w:val="008836FA"/>
    <w:rsid w:val="0088375B"/>
    <w:rsid w:val="008851AE"/>
    <w:rsid w:val="00893143"/>
    <w:rsid w:val="008956CB"/>
    <w:rsid w:val="00897876"/>
    <w:rsid w:val="00897C17"/>
    <w:rsid w:val="008A05CA"/>
    <w:rsid w:val="008A2862"/>
    <w:rsid w:val="008A69B3"/>
    <w:rsid w:val="008A72C4"/>
    <w:rsid w:val="008B7FA1"/>
    <w:rsid w:val="008C1E0B"/>
    <w:rsid w:val="008C3EB7"/>
    <w:rsid w:val="008C68C7"/>
    <w:rsid w:val="008C7C1F"/>
    <w:rsid w:val="008D0369"/>
    <w:rsid w:val="008D0D3F"/>
    <w:rsid w:val="008D249C"/>
    <w:rsid w:val="008E58C7"/>
    <w:rsid w:val="008F5DB5"/>
    <w:rsid w:val="00913BA8"/>
    <w:rsid w:val="00922915"/>
    <w:rsid w:val="009259DA"/>
    <w:rsid w:val="00926AB2"/>
    <w:rsid w:val="009275DB"/>
    <w:rsid w:val="00941344"/>
    <w:rsid w:val="00942282"/>
    <w:rsid w:val="00944161"/>
    <w:rsid w:val="00944479"/>
    <w:rsid w:val="0094744B"/>
    <w:rsid w:val="00952C00"/>
    <w:rsid w:val="00953C47"/>
    <w:rsid w:val="0095421C"/>
    <w:rsid w:val="00962495"/>
    <w:rsid w:val="00963509"/>
    <w:rsid w:val="00964E53"/>
    <w:rsid w:val="00987789"/>
    <w:rsid w:val="00987FA3"/>
    <w:rsid w:val="00992350"/>
    <w:rsid w:val="00995DAB"/>
    <w:rsid w:val="009A0D57"/>
    <w:rsid w:val="009A6ADC"/>
    <w:rsid w:val="009B05DE"/>
    <w:rsid w:val="009C2ECF"/>
    <w:rsid w:val="009C48FF"/>
    <w:rsid w:val="009C572D"/>
    <w:rsid w:val="009C64EB"/>
    <w:rsid w:val="009D1F27"/>
    <w:rsid w:val="009D36AC"/>
    <w:rsid w:val="009D5E95"/>
    <w:rsid w:val="009E0477"/>
    <w:rsid w:val="009F021A"/>
    <w:rsid w:val="009F0518"/>
    <w:rsid w:val="009F0D89"/>
    <w:rsid w:val="009F74AF"/>
    <w:rsid w:val="00A01A53"/>
    <w:rsid w:val="00A046D9"/>
    <w:rsid w:val="00A10CC8"/>
    <w:rsid w:val="00A16DC9"/>
    <w:rsid w:val="00A23627"/>
    <w:rsid w:val="00A3173C"/>
    <w:rsid w:val="00A37250"/>
    <w:rsid w:val="00A37DA8"/>
    <w:rsid w:val="00A45954"/>
    <w:rsid w:val="00A47A96"/>
    <w:rsid w:val="00A510F9"/>
    <w:rsid w:val="00A51B66"/>
    <w:rsid w:val="00A53379"/>
    <w:rsid w:val="00A54247"/>
    <w:rsid w:val="00A5718B"/>
    <w:rsid w:val="00A62AD1"/>
    <w:rsid w:val="00A63DF4"/>
    <w:rsid w:val="00A66781"/>
    <w:rsid w:val="00A725B8"/>
    <w:rsid w:val="00A81C6C"/>
    <w:rsid w:val="00A82CE3"/>
    <w:rsid w:val="00A87377"/>
    <w:rsid w:val="00AA1095"/>
    <w:rsid w:val="00AB0CB8"/>
    <w:rsid w:val="00AB34AC"/>
    <w:rsid w:val="00AC03A5"/>
    <w:rsid w:val="00AC3B3E"/>
    <w:rsid w:val="00AC7EA0"/>
    <w:rsid w:val="00AD01B1"/>
    <w:rsid w:val="00AD3DC5"/>
    <w:rsid w:val="00AD6985"/>
    <w:rsid w:val="00AE0F02"/>
    <w:rsid w:val="00AE11D4"/>
    <w:rsid w:val="00AE49B2"/>
    <w:rsid w:val="00AE4B8F"/>
    <w:rsid w:val="00AE51AD"/>
    <w:rsid w:val="00AE65B3"/>
    <w:rsid w:val="00AF0CF3"/>
    <w:rsid w:val="00AF3501"/>
    <w:rsid w:val="00AF4069"/>
    <w:rsid w:val="00AF4771"/>
    <w:rsid w:val="00AF5327"/>
    <w:rsid w:val="00AF7099"/>
    <w:rsid w:val="00B01FAE"/>
    <w:rsid w:val="00B02BEB"/>
    <w:rsid w:val="00B0327B"/>
    <w:rsid w:val="00B07463"/>
    <w:rsid w:val="00B10141"/>
    <w:rsid w:val="00B101FD"/>
    <w:rsid w:val="00B1020F"/>
    <w:rsid w:val="00B1075F"/>
    <w:rsid w:val="00B11915"/>
    <w:rsid w:val="00B1446C"/>
    <w:rsid w:val="00B16F82"/>
    <w:rsid w:val="00B20847"/>
    <w:rsid w:val="00B23DA2"/>
    <w:rsid w:val="00B312A4"/>
    <w:rsid w:val="00B40336"/>
    <w:rsid w:val="00B457E7"/>
    <w:rsid w:val="00B46373"/>
    <w:rsid w:val="00B464FD"/>
    <w:rsid w:val="00B46B03"/>
    <w:rsid w:val="00B47B1E"/>
    <w:rsid w:val="00B47F8E"/>
    <w:rsid w:val="00B500E2"/>
    <w:rsid w:val="00B50B40"/>
    <w:rsid w:val="00B5313A"/>
    <w:rsid w:val="00B7281C"/>
    <w:rsid w:val="00B7332C"/>
    <w:rsid w:val="00B74658"/>
    <w:rsid w:val="00B77092"/>
    <w:rsid w:val="00B87D99"/>
    <w:rsid w:val="00B9044A"/>
    <w:rsid w:val="00B928C9"/>
    <w:rsid w:val="00B9297A"/>
    <w:rsid w:val="00B9417C"/>
    <w:rsid w:val="00B95A57"/>
    <w:rsid w:val="00BA09D0"/>
    <w:rsid w:val="00BA146E"/>
    <w:rsid w:val="00BA219C"/>
    <w:rsid w:val="00BB3F98"/>
    <w:rsid w:val="00BB44CC"/>
    <w:rsid w:val="00BB57AB"/>
    <w:rsid w:val="00BC05DF"/>
    <w:rsid w:val="00BC3D43"/>
    <w:rsid w:val="00BC742B"/>
    <w:rsid w:val="00BD04FD"/>
    <w:rsid w:val="00BD0693"/>
    <w:rsid w:val="00BD34C3"/>
    <w:rsid w:val="00BD4A5C"/>
    <w:rsid w:val="00BE0981"/>
    <w:rsid w:val="00BE1D6B"/>
    <w:rsid w:val="00BE3AD2"/>
    <w:rsid w:val="00BF0A74"/>
    <w:rsid w:val="00BF444F"/>
    <w:rsid w:val="00BF54B3"/>
    <w:rsid w:val="00BF54EA"/>
    <w:rsid w:val="00BF789F"/>
    <w:rsid w:val="00C013AB"/>
    <w:rsid w:val="00C04941"/>
    <w:rsid w:val="00C05EFC"/>
    <w:rsid w:val="00C06426"/>
    <w:rsid w:val="00C0643E"/>
    <w:rsid w:val="00C06C3D"/>
    <w:rsid w:val="00C06EA7"/>
    <w:rsid w:val="00C10022"/>
    <w:rsid w:val="00C10883"/>
    <w:rsid w:val="00C1706D"/>
    <w:rsid w:val="00C17AC7"/>
    <w:rsid w:val="00C21B56"/>
    <w:rsid w:val="00C30CE6"/>
    <w:rsid w:val="00C35836"/>
    <w:rsid w:val="00C41A6B"/>
    <w:rsid w:val="00C42E34"/>
    <w:rsid w:val="00C43AF6"/>
    <w:rsid w:val="00C50679"/>
    <w:rsid w:val="00C72B12"/>
    <w:rsid w:val="00C74EF0"/>
    <w:rsid w:val="00C81E1B"/>
    <w:rsid w:val="00C845B1"/>
    <w:rsid w:val="00C845E9"/>
    <w:rsid w:val="00C857A5"/>
    <w:rsid w:val="00C85D47"/>
    <w:rsid w:val="00C909CF"/>
    <w:rsid w:val="00C91474"/>
    <w:rsid w:val="00C91C2E"/>
    <w:rsid w:val="00C91F66"/>
    <w:rsid w:val="00C93270"/>
    <w:rsid w:val="00C93808"/>
    <w:rsid w:val="00C95B8F"/>
    <w:rsid w:val="00CA1DD9"/>
    <w:rsid w:val="00CA287A"/>
    <w:rsid w:val="00CA4112"/>
    <w:rsid w:val="00CB72CB"/>
    <w:rsid w:val="00CC17CA"/>
    <w:rsid w:val="00CC4986"/>
    <w:rsid w:val="00CC4D9C"/>
    <w:rsid w:val="00CC56F0"/>
    <w:rsid w:val="00CC72AA"/>
    <w:rsid w:val="00CD3B84"/>
    <w:rsid w:val="00CE17C6"/>
    <w:rsid w:val="00CE20E1"/>
    <w:rsid w:val="00CE63F6"/>
    <w:rsid w:val="00CF0C0A"/>
    <w:rsid w:val="00CF3610"/>
    <w:rsid w:val="00CF3BBF"/>
    <w:rsid w:val="00D01A81"/>
    <w:rsid w:val="00D025B0"/>
    <w:rsid w:val="00D12CE7"/>
    <w:rsid w:val="00D133A5"/>
    <w:rsid w:val="00D21DB1"/>
    <w:rsid w:val="00D248E9"/>
    <w:rsid w:val="00D25922"/>
    <w:rsid w:val="00D25C94"/>
    <w:rsid w:val="00D30A6C"/>
    <w:rsid w:val="00D31CA2"/>
    <w:rsid w:val="00D412B8"/>
    <w:rsid w:val="00D41981"/>
    <w:rsid w:val="00D539D7"/>
    <w:rsid w:val="00D55864"/>
    <w:rsid w:val="00D57C49"/>
    <w:rsid w:val="00D6027B"/>
    <w:rsid w:val="00D6685A"/>
    <w:rsid w:val="00D70A8A"/>
    <w:rsid w:val="00D73830"/>
    <w:rsid w:val="00D74197"/>
    <w:rsid w:val="00D8783A"/>
    <w:rsid w:val="00D87A60"/>
    <w:rsid w:val="00D9334C"/>
    <w:rsid w:val="00D96008"/>
    <w:rsid w:val="00D96974"/>
    <w:rsid w:val="00D96E81"/>
    <w:rsid w:val="00DB4EB6"/>
    <w:rsid w:val="00DC37CD"/>
    <w:rsid w:val="00DC7588"/>
    <w:rsid w:val="00DD23F0"/>
    <w:rsid w:val="00DD2B82"/>
    <w:rsid w:val="00DD78FE"/>
    <w:rsid w:val="00DE34E4"/>
    <w:rsid w:val="00DE40C8"/>
    <w:rsid w:val="00DE4343"/>
    <w:rsid w:val="00DF19DA"/>
    <w:rsid w:val="00DF1ED2"/>
    <w:rsid w:val="00E009C0"/>
    <w:rsid w:val="00E07315"/>
    <w:rsid w:val="00E101B3"/>
    <w:rsid w:val="00E10610"/>
    <w:rsid w:val="00E10E30"/>
    <w:rsid w:val="00E1271B"/>
    <w:rsid w:val="00E12B01"/>
    <w:rsid w:val="00E170E9"/>
    <w:rsid w:val="00E247D4"/>
    <w:rsid w:val="00E37C47"/>
    <w:rsid w:val="00E40CB3"/>
    <w:rsid w:val="00E42079"/>
    <w:rsid w:val="00E42592"/>
    <w:rsid w:val="00E42AAF"/>
    <w:rsid w:val="00E4672C"/>
    <w:rsid w:val="00E473F2"/>
    <w:rsid w:val="00E50B04"/>
    <w:rsid w:val="00E517A7"/>
    <w:rsid w:val="00E560AD"/>
    <w:rsid w:val="00E57C67"/>
    <w:rsid w:val="00E81146"/>
    <w:rsid w:val="00E82D63"/>
    <w:rsid w:val="00E97F2D"/>
    <w:rsid w:val="00EA51C9"/>
    <w:rsid w:val="00EA57BF"/>
    <w:rsid w:val="00EA5A52"/>
    <w:rsid w:val="00EC4CCF"/>
    <w:rsid w:val="00ED08A9"/>
    <w:rsid w:val="00ED4CA5"/>
    <w:rsid w:val="00ED6476"/>
    <w:rsid w:val="00EF1BAC"/>
    <w:rsid w:val="00EF56D4"/>
    <w:rsid w:val="00EF5CB0"/>
    <w:rsid w:val="00EF73DC"/>
    <w:rsid w:val="00F02B07"/>
    <w:rsid w:val="00F035A7"/>
    <w:rsid w:val="00F05044"/>
    <w:rsid w:val="00F11C46"/>
    <w:rsid w:val="00F13B16"/>
    <w:rsid w:val="00F14B35"/>
    <w:rsid w:val="00F14D9D"/>
    <w:rsid w:val="00F20AD0"/>
    <w:rsid w:val="00F248D1"/>
    <w:rsid w:val="00F24AE8"/>
    <w:rsid w:val="00F24DEA"/>
    <w:rsid w:val="00F30B44"/>
    <w:rsid w:val="00F43DB1"/>
    <w:rsid w:val="00F46635"/>
    <w:rsid w:val="00F50FBB"/>
    <w:rsid w:val="00F5236F"/>
    <w:rsid w:val="00F54C4A"/>
    <w:rsid w:val="00F64567"/>
    <w:rsid w:val="00F77D71"/>
    <w:rsid w:val="00F81F9D"/>
    <w:rsid w:val="00F854A3"/>
    <w:rsid w:val="00F90027"/>
    <w:rsid w:val="00F94C3D"/>
    <w:rsid w:val="00FA5717"/>
    <w:rsid w:val="00FA57DE"/>
    <w:rsid w:val="00FA5A4F"/>
    <w:rsid w:val="00FA77DF"/>
    <w:rsid w:val="00FB1165"/>
    <w:rsid w:val="00FB60A1"/>
    <w:rsid w:val="00FB6FD6"/>
    <w:rsid w:val="00FC7FDC"/>
    <w:rsid w:val="00FD6B6A"/>
    <w:rsid w:val="00FD7C1F"/>
    <w:rsid w:val="00FE00BF"/>
    <w:rsid w:val="00FE16FC"/>
    <w:rsid w:val="00FE37E0"/>
    <w:rsid w:val="00FE47CE"/>
    <w:rsid w:val="00FF7E56"/>
    <w:rsid w:val="04022584"/>
    <w:rsid w:val="05867289"/>
    <w:rsid w:val="08E47714"/>
    <w:rsid w:val="0C451C45"/>
    <w:rsid w:val="0CC14254"/>
    <w:rsid w:val="0DAE6209"/>
    <w:rsid w:val="10271921"/>
    <w:rsid w:val="19093BB1"/>
    <w:rsid w:val="1EAB352B"/>
    <w:rsid w:val="1F5C36CE"/>
    <w:rsid w:val="23D77898"/>
    <w:rsid w:val="23E82913"/>
    <w:rsid w:val="260169D5"/>
    <w:rsid w:val="27ED610A"/>
    <w:rsid w:val="297B2847"/>
    <w:rsid w:val="29CB3BF8"/>
    <w:rsid w:val="2F036140"/>
    <w:rsid w:val="2F662789"/>
    <w:rsid w:val="2FEC6148"/>
    <w:rsid w:val="30A508CF"/>
    <w:rsid w:val="311D30B1"/>
    <w:rsid w:val="31D01368"/>
    <w:rsid w:val="350C7C92"/>
    <w:rsid w:val="361C5AD4"/>
    <w:rsid w:val="36B03E02"/>
    <w:rsid w:val="36FA3051"/>
    <w:rsid w:val="37CE60C1"/>
    <w:rsid w:val="39901727"/>
    <w:rsid w:val="3A0C22A9"/>
    <w:rsid w:val="3B630FB0"/>
    <w:rsid w:val="3B707E51"/>
    <w:rsid w:val="3E636245"/>
    <w:rsid w:val="3F007CBD"/>
    <w:rsid w:val="42C71028"/>
    <w:rsid w:val="43293F6C"/>
    <w:rsid w:val="446B50EA"/>
    <w:rsid w:val="48CB414A"/>
    <w:rsid w:val="4A8D1018"/>
    <w:rsid w:val="4C456C68"/>
    <w:rsid w:val="508326AB"/>
    <w:rsid w:val="50B63D9D"/>
    <w:rsid w:val="538B622B"/>
    <w:rsid w:val="581509B1"/>
    <w:rsid w:val="5986218E"/>
    <w:rsid w:val="59F832C8"/>
    <w:rsid w:val="5A0D5B4B"/>
    <w:rsid w:val="5B350C9F"/>
    <w:rsid w:val="5B9A2073"/>
    <w:rsid w:val="5E133473"/>
    <w:rsid w:val="61E00E14"/>
    <w:rsid w:val="62340912"/>
    <w:rsid w:val="64164115"/>
    <w:rsid w:val="64800F51"/>
    <w:rsid w:val="68891EF2"/>
    <w:rsid w:val="6EF1453D"/>
    <w:rsid w:val="74CA1B97"/>
    <w:rsid w:val="7566534B"/>
    <w:rsid w:val="75D80296"/>
    <w:rsid w:val="77623701"/>
    <w:rsid w:val="7D4A5369"/>
    <w:rsid w:val="7FCE1B4F"/>
  </w:rsids>
  <w:doNotAutoCompressPicture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o:shapelayout v:ext="edit">
      <o:rules v:ext="edit">
        <o:r id="V:Rule1" type="connector" idref="#Straight Connector 131"/>
        <o:r id="V:Rule2" type="connector" idref="#Straight Connector 133"/>
        <o:r id="V:Rule3" type="connector" idref="#Straight Connector 135"/>
        <o:r id="V:Rule4" type="connector" idref="#Straight Connector 136"/>
        <o:r id="V:Rule5" type="connector" idref="#Straight Connector 137"/>
        <o:r id="V:Rule6" type="connector" idref="#Straight Connector 140"/>
        <o:r id="V:Rule7" type="connector" idref="#Straight Connector 141"/>
        <o:r id="V:Rule8" type="connector" idref="#Straight Connector 142"/>
        <o:r id="V:Rule9" type="connector" idref="#Straight Connector 143"/>
        <o:r id="V:Rule10" type="connector" idref="#Straight Connector 148"/>
        <o:r id="V:Rule11" type="connector" idref="#Straight Connector 149"/>
        <o:r id="V:Rule12" type="connector" idref="#Straight Connector 150"/>
        <o:r id="V:Rule13" type="connector" idref="#Straight Connector 154"/>
        <o:r id="V:Rule14" type="connector" idref="#Straight Connector 157"/>
        <o:r id="V:Rule15" type="connector" idref="#Straight Connector 159"/>
        <o:r id="V:Rule16" type="connector" idref="#Straight Connector 163"/>
        <o:r id="V:Rule17" type="connector" idref="#Straight Connector 165"/>
        <o:r id="V:Rule18" type="connector" idref="#Straight Connector 166"/>
        <o:r id="V:Rule19" type="connector" idref="#Straight Connector 156"/>
        <o:r id="V:Rule20" type="connector" idref="#Straight Connector 184"/>
        <o:r id="V:Rule21" type="connector" idref="#Straight Connector 186"/>
        <o:r id="V:Rule22" type="connector" idref="#Straight Connector 188"/>
        <o:r id="V:Rule23" type="connector" idref="#Straight Connector 192"/>
        <o:r id="V:Rule24" type="connector" idref="#Straight Connector 193"/>
        <o:r id="V:Rule25" type="connector" idref="#Straight Connector 23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39" w:semiHidden="0" w:name="toc 1"/>
    <w:lsdException w:unhideWhenUsed="0" w:uiPriority="39" w:semiHidden="0" w:name="toc 2"/>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0" w:name="footnote text"/>
    <w:lsdException w:unhideWhenUsed="0" w:uiPriority="99" w:name="annotation text"/>
    <w:lsdException w:unhideWhenUsed="0" w:uiPriority="99" w:semiHidden="0" w:name="header"/>
    <w:lsdException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99" w:semiHidden="0"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semiHidden="0" w:name="Default Paragraph Font"/>
    <w:lsdException w:unhideWhenUsed="0" w:uiPriority="99" w:semiHidden="0" w:name="Body Text"/>
    <w:lsdException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semiHidden="0" w:name="Body Text Indent 3"/>
    <w:lsdException w:uiPriority="0" w:name="Block Text"/>
    <w:lsdException w:unhideWhenUsed="0" w:uiPriority="99"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name="Balloon Text"/>
    <w:lsdException w:qFormat="1" w:unhideWhenUsed="0" w:uiPriority="5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ahoma"/>
      <w:sz w:val="21"/>
      <w:szCs w:val="21"/>
      <w:lang w:val="en-US" w:eastAsia="zh-CN" w:bidi="ar-SA"/>
    </w:rPr>
  </w:style>
  <w:style w:type="paragraph" w:styleId="4">
    <w:name w:val="heading 1"/>
    <w:basedOn w:val="1"/>
    <w:next w:val="1"/>
    <w:link w:val="46"/>
    <w:qFormat/>
    <w:uiPriority w:val="99"/>
    <w:pPr>
      <w:keepNext/>
      <w:keepLines/>
      <w:outlineLvl w:val="0"/>
    </w:pPr>
    <w:rPr>
      <w:b/>
      <w:bCs/>
      <w:kern w:val="44"/>
      <w:sz w:val="24"/>
      <w:szCs w:val="24"/>
    </w:rPr>
  </w:style>
  <w:style w:type="paragraph" w:styleId="5">
    <w:name w:val="heading 2"/>
    <w:basedOn w:val="1"/>
    <w:next w:val="1"/>
    <w:link w:val="61"/>
    <w:unhideWhenUsed/>
    <w:qFormat/>
    <w:locked/>
    <w:uiPriority w:val="0"/>
    <w:pPr>
      <w:keepNext/>
      <w:keepLines/>
      <w:spacing w:line="240" w:lineRule="auto"/>
      <w:outlineLvl w:val="1"/>
    </w:pPr>
    <w:rPr>
      <w:rFonts w:ascii="Cambria" w:hAnsi="Cambria" w:cs="Times New Roman"/>
      <w:b/>
      <w:bCs/>
      <w:sz w:val="24"/>
      <w:szCs w:val="32"/>
    </w:rPr>
  </w:style>
  <w:style w:type="character" w:default="1" w:styleId="17">
    <w:name w:val="Default Paragraph Font"/>
    <w:unhideWhenUsed/>
    <w:uiPriority w:val="1"/>
  </w:style>
  <w:style w:type="table" w:default="1" w:styleId="21">
    <w:name w:val="Normal Table"/>
    <w:unhideWhenUsed/>
    <w:uiPriority w:val="99"/>
    <w:tblPr>
      <w:tblStyle w:val="21"/>
      <w:tblLayout w:type="fixed"/>
      <w:tblCellMar>
        <w:top w:w="0" w:type="dxa"/>
        <w:left w:w="108" w:type="dxa"/>
        <w:bottom w:w="0" w:type="dxa"/>
        <w:right w:w="108" w:type="dxa"/>
      </w:tblCellMar>
    </w:tblPr>
    <w:tcPr>
      <w:textDirection w:val="lrTb"/>
    </w:tcPr>
  </w:style>
  <w:style w:type="paragraph" w:styleId="2">
    <w:name w:val="Body Text First Indent"/>
    <w:basedOn w:val="3"/>
    <w:link w:val="48"/>
    <w:uiPriority w:val="99"/>
    <w:pPr>
      <w:topLinePunct w:val="1"/>
      <w:spacing w:line="300" w:lineRule="exact"/>
      <w:textAlignment w:val="baseline"/>
    </w:pPr>
  </w:style>
  <w:style w:type="paragraph" w:styleId="3">
    <w:name w:val="Body Text"/>
    <w:basedOn w:val="1"/>
    <w:next w:val="1"/>
    <w:link w:val="47"/>
    <w:uiPriority w:val="99"/>
    <w:pPr>
      <w:spacing w:beforeLines="50"/>
      <w:jc w:val="center"/>
    </w:pPr>
    <w:rPr>
      <w:rFonts w:eastAsia="黑体"/>
      <w:spacing w:val="28"/>
    </w:rPr>
  </w:style>
  <w:style w:type="paragraph" w:styleId="6">
    <w:name w:val="annotation subject"/>
    <w:basedOn w:val="7"/>
    <w:next w:val="7"/>
    <w:link w:val="55"/>
    <w:semiHidden/>
    <w:uiPriority w:val="99"/>
    <w:pPr>
      <w:widowControl w:val="0"/>
      <w:snapToGrid/>
      <w:spacing w:beforeLines="50" w:line="480" w:lineRule="exact"/>
      <w:jc w:val="center"/>
    </w:pPr>
    <w:rPr>
      <w:rFonts w:ascii="Times New Roman" w:hAnsi="Times New Roman" w:eastAsia="黑体" w:cs="Times New Roman"/>
    </w:rPr>
  </w:style>
  <w:style w:type="paragraph" w:styleId="7">
    <w:name w:val="annotation text"/>
    <w:basedOn w:val="1"/>
    <w:link w:val="49"/>
    <w:semiHidden/>
    <w:uiPriority w:val="99"/>
  </w:style>
  <w:style w:type="paragraph" w:styleId="8">
    <w:name w:val="Normal Indent"/>
    <w:basedOn w:val="1"/>
    <w:next w:val="1"/>
    <w:link w:val="56"/>
    <w:qFormat/>
    <w:uiPriority w:val="0"/>
    <w:pPr>
      <w:widowControl w:val="0"/>
      <w:kinsoku w:val="0"/>
      <w:overflowPunct w:val="0"/>
      <w:topLinePunct w:val="1"/>
      <w:spacing w:line="300" w:lineRule="exact"/>
      <w:jc w:val="center"/>
    </w:pPr>
    <w:rPr>
      <w:rFonts w:ascii="Calibri" w:hAnsi="Calibri" w:cs="Calibri"/>
      <w:sz w:val="20"/>
      <w:szCs w:val="20"/>
    </w:rPr>
  </w:style>
  <w:style w:type="paragraph" w:styleId="9">
    <w:name w:val="Body Text Indent"/>
    <w:basedOn w:val="1"/>
    <w:link w:val="50"/>
    <w:uiPriority w:val="99"/>
    <w:pPr>
      <w:spacing w:line="500" w:lineRule="exact"/>
      <w:ind w:firstLine="420"/>
    </w:pPr>
    <w:rPr>
      <w:rFonts w:eastAsia="微软雅黑"/>
      <w:sz w:val="28"/>
      <w:szCs w:val="28"/>
    </w:rPr>
  </w:style>
  <w:style w:type="paragraph" w:styleId="10">
    <w:name w:val="Plain Text"/>
    <w:basedOn w:val="1"/>
    <w:link w:val="51"/>
    <w:uiPriority w:val="99"/>
    <w:pPr>
      <w:adjustRightInd/>
    </w:pPr>
    <w:rPr>
      <w:rFonts w:ascii="宋体" w:hAnsi="Courier New" w:cs="宋体"/>
      <w:sz w:val="20"/>
      <w:szCs w:val="20"/>
    </w:rPr>
  </w:style>
  <w:style w:type="paragraph" w:styleId="11">
    <w:name w:val="Balloon Text"/>
    <w:basedOn w:val="1"/>
    <w:link w:val="52"/>
    <w:semiHidden/>
    <w:uiPriority w:val="99"/>
    <w:rPr>
      <w:sz w:val="18"/>
      <w:szCs w:val="18"/>
    </w:rPr>
  </w:style>
  <w:style w:type="paragraph" w:styleId="12">
    <w:name w:val="footer"/>
    <w:basedOn w:val="1"/>
    <w:link w:val="53"/>
    <w:uiPriority w:val="0"/>
    <w:pPr>
      <w:widowControl w:val="0"/>
      <w:tabs>
        <w:tab w:val="center" w:pos="4153"/>
        <w:tab w:val="right" w:pos="8306"/>
      </w:tabs>
      <w:adjustRightInd/>
    </w:pPr>
    <w:rPr>
      <w:rFonts w:ascii="Calibri" w:hAnsi="Calibri" w:cs="Calibri"/>
      <w:kern w:val="2"/>
      <w:sz w:val="18"/>
      <w:szCs w:val="18"/>
    </w:rPr>
  </w:style>
  <w:style w:type="paragraph" w:styleId="13">
    <w:name w:val="header"/>
    <w:basedOn w:val="1"/>
    <w:link w:val="54"/>
    <w:uiPriority w:val="99"/>
    <w:pPr>
      <w:widowControl w:val="0"/>
      <w:pBdr>
        <w:bottom w:val="single" w:color="auto" w:sz="6" w:space="1"/>
      </w:pBdr>
      <w:tabs>
        <w:tab w:val="center" w:pos="4153"/>
        <w:tab w:val="right" w:pos="8306"/>
      </w:tabs>
      <w:adjustRightInd/>
      <w:jc w:val="center"/>
    </w:pPr>
    <w:rPr>
      <w:rFonts w:ascii="Calibri" w:hAnsi="Calibri" w:cs="Calibri"/>
      <w:kern w:val="2"/>
      <w:sz w:val="18"/>
      <w:szCs w:val="18"/>
    </w:rPr>
  </w:style>
  <w:style w:type="paragraph" w:styleId="14">
    <w:name w:val="toc 1"/>
    <w:basedOn w:val="1"/>
    <w:next w:val="1"/>
    <w:uiPriority w:val="39"/>
    <w:pPr>
      <w:widowControl w:val="0"/>
      <w:adjustRightInd/>
      <w:snapToGrid/>
      <w:jc w:val="both"/>
    </w:pPr>
    <w:rPr>
      <w:rFonts w:ascii="Calibri" w:hAnsi="Calibri" w:cs="Calibri"/>
      <w:kern w:val="2"/>
    </w:rPr>
  </w:style>
  <w:style w:type="paragraph" w:styleId="15">
    <w:name w:val="Body Text Indent 3"/>
    <w:basedOn w:val="1"/>
    <w:link w:val="65"/>
    <w:unhideWhenUsed/>
    <w:uiPriority w:val="0"/>
    <w:pPr>
      <w:spacing w:after="120"/>
      <w:ind w:left="420" w:leftChars="200"/>
    </w:pPr>
    <w:rPr>
      <w:sz w:val="16"/>
      <w:szCs w:val="16"/>
    </w:rPr>
  </w:style>
  <w:style w:type="paragraph" w:styleId="16">
    <w:name w:val="toc 2"/>
    <w:basedOn w:val="1"/>
    <w:next w:val="1"/>
    <w:uiPriority w:val="39"/>
    <w:pPr>
      <w:ind w:left="420" w:leftChars="200"/>
    </w:pPr>
  </w:style>
  <w:style w:type="character" w:styleId="18">
    <w:name w:val="page number"/>
    <w:basedOn w:val="17"/>
    <w:uiPriority w:val="99"/>
    <w:rPr/>
  </w:style>
  <w:style w:type="character" w:styleId="19">
    <w:name w:val="Hyperlink"/>
    <w:uiPriority w:val="99"/>
    <w:rPr>
      <w:color w:val="0000FF"/>
      <w:u w:val="single"/>
    </w:rPr>
  </w:style>
  <w:style w:type="character" w:styleId="20">
    <w:name w:val="annotation reference"/>
    <w:unhideWhenUsed/>
    <w:uiPriority w:val="99"/>
    <w:rPr>
      <w:sz w:val="21"/>
      <w:szCs w:val="21"/>
    </w:rPr>
  </w:style>
  <w:style w:type="table" w:styleId="22">
    <w:name w:val="Table Grid"/>
    <w:basedOn w:val="21"/>
    <w:qFormat/>
    <w:uiPriority w:val="59"/>
    <w:pPr/>
    <w:rPr>
      <w:rFonts w:cs="Calibri"/>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3">
    <w:name w:val="Table Theme"/>
    <w:basedOn w:val="21"/>
    <w:uiPriority w:val="99"/>
    <w:pPr>
      <w:widowControl w:val="0"/>
      <w:jc w:val="both"/>
    </w:pPr>
    <w:rPr>
      <w:rFonts w:cs="Calibri"/>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4">
    <w:name w:val="List Paragraph"/>
    <w:basedOn w:val="1"/>
    <w:qFormat/>
    <w:uiPriority w:val="34"/>
    <w:pPr>
      <w:widowControl w:val="0"/>
      <w:adjustRightInd/>
      <w:snapToGrid/>
      <w:ind w:firstLine="420" w:firstLineChars="200"/>
      <w:jc w:val="both"/>
    </w:pPr>
    <w:rPr>
      <w:rFonts w:ascii="Times New Roman" w:hAnsi="Times New Roman" w:cs="Times New Roman"/>
      <w:kern w:val="2"/>
    </w:rPr>
  </w:style>
  <w:style w:type="paragraph" w:customStyle="1" w:styleId="25">
    <w:name w:val="普通(网站)1"/>
    <w:basedOn w:val="1"/>
    <w:uiPriority w:val="99"/>
    <w:pPr>
      <w:adjustRightInd/>
      <w:snapToGrid/>
      <w:spacing w:before="100" w:beforeAutospacing="1" w:after="100" w:afterAutospacing="1"/>
    </w:pPr>
    <w:rPr>
      <w:rFonts w:ascii="宋体" w:hAnsi="宋体" w:cs="宋体"/>
    </w:rPr>
  </w:style>
  <w:style w:type="paragraph" w:customStyle="1" w:styleId="26">
    <w:name w:val="正文_0"/>
    <w:uiPriority w:val="99"/>
    <w:pPr>
      <w:widowControl w:val="0"/>
      <w:jc w:val="both"/>
    </w:pPr>
    <w:rPr>
      <w:rFonts w:ascii="Calibri" w:hAnsi="Calibri" w:eastAsia="宋体" w:cs="Calibri"/>
      <w:kern w:val="2"/>
      <w:sz w:val="21"/>
      <w:szCs w:val="21"/>
      <w:lang w:val="en-US" w:eastAsia="zh-CN" w:bidi="ar-SA"/>
    </w:rPr>
  </w:style>
  <w:style w:type="paragraph" w:customStyle="1" w:styleId="27">
    <w:name w:val="p0"/>
    <w:basedOn w:val="1"/>
    <w:uiPriority w:val="99"/>
    <w:pPr>
      <w:adjustRightInd/>
      <w:snapToGrid/>
    </w:pPr>
    <w:rPr>
      <w:rFonts w:ascii="Calibri" w:hAnsi="Calibri" w:cs="Calibri"/>
    </w:rPr>
  </w:style>
  <w:style w:type="paragraph" w:customStyle="1" w:styleId="28">
    <w:name w:val="表头"/>
    <w:basedOn w:val="1"/>
    <w:next w:val="1"/>
    <w:link w:val="57"/>
    <w:uiPriority w:val="99"/>
    <w:pPr>
      <w:widowControl w:val="0"/>
      <w:tabs>
        <w:tab w:val="left" w:pos="2760"/>
      </w:tabs>
      <w:jc w:val="center"/>
    </w:pPr>
    <w:rPr>
      <w:rFonts w:ascii="Calibri" w:hAnsi="Calibri" w:cs="Calibri"/>
      <w:b/>
      <w:bCs/>
    </w:rPr>
  </w:style>
  <w:style w:type="paragraph" w:customStyle="1" w:styleId="29">
    <w:name w:val="表格"/>
    <w:basedOn w:val="1"/>
    <w:uiPriority w:val="99"/>
    <w:pPr>
      <w:widowControl w:val="0"/>
      <w:adjustRightInd/>
      <w:snapToGrid/>
      <w:jc w:val="center"/>
    </w:pPr>
    <w:rPr>
      <w:rFonts w:ascii="Times New Roman" w:hAnsi="Times New Roman" w:cs="Times New Roman"/>
      <w:kern w:val="2"/>
    </w:rPr>
  </w:style>
  <w:style w:type="paragraph" w:customStyle="1" w:styleId="30">
    <w:name w:val="验收监测表 标题（左对齐）"/>
    <w:basedOn w:val="1"/>
    <w:uiPriority w:val="99"/>
    <w:pPr>
      <w:tabs>
        <w:tab w:val="left" w:pos="2760"/>
      </w:tabs>
      <w:spacing w:line="440" w:lineRule="atLeast"/>
      <w:ind w:firstLine="200" w:firstLineChars="200"/>
    </w:pPr>
    <w:rPr>
      <w:rFonts w:ascii="Calibri" w:hAnsi="Calibri" w:cs="Calibri"/>
    </w:rPr>
  </w:style>
  <w:style w:type="paragraph" w:customStyle="1" w:styleId="31">
    <w:name w:val="正文 New New New New New New New New New New New New New New New New New New New New New New New New New New New New New New New New New New New New New New New New New New New New New New New"/>
    <w:uiPriority w:val="99"/>
    <w:pPr>
      <w:widowControl w:val="0"/>
      <w:adjustRightInd w:val="0"/>
      <w:snapToGrid w:val="0"/>
      <w:spacing w:line="240" w:lineRule="atLeast"/>
      <w:jc w:val="both"/>
    </w:pPr>
    <w:rPr>
      <w:rFonts w:ascii="Times New Roman" w:hAnsi="Times New Roman" w:eastAsia="宋体" w:cs="Times New Roman"/>
      <w:kern w:val="2"/>
      <w:sz w:val="21"/>
      <w:szCs w:val="21"/>
      <w:lang w:val="en-US" w:eastAsia="zh-CN" w:bidi="ar-SA"/>
    </w:rPr>
  </w:style>
  <w:style w:type="paragraph" w:customStyle="1" w:styleId="32">
    <w:name w:val="正文 New"/>
    <w:uiPriority w:val="99"/>
    <w:pPr>
      <w:widowControl w:val="0"/>
      <w:spacing w:line="360" w:lineRule="auto"/>
      <w:jc w:val="both"/>
    </w:pPr>
    <w:rPr>
      <w:rFonts w:ascii="Times New Roman" w:hAnsi="Times New Roman" w:eastAsia="宋体" w:cs="Times New Roman"/>
      <w:kern w:val="2"/>
      <w:sz w:val="28"/>
      <w:szCs w:val="28"/>
      <w:lang w:val="en-US" w:eastAsia="zh-CN" w:bidi="ar-SA"/>
    </w:rPr>
  </w:style>
  <w:style w:type="paragraph" w:customStyle="1" w:styleId="33">
    <w:name w:val="表内标1"/>
    <w:basedOn w:val="1"/>
    <w:uiPriority w:val="99"/>
    <w:pPr>
      <w:spacing w:line="400" w:lineRule="exact"/>
      <w:jc w:val="center"/>
    </w:pPr>
    <w:rPr>
      <w:rFonts w:ascii="黑体" w:eastAsia="黑体" w:cs="黑体"/>
      <w:sz w:val="28"/>
      <w:szCs w:val="28"/>
    </w:rPr>
  </w:style>
  <w:style w:type="paragraph" w:customStyle="1" w:styleId="34">
    <w:name w:val="验收监测表 标题1"/>
    <w:basedOn w:val="4"/>
    <w:uiPriority w:val="99"/>
    <w:pPr>
      <w:numPr>
        <w:ilvl w:val="0"/>
        <w:numId w:val="1"/>
      </w:numPr>
      <w:tabs>
        <w:tab w:val="left" w:pos="480"/>
      </w:tabs>
      <w:spacing w:line="240" w:lineRule="auto"/>
    </w:pPr>
    <w:rPr>
      <w:rFonts w:eastAsia="黑体"/>
      <w:sz w:val="30"/>
      <w:szCs w:val="30"/>
    </w:rPr>
  </w:style>
  <w:style w:type="paragraph" w:customStyle="1" w:styleId="35">
    <w:name w:val="WPSOffice手动目录 1"/>
    <w:uiPriority w:val="99"/>
    <w:rPr>
      <w:rFonts w:ascii="Calibri" w:hAnsi="Calibri" w:eastAsia="宋体" w:cs="Calibri"/>
      <w:lang w:val="en-US" w:eastAsia="zh-CN" w:bidi="ar-SA"/>
    </w:rPr>
  </w:style>
  <w:style w:type="paragraph" w:customStyle="1" w:styleId="36">
    <w:name w:val="正文_12"/>
    <w:uiPriority w:val="99"/>
    <w:pPr>
      <w:widowControl w:val="0"/>
      <w:jc w:val="both"/>
    </w:pPr>
    <w:rPr>
      <w:rFonts w:ascii="Calibri" w:hAnsi="Calibri" w:eastAsia="宋体" w:cs="Calibri"/>
      <w:kern w:val="2"/>
      <w:sz w:val="21"/>
      <w:szCs w:val="21"/>
      <w:lang w:val="en-US" w:eastAsia="zh-CN" w:bidi="ar-SA"/>
    </w:rPr>
  </w:style>
  <w:style w:type="paragraph" w:customStyle="1" w:styleId="3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8">
    <w:name w:val="普通(网站)2"/>
    <w:basedOn w:val="1"/>
    <w:qFormat/>
    <w:uiPriority w:val="0"/>
    <w:pPr>
      <w:adjustRightInd/>
      <w:snapToGrid/>
      <w:spacing w:before="100" w:beforeAutospacing="1" w:after="100" w:afterAutospacing="1"/>
    </w:pPr>
    <w:rPr>
      <w:rFonts w:ascii="宋体" w:hAnsi="宋体" w:cs="宋体"/>
    </w:rPr>
  </w:style>
  <w:style w:type="paragraph" w:customStyle="1" w:styleId="39">
    <w:name w:val="无间隔1"/>
    <w:uiPriority w:val="99"/>
    <w:rPr>
      <w:rFonts w:ascii="Calibri" w:hAnsi="Calibri" w:eastAsia="宋体" w:cs="Calibri"/>
      <w:sz w:val="22"/>
      <w:szCs w:val="22"/>
      <w:lang w:val="en-US" w:eastAsia="zh-CN" w:bidi="ar-SA"/>
    </w:rPr>
  </w:style>
  <w:style w:type="paragraph" w:customStyle="1" w:styleId="40">
    <w:name w:val="表格文字"/>
    <w:basedOn w:val="1"/>
    <w:link w:val="59"/>
    <w:uiPriority w:val="99"/>
    <w:pPr>
      <w:widowControl w:val="0"/>
      <w:adjustRightInd/>
      <w:snapToGrid/>
      <w:spacing w:line="320" w:lineRule="exact"/>
      <w:jc w:val="both"/>
    </w:pPr>
    <w:rPr>
      <w:rFonts w:ascii="宋体" w:hAnsi="宋体" w:cs="宋体"/>
      <w:b/>
      <w:bCs/>
      <w:kern w:val="2"/>
    </w:rPr>
  </w:style>
  <w:style w:type="paragraph" w:customStyle="1" w:styleId="41">
    <w:name w:val="Char"/>
    <w:basedOn w:val="1"/>
    <w:uiPriority w:val="99"/>
    <w:pPr>
      <w:widowControl w:val="0"/>
      <w:adjustRightInd/>
      <w:ind w:firstLine="529" w:firstLineChars="200"/>
      <w:jc w:val="both"/>
    </w:pPr>
    <w:rPr>
      <w:rFonts w:ascii="宋体" w:hAnsi="宋体" w:cs="宋体"/>
      <w:b/>
      <w:bCs/>
      <w:kern w:val="2"/>
    </w:rPr>
  </w:style>
  <w:style w:type="paragraph" w:customStyle="1" w:styleId="42">
    <w:name w:val="【表中文字】"/>
    <w:basedOn w:val="1"/>
    <w:link w:val="62"/>
    <w:qFormat/>
    <w:uiPriority w:val="0"/>
    <w:pPr>
      <w:widowControl w:val="0"/>
      <w:adjustRightInd/>
      <w:snapToGrid/>
      <w:spacing w:line="240" w:lineRule="auto"/>
      <w:jc w:val="center"/>
    </w:pPr>
    <w:rPr>
      <w:rFonts w:ascii="Times New Roman" w:hAnsi="Times New Roman" w:cs="Times New Roman"/>
      <w:kern w:val="2"/>
      <w:szCs w:val="20"/>
    </w:rPr>
  </w:style>
  <w:style w:type="paragraph" w:customStyle="1" w:styleId="43">
    <w:name w:val="表格1-01"/>
    <w:basedOn w:val="1"/>
    <w:next w:val="9"/>
    <w:link w:val="63"/>
    <w:qFormat/>
    <w:uiPriority w:val="0"/>
    <w:pPr>
      <w:widowControl w:val="0"/>
      <w:tabs>
        <w:tab w:val="left" w:pos="625"/>
      </w:tabs>
      <w:overflowPunct w:val="0"/>
      <w:topLinePunct w:val="1"/>
      <w:spacing w:beforeLines="15" w:line="300" w:lineRule="auto"/>
      <w:ind w:left="-92" w:leftChars="-33" w:right="-81" w:rightChars="-29" w:firstLine="1"/>
      <w:jc w:val="center"/>
    </w:pPr>
    <w:rPr>
      <w:rFonts w:ascii="Calibri" w:hAnsi="Calibri" w:cs="Times New Roman"/>
    </w:rPr>
  </w:style>
  <w:style w:type="paragraph" w:customStyle="1" w:styleId="44">
    <w:name w:val="！！！正文格式"/>
    <w:basedOn w:val="1"/>
    <w:link w:val="64"/>
    <w:qFormat/>
    <w:uiPriority w:val="0"/>
    <w:pPr>
      <w:widowControl w:val="0"/>
      <w:snapToGrid/>
      <w:ind w:firstLine="544" w:firstLineChars="200"/>
      <w:jc w:val="both"/>
      <w:textAlignment w:val="baseline"/>
    </w:pPr>
    <w:rPr>
      <w:rFonts w:ascii="Times New Roman" w:hAnsi="Times New Roman" w:cs="Times New Roman"/>
      <w:sz w:val="24"/>
    </w:rPr>
  </w:style>
  <w:style w:type="paragraph" w:customStyle="1" w:styleId="45">
    <w:name w:val="表格新唐"/>
    <w:basedOn w:val="1"/>
    <w:uiPriority w:val="0"/>
    <w:pPr>
      <w:widowControl w:val="0"/>
      <w:adjustRightInd/>
      <w:snapToGrid/>
      <w:spacing w:line="320" w:lineRule="exact"/>
      <w:jc w:val="center"/>
    </w:pPr>
    <w:rPr>
      <w:rFonts w:ascii="Times New Roman" w:hAnsi="Times New Roman" w:cs="Times New Roman"/>
      <w:color w:val="0000FF"/>
      <w:kern w:val="2"/>
    </w:rPr>
  </w:style>
  <w:style w:type="character" w:customStyle="1" w:styleId="46">
    <w:name w:val="标题 1 字符"/>
    <w:link w:val="4"/>
    <w:uiPriority w:val="9"/>
    <w:rPr>
      <w:rFonts w:ascii="Tahoma" w:hAnsi="Tahoma" w:cs="Tahoma"/>
      <w:b/>
      <w:bCs/>
      <w:kern w:val="44"/>
      <w:sz w:val="44"/>
      <w:szCs w:val="44"/>
    </w:rPr>
  </w:style>
  <w:style w:type="character" w:customStyle="1" w:styleId="47">
    <w:name w:val="正文文本 字符"/>
    <w:link w:val="3"/>
    <w:semiHidden/>
    <w:uiPriority w:val="99"/>
    <w:rPr>
      <w:rFonts w:ascii="Tahoma" w:hAnsi="Tahoma" w:cs="Tahoma"/>
      <w:kern w:val="0"/>
      <w:szCs w:val="21"/>
    </w:rPr>
  </w:style>
  <w:style w:type="character" w:customStyle="1" w:styleId="48">
    <w:name w:val="正文文本首行缩进 字符"/>
    <w:link w:val="2"/>
    <w:semiHidden/>
    <w:uiPriority w:val="99"/>
    <w:rPr>
      <w:rFonts w:ascii="Tahoma" w:hAnsi="Tahoma" w:cs="Tahoma"/>
      <w:kern w:val="0"/>
      <w:szCs w:val="21"/>
    </w:rPr>
  </w:style>
  <w:style w:type="character" w:customStyle="1" w:styleId="49">
    <w:name w:val="批注文字 字符"/>
    <w:link w:val="7"/>
    <w:locked/>
    <w:uiPriority w:val="99"/>
    <w:rPr>
      <w:rFonts w:ascii="Tahoma" w:hAnsi="Tahoma" w:eastAsia="微软雅黑" w:cs="Tahoma"/>
      <w:kern w:val="0"/>
      <w:sz w:val="22"/>
      <w:szCs w:val="22"/>
    </w:rPr>
  </w:style>
  <w:style w:type="character" w:customStyle="1" w:styleId="50">
    <w:name w:val="正文文本缩进 字符"/>
    <w:link w:val="9"/>
    <w:locked/>
    <w:uiPriority w:val="99"/>
    <w:rPr>
      <w:rFonts w:ascii="Tahoma" w:hAnsi="Tahoma" w:eastAsia="微软雅黑" w:cs="Tahoma"/>
      <w:sz w:val="24"/>
      <w:szCs w:val="24"/>
    </w:rPr>
  </w:style>
  <w:style w:type="character" w:customStyle="1" w:styleId="51">
    <w:name w:val="纯文本 字符"/>
    <w:link w:val="10"/>
    <w:locked/>
    <w:uiPriority w:val="99"/>
    <w:rPr>
      <w:rFonts w:ascii="宋体" w:hAnsi="Courier New" w:eastAsia="微软雅黑" w:cs="宋体"/>
      <w:sz w:val="22"/>
      <w:szCs w:val="22"/>
    </w:rPr>
  </w:style>
  <w:style w:type="character" w:customStyle="1" w:styleId="52">
    <w:name w:val="批注框文本 字符"/>
    <w:link w:val="11"/>
    <w:semiHidden/>
    <w:locked/>
    <w:uiPriority w:val="99"/>
    <w:rPr>
      <w:rFonts w:ascii="Tahoma" w:hAnsi="Tahoma" w:eastAsia="微软雅黑" w:cs="Tahoma"/>
      <w:sz w:val="18"/>
      <w:szCs w:val="18"/>
    </w:rPr>
  </w:style>
  <w:style w:type="character" w:customStyle="1" w:styleId="53">
    <w:name w:val="页脚 字符"/>
    <w:link w:val="12"/>
    <w:locked/>
    <w:uiPriority w:val="99"/>
    <w:rPr>
      <w:sz w:val="18"/>
      <w:szCs w:val="18"/>
    </w:rPr>
  </w:style>
  <w:style w:type="character" w:customStyle="1" w:styleId="54">
    <w:name w:val="页眉 字符"/>
    <w:link w:val="13"/>
    <w:locked/>
    <w:uiPriority w:val="99"/>
    <w:rPr>
      <w:sz w:val="18"/>
      <w:szCs w:val="18"/>
    </w:rPr>
  </w:style>
  <w:style w:type="character" w:customStyle="1" w:styleId="55">
    <w:name w:val="批注主题 字符"/>
    <w:link w:val="6"/>
    <w:semiHidden/>
    <w:locked/>
    <w:uiPriority w:val="99"/>
    <w:rPr>
      <w:rFonts w:ascii="Times New Roman" w:hAnsi="Times New Roman" w:eastAsia="黑体" w:cs="Times New Roman"/>
      <w:kern w:val="0"/>
      <w:sz w:val="21"/>
      <w:szCs w:val="21"/>
    </w:rPr>
  </w:style>
  <w:style w:type="character" w:customStyle="1" w:styleId="56">
    <w:name w:val="正文缩进 字符"/>
    <w:aliases w:val="正文（首行缩进两字） Char 字符,正文（首行缩进两字） Char Char Char Char Char Char Char 字符,正文不缩进 字符,题目前空行 字符,正文（首行缩进两字） Char Char Char 字符,正文（首行缩进两字）1 字符,图号 字符,正文（首行缩进两字） 字符,正文缩进 Char Char 字符,s4 Char 字符,s4 字符,表正文 字符,正文非缩进 字符,正文（首行缩进两字） Char Char Char Char Char Char 字符"/>
    <w:link w:val="8"/>
    <w:locked/>
    <w:uiPriority w:val="0"/>
    <w:rPr>
      <w:sz w:val="21"/>
      <w:szCs w:val="21"/>
    </w:rPr>
  </w:style>
  <w:style w:type="character" w:customStyle="1" w:styleId="57">
    <w:name w:val="表头 Char"/>
    <w:link w:val="28"/>
    <w:locked/>
    <w:uiPriority w:val="99"/>
    <w:rPr>
      <w:b/>
      <w:bCs/>
      <w:snapToGrid w:val="0"/>
      <w:kern w:val="0"/>
      <w:sz w:val="21"/>
      <w:szCs w:val="21"/>
    </w:rPr>
  </w:style>
  <w:style w:type="character" w:customStyle="1" w:styleId="58">
    <w:name w:val="页码1"/>
    <w:basedOn w:val="17"/>
    <w:uiPriority w:val="0"/>
    <w:rPr/>
  </w:style>
  <w:style w:type="character" w:customStyle="1" w:styleId="59">
    <w:name w:val="表格文字 Char Char"/>
    <w:link w:val="40"/>
    <w:locked/>
    <w:uiPriority w:val="99"/>
    <w:rPr>
      <w:rFonts w:ascii="宋体" w:eastAsia="宋体" w:cs="宋体"/>
      <w:b/>
      <w:bCs/>
      <w:kern w:val="2"/>
      <w:sz w:val="24"/>
      <w:szCs w:val="24"/>
    </w:rPr>
  </w:style>
  <w:style w:type="character" w:customStyle="1" w:styleId="60">
    <w:name w:val="font41"/>
    <w:uiPriority w:val="99"/>
    <w:rPr>
      <w:rFonts w:ascii="Times New Roman" w:hAnsi="Times New Roman" w:cs="Times New Roman"/>
      <w:color w:val="000000"/>
      <w:sz w:val="20"/>
      <w:szCs w:val="20"/>
      <w:u w:val="none"/>
    </w:rPr>
  </w:style>
  <w:style w:type="character" w:customStyle="1" w:styleId="61">
    <w:name w:val="标题 2 字符"/>
    <w:link w:val="5"/>
    <w:uiPriority w:val="0"/>
    <w:rPr>
      <w:rFonts w:ascii="Cambria" w:hAnsi="Cambria"/>
      <w:b/>
      <w:bCs/>
      <w:sz w:val="24"/>
      <w:szCs w:val="32"/>
    </w:rPr>
  </w:style>
  <w:style w:type="character" w:customStyle="1" w:styleId="62">
    <w:name w:val="【表中文字】 Char"/>
    <w:link w:val="42"/>
    <w:uiPriority w:val="0"/>
    <w:rPr>
      <w:rFonts w:ascii="Times New Roman" w:hAnsi="Times New Roman"/>
      <w:kern w:val="2"/>
      <w:sz w:val="21"/>
    </w:rPr>
  </w:style>
  <w:style w:type="character" w:customStyle="1" w:styleId="63">
    <w:name w:val="表格1-01 Char"/>
    <w:link w:val="43"/>
    <w:qFormat/>
    <w:uiPriority w:val="0"/>
    <w:rPr>
      <w:sz w:val="21"/>
      <w:szCs w:val="21"/>
    </w:rPr>
  </w:style>
  <w:style w:type="character" w:customStyle="1" w:styleId="64">
    <w:name w:val="！！！正文格式 字符"/>
    <w:link w:val="44"/>
    <w:uiPriority w:val="0"/>
    <w:rPr>
      <w:rFonts w:ascii="Times New Roman" w:hAnsi="Times New Roman"/>
      <w:sz w:val="24"/>
      <w:szCs w:val="21"/>
    </w:rPr>
  </w:style>
  <w:style w:type="character" w:customStyle="1" w:styleId="65">
    <w:name w:val="正文文本缩进 3 字符"/>
    <w:link w:val="15"/>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settings" Target="settings.xml"/><Relationship Id="rId29" Type="http://schemas.openxmlformats.org/officeDocument/2006/relationships/image" Target="media/image18.png"/><Relationship Id="rId28" Type="http://schemas.openxmlformats.org/officeDocument/2006/relationships/image" Target="media/image17.jpeg"/><Relationship Id="rId27" Type="http://schemas.openxmlformats.org/officeDocument/2006/relationships/image" Target="media/image16.jpeg"/><Relationship Id="rId26" Type="http://schemas.openxmlformats.org/officeDocument/2006/relationships/image" Target="media/image15.jpeg"/><Relationship Id="rId25" Type="http://schemas.openxmlformats.org/officeDocument/2006/relationships/image" Target="media/image14.jpeg"/><Relationship Id="rId24" Type="http://schemas.openxmlformats.org/officeDocument/2006/relationships/image" Target="media/image13.jpeg"/><Relationship Id="rId23" Type="http://schemas.openxmlformats.org/officeDocument/2006/relationships/image" Target="media/image12.jpeg"/><Relationship Id="rId22" Type="http://schemas.openxmlformats.org/officeDocument/2006/relationships/image" Target="media/image11.jpeg"/><Relationship Id="rId21" Type="http://schemas.openxmlformats.org/officeDocument/2006/relationships/image" Target="media/image10.jpeg"/><Relationship Id="rId20" Type="http://schemas.openxmlformats.org/officeDocument/2006/relationships/image" Target="media/image9.jpeg"/><Relationship Id="rId2" Type="http://schemas.openxmlformats.org/officeDocument/2006/relationships/styles" Target="styles.xml"/><Relationship Id="rId19" Type="http://schemas.openxmlformats.org/officeDocument/2006/relationships/image" Target="media/image8.png"/><Relationship Id="rId18" Type="http://schemas.openxmlformats.org/officeDocument/2006/relationships/image" Target="media/image7.jpe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jpe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6028</Words>
  <Characters>34365</Characters>
  <Lines>286</Lines>
  <Paragraphs>80</Paragraphs>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2019-09-26T02:21:00Z</dcterms:created>
  <dc:creator>User</dc:creator>
  <cp:lastModifiedBy>TG</cp:lastModifiedBy>
  <cp:lastPrinted>2021-10-27T04:53:00Z</cp:lastPrinted>
  <dcterms:modified xsi:type="dcterms:W3CDTF">2021-10-29T11:05:03Z</dcterms:modified>
  <dc:title>山西太钢不锈钢股份有限公司</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