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Default ContentType="image/jpeg" Extension="jpeg"/>
  <Default ContentType="image/png" Extension="png"/>
  <Override ContentType="image/x-emf" PartName="/word/media/image11.emf"/>
  <Override ContentType="image/x-emf" PartName="/word/media/image12.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rFonts w:ascii="仿宋_GB2312" w:eastAsia="仿宋_GB2312"/>
          <w:color w:val="000000"/>
          <w:sz w:val="28"/>
        </w:rPr>
      </w:pPr>
    </w:p>
    <w:p>
      <w:pPr>
        <w:spacing w:line="360" w:lineRule="auto"/>
        <w:jc w:val="center"/>
        <w:rPr>
          <w:rFonts w:ascii="仿宋_GB2312" w:eastAsia="仿宋_GB2312"/>
          <w:color w:val="000000"/>
          <w:sz w:val="28"/>
        </w:rPr>
      </w:pPr>
    </w:p>
    <w:p>
      <w:pPr>
        <w:spacing w:line="360" w:lineRule="auto"/>
        <w:jc w:val="center"/>
        <w:rPr>
          <w:rFonts w:ascii="宋体" w:hAnsi="宋体" w:eastAsia="宋体"/>
          <w:b/>
          <w:color w:val="000000"/>
          <w:sz w:val="36"/>
          <w:szCs w:val="36"/>
        </w:rPr>
      </w:pPr>
      <w:r>
        <w:rPr>
          <w:rFonts w:hint="eastAsia" w:ascii="宋体" w:hAnsi="宋体" w:eastAsia="宋体"/>
          <w:b/>
          <w:color w:val="000000"/>
          <w:sz w:val="36"/>
          <w:szCs w:val="36"/>
        </w:rPr>
        <w:t>山西太钢不锈钢股份有限公司</w:t>
      </w:r>
    </w:p>
    <w:p>
      <w:pPr>
        <w:spacing w:line="360" w:lineRule="auto"/>
        <w:jc w:val="center"/>
        <w:rPr>
          <w:rFonts w:ascii="宋体" w:hAnsi="宋体" w:eastAsia="宋体"/>
          <w:b/>
          <w:color w:val="000000"/>
          <w:sz w:val="36"/>
          <w:szCs w:val="36"/>
        </w:rPr>
      </w:pPr>
      <w:r>
        <w:rPr>
          <w:rFonts w:hint="eastAsia" w:ascii="宋体" w:hAnsi="宋体" w:eastAsia="宋体"/>
          <w:b/>
          <w:color w:val="000000"/>
          <w:sz w:val="36"/>
          <w:szCs w:val="36"/>
        </w:rPr>
        <w:t>不锈钢产品结构升级改造配套水处理改造项目</w:t>
      </w:r>
    </w:p>
    <w:p>
      <w:pPr>
        <w:spacing w:line="360" w:lineRule="auto"/>
        <w:jc w:val="center"/>
        <w:rPr>
          <w:rFonts w:ascii="宋体" w:hAnsi="宋体" w:eastAsia="宋体"/>
          <w:b/>
          <w:color w:val="000000"/>
          <w:sz w:val="36"/>
          <w:szCs w:val="36"/>
        </w:rPr>
      </w:pPr>
      <w:r>
        <w:rPr>
          <w:rFonts w:hint="eastAsia" w:ascii="宋体" w:hAnsi="宋体" w:eastAsia="宋体"/>
          <w:b/>
          <w:color w:val="000000"/>
          <w:sz w:val="36"/>
          <w:szCs w:val="36"/>
        </w:rPr>
        <w:t>竣工环境保护验收监测报告表</w:t>
      </w:r>
    </w:p>
    <w:p>
      <w:pPr>
        <w:spacing w:line="360" w:lineRule="auto"/>
        <w:jc w:val="center"/>
        <w:rPr>
          <w:rFonts w:ascii="仿宋_GB2312" w:eastAsia="仿宋_GB2312"/>
          <w:color w:val="000000"/>
          <w:sz w:val="28"/>
        </w:rPr>
      </w:pPr>
    </w:p>
    <w:p>
      <w:pPr>
        <w:jc w:val="center"/>
        <w:rPr>
          <w:rFonts w:ascii="仿宋_GB2312" w:eastAsia="仿宋_GB2312"/>
          <w:color w:val="000000"/>
          <w:sz w:val="28"/>
        </w:rPr>
      </w:pPr>
    </w:p>
    <w:p>
      <w:pPr>
        <w:jc w:val="center"/>
        <w:rPr>
          <w:rFonts w:ascii="仿宋_GB2312" w:eastAsia="仿宋_GB2312"/>
          <w:color w:val="000000"/>
          <w:sz w:val="28"/>
        </w:rPr>
      </w:pPr>
    </w:p>
    <w:p>
      <w:pPr>
        <w:jc w:val="center"/>
        <w:rPr>
          <w:rFonts w:ascii="仿宋_GB2312" w:eastAsia="仿宋_GB2312"/>
          <w:color w:val="000000"/>
          <w:sz w:val="28"/>
        </w:rPr>
      </w:pPr>
    </w:p>
    <w:p>
      <w:pPr>
        <w:pStyle w:val="2"/>
        <w:spacing w:before="120"/>
        <w:rPr>
          <w:color w:val="000000"/>
        </w:rPr>
      </w:pPr>
    </w:p>
    <w:p>
      <w:pPr>
        <w:pStyle w:val="2"/>
        <w:spacing w:before="120"/>
        <w:rPr>
          <w:color w:val="000000"/>
        </w:rPr>
      </w:pPr>
    </w:p>
    <w:p>
      <w:pPr>
        <w:pStyle w:val="2"/>
        <w:spacing w:before="120"/>
        <w:rPr>
          <w:color w:val="000000"/>
        </w:rPr>
      </w:pPr>
    </w:p>
    <w:p>
      <w:pPr>
        <w:rPr>
          <w:rFonts w:ascii="仿宋_GB2312" w:eastAsia="仿宋_GB2312"/>
          <w:color w:val="000000"/>
          <w:sz w:val="28"/>
        </w:rPr>
      </w:pPr>
    </w:p>
    <w:p>
      <w:pPr>
        <w:pStyle w:val="2"/>
        <w:spacing w:before="120"/>
        <w:rPr>
          <w:color w:val="000000"/>
        </w:rPr>
      </w:pPr>
    </w:p>
    <w:p>
      <w:pPr>
        <w:rPr>
          <w:rFonts w:ascii="宋体" w:hAnsi="宋体" w:eastAsia="宋体"/>
          <w:color w:val="000000"/>
          <w:sz w:val="30"/>
          <w:szCs w:val="30"/>
        </w:rPr>
      </w:pPr>
      <w:r>
        <w:rPr>
          <w:rFonts w:ascii="仿宋_GB2312" w:eastAsia="仿宋_GB2312"/>
          <w:color w:val="000000"/>
          <w:sz w:val="32"/>
        </w:rPr>
        <w:tab/>
      </w:r>
      <w:r>
        <w:rPr>
          <w:rFonts w:hint="eastAsia" w:ascii="宋体" w:hAnsi="宋体" w:eastAsia="宋体"/>
          <w:color w:val="000000"/>
          <w:sz w:val="30"/>
          <w:szCs w:val="30"/>
        </w:rPr>
        <w:t>建设单位:</w:t>
      </w:r>
      <w:r>
        <w:rPr>
          <w:rFonts w:hint="eastAsia" w:ascii="宋体" w:hAnsi="宋体" w:eastAsia="宋体" w:cs="华文新魏"/>
          <w:color w:val="000000"/>
          <w:sz w:val="30"/>
          <w:szCs w:val="30"/>
        </w:rPr>
        <w:t xml:space="preserve"> 山西太钢不锈钢股份有限公司能源动力总厂</w:t>
      </w:r>
    </w:p>
    <w:p>
      <w:pPr>
        <w:spacing w:line="360" w:lineRule="auto"/>
        <w:jc w:val="center"/>
        <w:rPr>
          <w:rFonts w:ascii="宋体" w:hAnsi="宋体" w:eastAsia="宋体"/>
          <w:color w:val="000000"/>
          <w:sz w:val="30"/>
          <w:szCs w:val="30"/>
        </w:rPr>
      </w:pPr>
      <w:r>
        <w:rPr>
          <w:rFonts w:hint="eastAsia" w:ascii="宋体" w:hAnsi="宋体" w:eastAsia="宋体"/>
          <w:color w:val="000000"/>
          <w:sz w:val="30"/>
          <w:szCs w:val="30"/>
        </w:rPr>
        <w:t>编制单位：山西太钢工程技术有限公司</w:t>
      </w:r>
    </w:p>
    <w:p>
      <w:pPr>
        <w:rPr>
          <w:rFonts w:ascii="宋体" w:hAnsi="宋体" w:eastAsia="宋体"/>
          <w:color w:val="000000"/>
          <w:sz w:val="30"/>
          <w:szCs w:val="30"/>
        </w:rPr>
      </w:pPr>
    </w:p>
    <w:p>
      <w:pPr>
        <w:ind w:firstLine="2700" w:firstLineChars="900"/>
        <w:rPr>
          <w:rFonts w:ascii="宋体" w:hAnsi="宋体" w:eastAsia="宋体"/>
          <w:color w:val="000000"/>
          <w:sz w:val="30"/>
          <w:szCs w:val="30"/>
        </w:rPr>
      </w:pPr>
      <w:r>
        <w:rPr>
          <w:rFonts w:hint="eastAsia" w:ascii="宋体" w:hAnsi="宋体" w:eastAsia="宋体"/>
          <w:color w:val="000000"/>
          <w:sz w:val="30"/>
          <w:szCs w:val="30"/>
        </w:rPr>
        <w:t>二</w:t>
      </w:r>
      <w:r>
        <w:rPr>
          <w:rFonts w:hint="eastAsia" w:ascii="宋体" w:hAnsi="宋体" w:eastAsia="宋体" w:cs="宋体"/>
          <w:color w:val="000000"/>
          <w:sz w:val="30"/>
          <w:szCs w:val="30"/>
        </w:rPr>
        <w:t>〇</w:t>
      </w:r>
      <w:r>
        <w:rPr>
          <w:rFonts w:hint="eastAsia" w:ascii="宋体" w:hAnsi="宋体" w:eastAsia="宋体"/>
          <w:color w:val="000000"/>
          <w:sz w:val="30"/>
          <w:szCs w:val="30"/>
        </w:rPr>
        <w:t>二</w:t>
      </w:r>
      <w:r>
        <w:rPr>
          <w:rFonts w:hint="eastAsia" w:ascii="宋体" w:hAnsi="宋体" w:eastAsia="宋体" w:cs="华文新魏"/>
          <w:color w:val="000000"/>
          <w:sz w:val="30"/>
          <w:szCs w:val="30"/>
        </w:rPr>
        <w:t>一</w:t>
      </w:r>
      <w:r>
        <w:rPr>
          <w:rFonts w:hint="eastAsia" w:ascii="宋体" w:hAnsi="宋体" w:eastAsia="宋体"/>
          <w:color w:val="000000"/>
          <w:sz w:val="30"/>
          <w:szCs w:val="30"/>
        </w:rPr>
        <w:t>年九月</w:t>
      </w:r>
    </w:p>
    <w:p>
      <w:pPr>
        <w:rPr>
          <w:rFonts w:ascii="华文新魏" w:eastAsia="华文新魏"/>
          <w:color w:val="000000"/>
          <w:sz w:val="28"/>
          <w:szCs w:val="28"/>
        </w:rPr>
      </w:pPr>
    </w:p>
    <w:p>
      <w:pPr>
        <w:spacing w:before="240" w:after="240"/>
        <w:rPr>
          <w:rFonts w:ascii="宋体" w:hAnsi="宋体" w:eastAsia="宋体"/>
          <w:color w:val="000000"/>
          <w:sz w:val="28"/>
          <w:szCs w:val="28"/>
        </w:rPr>
      </w:pPr>
      <w:r>
        <w:rPr>
          <w:rFonts w:ascii="仿宋_GB2312" w:eastAsia="仿宋_GB2312"/>
          <w:color w:val="000000"/>
          <w:sz w:val="32"/>
        </w:rPr>
        <w:br w:type="page"/>
      </w:r>
      <w:r>
        <w:rPr>
          <w:rFonts w:hint="eastAsia" w:ascii="宋体" w:hAnsi="宋体" w:eastAsia="宋体" w:cs="仿宋_GB2312"/>
          <w:b/>
          <w:bCs/>
          <w:color w:val="000000"/>
          <w:sz w:val="28"/>
          <w:szCs w:val="28"/>
        </w:rPr>
        <w:t>建设单位法人代表</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高建兵</w:t>
      </w:r>
      <w:r>
        <w:rPr>
          <w:rFonts w:ascii="宋体" w:hAnsi="宋体" w:eastAsia="宋体"/>
          <w:color w:val="000000"/>
          <w:sz w:val="28"/>
          <w:szCs w:val="28"/>
        </w:rPr>
        <w:t xml:space="preserve">              </w:t>
      </w:r>
    </w:p>
    <w:p>
      <w:pPr>
        <w:spacing w:before="240" w:after="240"/>
        <w:rPr>
          <w:rFonts w:ascii="宋体" w:hAnsi="宋体" w:eastAsia="宋体"/>
          <w:b/>
          <w:bCs/>
          <w:color w:val="000000"/>
          <w:sz w:val="28"/>
          <w:szCs w:val="28"/>
        </w:rPr>
      </w:pPr>
      <w:r>
        <w:rPr>
          <w:rFonts w:hint="eastAsia" w:ascii="宋体" w:hAnsi="宋体" w:eastAsia="宋体" w:cs="仿宋_GB2312"/>
          <w:b/>
          <w:bCs/>
          <w:color w:val="000000"/>
          <w:sz w:val="28"/>
          <w:szCs w:val="28"/>
        </w:rPr>
        <w:t>编制单位法人代表</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柴志勇</w:t>
      </w:r>
      <w:r>
        <w:rPr>
          <w:rFonts w:ascii="宋体" w:hAnsi="宋体" w:eastAsia="宋体"/>
          <w:color w:val="000000"/>
          <w:sz w:val="28"/>
          <w:szCs w:val="28"/>
        </w:rPr>
        <w:t xml:space="preserve">              </w:t>
      </w:r>
    </w:p>
    <w:p>
      <w:pPr>
        <w:spacing w:before="240" w:after="240"/>
        <w:ind w:right="88" w:rightChars="40"/>
        <w:jc w:val="both"/>
        <w:rPr>
          <w:rFonts w:ascii="宋体" w:hAnsi="宋体" w:eastAsia="宋体"/>
          <w:b/>
          <w:bCs/>
          <w:color w:val="000000"/>
          <w:sz w:val="28"/>
          <w:szCs w:val="28"/>
        </w:rPr>
      </w:pPr>
      <w:r>
        <w:rPr>
          <w:rFonts w:hint="eastAsia" w:ascii="宋体" w:hAnsi="宋体" w:eastAsia="宋体" w:cs="仿宋_GB2312"/>
          <w:b/>
          <w:bCs/>
          <w:color w:val="000000"/>
          <w:sz w:val="28"/>
          <w:szCs w:val="28"/>
        </w:rPr>
        <w:t>项</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目</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负</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责</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人</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 xml:space="preserve">胡 </w:t>
      </w:r>
      <w:r>
        <w:rPr>
          <w:rFonts w:ascii="宋体" w:hAnsi="宋体" w:eastAsia="宋体" w:cs="仿宋_GB2312"/>
          <w:b/>
          <w:bCs/>
          <w:color w:val="000000"/>
          <w:sz w:val="28"/>
          <w:szCs w:val="28"/>
        </w:rPr>
        <w:t xml:space="preserve"> </w:t>
      </w:r>
      <w:r>
        <w:rPr>
          <w:rFonts w:hint="eastAsia" w:ascii="宋体" w:hAnsi="宋体" w:eastAsia="宋体" w:cs="仿宋_GB2312"/>
          <w:b/>
          <w:bCs/>
          <w:color w:val="000000"/>
          <w:sz w:val="28"/>
          <w:szCs w:val="28"/>
        </w:rPr>
        <w:t>鑫</w:t>
      </w:r>
    </w:p>
    <w:p>
      <w:pPr>
        <w:spacing w:before="240" w:after="240"/>
        <w:rPr>
          <w:rFonts w:ascii="宋体" w:hAnsi="宋体" w:eastAsia="宋体"/>
          <w:b/>
          <w:bCs/>
          <w:color w:val="000000"/>
          <w:sz w:val="28"/>
          <w:szCs w:val="28"/>
        </w:rPr>
      </w:pPr>
      <w:r>
        <w:rPr>
          <w:rFonts w:hint="eastAsia" w:ascii="宋体" w:hAnsi="宋体" w:eastAsia="宋体" w:cs="仿宋_GB2312"/>
          <w:b/>
          <w:bCs/>
          <w:color w:val="000000"/>
          <w:sz w:val="28"/>
          <w:szCs w:val="28"/>
        </w:rPr>
        <w:t>填</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表</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人</w:t>
      </w:r>
      <w:r>
        <w:rPr>
          <w:rFonts w:ascii="宋体" w:hAnsi="宋体" w:eastAsia="宋体"/>
          <w:b/>
          <w:bCs/>
          <w:color w:val="000000"/>
          <w:sz w:val="28"/>
          <w:szCs w:val="28"/>
        </w:rPr>
        <w:t xml:space="preserve">:  </w:t>
      </w:r>
      <w:r>
        <w:rPr>
          <w:rFonts w:hint="eastAsia" w:ascii="宋体" w:hAnsi="宋体" w:eastAsia="宋体" w:cs="仿宋_GB2312"/>
          <w:b/>
          <w:bCs/>
          <w:color w:val="000000"/>
          <w:sz w:val="28"/>
          <w:szCs w:val="28"/>
        </w:rPr>
        <w:t xml:space="preserve">王 </w:t>
      </w:r>
      <w:r>
        <w:rPr>
          <w:rFonts w:ascii="宋体" w:hAnsi="宋体" w:eastAsia="宋体" w:cs="仿宋_GB2312"/>
          <w:b/>
          <w:bCs/>
          <w:color w:val="000000"/>
          <w:sz w:val="28"/>
          <w:szCs w:val="28"/>
        </w:rPr>
        <w:t xml:space="preserve"> </w:t>
      </w:r>
      <w:r>
        <w:rPr>
          <w:rFonts w:hint="eastAsia" w:ascii="宋体" w:hAnsi="宋体" w:eastAsia="宋体" w:cs="仿宋_GB2312"/>
          <w:b/>
          <w:bCs/>
          <w:color w:val="000000"/>
          <w:sz w:val="28"/>
          <w:szCs w:val="28"/>
        </w:rPr>
        <w:t>瑞</w:t>
      </w:r>
    </w:p>
    <w:p>
      <w:pPr>
        <w:rPr>
          <w:rFonts w:ascii="Times New Roman" w:hAnsi="Times New Roman" w:eastAsia="仿宋_GB2312"/>
          <w:color w:val="000000"/>
          <w:sz w:val="28"/>
          <w:szCs w:val="28"/>
        </w:rPr>
      </w:pPr>
    </w:p>
    <w:p>
      <w:pPr>
        <w:spacing w:line="360" w:lineRule="auto"/>
        <w:rPr>
          <w:rFonts w:ascii="仿宋_GB2312" w:eastAsia="仿宋_GB2312"/>
          <w:color w:val="000000"/>
          <w:sz w:val="28"/>
        </w:rPr>
      </w:pPr>
    </w:p>
    <w:p>
      <w:pPr>
        <w:spacing w:line="360" w:lineRule="auto"/>
        <w:rPr>
          <w:rFonts w:ascii="仿宋_GB2312" w:eastAsia="仿宋_GB2312"/>
          <w:color w:val="000000"/>
          <w:sz w:val="28"/>
        </w:rPr>
      </w:pPr>
    </w:p>
    <w:p>
      <w:pPr>
        <w:spacing w:line="360" w:lineRule="auto"/>
        <w:rPr>
          <w:color w:val="000000"/>
        </w:rPr>
      </w:pPr>
      <w:r>
        <w:rPr>
          <w:rFonts w:ascii="仿宋_GB2312" w:eastAsia="仿宋_GB2312"/>
          <w:color w:val="000000"/>
          <w:sz w:val="28"/>
        </w:rPr>
        <w:tab/>
      </w:r>
    </w:p>
    <w:p>
      <w:pPr>
        <w:pStyle w:val="2"/>
        <w:spacing w:before="120"/>
        <w:rPr>
          <w:color w:val="000000"/>
        </w:rPr>
      </w:pPr>
    </w:p>
    <w:p>
      <w:pPr>
        <w:pStyle w:val="2"/>
        <w:spacing w:before="120"/>
        <w:rPr>
          <w:color w:val="000000"/>
        </w:rPr>
        <w:sectPr>
          <w:footerReference r:id="rId5" w:type="first"/>
          <w:footerReference r:id="rId4" w:type="default"/>
          <w:pgSz w:w="11906" w:h="16838"/>
          <w:pgMar w:top="1440" w:right="1800" w:bottom="1440" w:left="1800" w:header="708" w:footer="708" w:gutter="0"/>
          <w:cols w:space="720" w:num="1"/>
          <w:titlePg/>
          <w:docGrid w:linePitch="360" w:charSpace="0"/>
        </w:sectPr>
      </w:pPr>
    </w:p>
    <w:p>
      <w:pPr>
        <w:ind w:left="1200" w:hanging="1200" w:hangingChars="500"/>
        <w:jc w:val="both"/>
        <w:rPr>
          <w:rFonts w:ascii="仿宋_GB2312" w:hAnsi="宋体" w:eastAsia="仿宋_GB2312"/>
          <w:color w:val="000000"/>
          <w:sz w:val="24"/>
          <w:szCs w:val="24"/>
        </w:rPr>
      </w:pPr>
      <w:r>
        <w:rPr>
          <w:rFonts w:hint="eastAsia" w:ascii="仿宋_GB2312" w:hAnsi="宋体" w:eastAsia="仿宋_GB2312" w:cs="宋体"/>
          <w:color w:val="000000"/>
          <w:sz w:val="24"/>
          <w:szCs w:val="24"/>
        </w:rPr>
        <w:t>建设单位：山西太钢不锈钢股份</w:t>
      </w:r>
    </w:p>
    <w:p>
      <w:pPr>
        <w:ind w:left="1254" w:leftChars="570"/>
        <w:jc w:val="both"/>
        <w:rPr>
          <w:rFonts w:ascii="仿宋_GB2312" w:hAnsi="宋体" w:eastAsia="仿宋_GB2312"/>
          <w:color w:val="000000"/>
          <w:sz w:val="24"/>
          <w:szCs w:val="24"/>
        </w:rPr>
      </w:pPr>
      <w:r>
        <w:rPr>
          <w:rFonts w:hint="eastAsia" w:ascii="仿宋_GB2312" w:hAnsi="宋体" w:eastAsia="仿宋_GB2312" w:cs="宋体"/>
          <w:color w:val="000000"/>
          <w:sz w:val="24"/>
          <w:szCs w:val="24"/>
        </w:rPr>
        <w:t>有限公司能源动力总厂（盖章）</w:t>
      </w:r>
    </w:p>
    <w:p>
      <w:pPr>
        <w:ind w:right="-477" w:rightChars="-217"/>
        <w:rPr>
          <w:rFonts w:ascii="仿宋_GB2312" w:hAnsi="宋体" w:eastAsia="仿宋_GB2312"/>
          <w:color w:val="000000"/>
          <w:sz w:val="24"/>
          <w:szCs w:val="24"/>
        </w:rPr>
      </w:pPr>
      <w:r>
        <w:rPr>
          <w:rFonts w:hint="eastAsia" w:ascii="仿宋_GB2312" w:hAnsi="宋体" w:eastAsia="仿宋_GB2312" w:cs="宋体"/>
          <w:color w:val="000000"/>
          <w:sz w:val="24"/>
          <w:szCs w:val="24"/>
        </w:rPr>
        <w:t>电</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话：</w:t>
      </w:r>
      <w:r>
        <w:rPr>
          <w:rFonts w:hint="eastAsia" w:ascii="仿宋_GB2312" w:hAnsi="宋体" w:eastAsia="仿宋_GB2312"/>
          <w:color w:val="000000"/>
          <w:sz w:val="24"/>
          <w:szCs w:val="24"/>
        </w:rPr>
        <w:t>0351-2134979</w:t>
      </w:r>
    </w:p>
    <w:p>
      <w:pPr>
        <w:rPr>
          <w:rFonts w:ascii="仿宋_GB2312" w:hAnsi="宋体" w:eastAsia="仿宋_GB2312"/>
          <w:color w:val="000000"/>
          <w:sz w:val="24"/>
          <w:szCs w:val="24"/>
        </w:rPr>
      </w:pPr>
      <w:r>
        <w:rPr>
          <w:rFonts w:hint="eastAsia" w:ascii="仿宋_GB2312" w:hAnsi="宋体" w:eastAsia="仿宋_GB2312" w:cs="宋体"/>
          <w:color w:val="000000"/>
          <w:sz w:val="24"/>
          <w:szCs w:val="24"/>
        </w:rPr>
        <w:t>传</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真：</w:t>
      </w:r>
      <w:r>
        <w:rPr>
          <w:rFonts w:hint="eastAsia" w:ascii="仿宋_GB2312" w:hAnsi="宋体" w:eastAsia="仿宋_GB2312"/>
          <w:color w:val="000000"/>
          <w:sz w:val="24"/>
          <w:szCs w:val="24"/>
        </w:rPr>
        <w:t>0351-2132226</w:t>
      </w:r>
    </w:p>
    <w:p>
      <w:pPr>
        <w:rPr>
          <w:rFonts w:ascii="仿宋_GB2312" w:hAnsi="宋体" w:eastAsia="仿宋_GB2312"/>
          <w:color w:val="000000"/>
          <w:sz w:val="24"/>
          <w:szCs w:val="24"/>
        </w:rPr>
      </w:pPr>
      <w:r>
        <w:rPr>
          <w:rFonts w:hint="eastAsia" w:ascii="仿宋_GB2312" w:hAnsi="宋体" w:eastAsia="仿宋_GB2312" w:cs="宋体"/>
          <w:color w:val="000000"/>
          <w:sz w:val="24"/>
          <w:szCs w:val="24"/>
        </w:rPr>
        <w:t>邮</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编：</w:t>
      </w:r>
      <w:r>
        <w:rPr>
          <w:rFonts w:hint="eastAsia" w:ascii="仿宋_GB2312" w:hAnsi="宋体" w:eastAsia="仿宋_GB2312"/>
          <w:color w:val="000000"/>
          <w:sz w:val="24"/>
          <w:szCs w:val="24"/>
        </w:rPr>
        <w:t>030002</w:t>
      </w:r>
    </w:p>
    <w:p>
      <w:pPr>
        <w:ind w:left="1200" w:hanging="1200" w:hangingChars="500"/>
        <w:rPr>
          <w:rFonts w:ascii="仿宋_GB2312" w:hAnsi="宋体" w:eastAsia="仿宋_GB2312"/>
          <w:color w:val="000000"/>
          <w:sz w:val="24"/>
          <w:szCs w:val="24"/>
        </w:rPr>
      </w:pPr>
      <w:r>
        <w:rPr>
          <w:rFonts w:hint="eastAsia" w:ascii="仿宋_GB2312" w:hAnsi="宋体" w:eastAsia="仿宋_GB2312" w:cs="宋体"/>
          <w:color w:val="000000"/>
          <w:sz w:val="24"/>
          <w:szCs w:val="24"/>
        </w:rPr>
        <w:t>地</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址：山西省太原市尖草坪</w:t>
      </w:r>
      <w:r>
        <w:rPr>
          <w:rFonts w:hint="eastAsia" w:ascii="仿宋_GB2312" w:hAnsi="宋体" w:eastAsia="仿宋_GB2312"/>
          <w:color w:val="000000"/>
          <w:sz w:val="24"/>
          <w:szCs w:val="24"/>
        </w:rPr>
        <w:t>2</w:t>
      </w:r>
      <w:r>
        <w:rPr>
          <w:rFonts w:hint="eastAsia" w:ascii="仿宋_GB2312" w:hAnsi="宋体" w:eastAsia="仿宋_GB2312" w:cs="宋体"/>
          <w:color w:val="000000"/>
          <w:sz w:val="24"/>
          <w:szCs w:val="24"/>
        </w:rPr>
        <w:t>号</w:t>
      </w:r>
    </w:p>
    <w:p>
      <w:pPr>
        <w:rPr>
          <w:rFonts w:ascii="仿宋_GB2312" w:hAnsi="宋体" w:eastAsia="仿宋_GB2312" w:cs="宋体"/>
          <w:color w:val="000000"/>
          <w:sz w:val="24"/>
          <w:szCs w:val="24"/>
        </w:rPr>
      </w:pPr>
    </w:p>
    <w:p>
      <w:pPr>
        <w:ind w:left="1254" w:leftChars="570"/>
        <w:rPr>
          <w:rFonts w:ascii="仿宋_GB2312" w:hAnsi="宋体" w:eastAsia="仿宋_GB2312"/>
          <w:color w:val="000000"/>
          <w:sz w:val="24"/>
          <w:szCs w:val="24"/>
        </w:rPr>
      </w:pPr>
    </w:p>
    <w:p>
      <w:pPr>
        <w:ind w:left="1200" w:hanging="1200" w:hangingChars="500"/>
        <w:jc w:val="both"/>
        <w:rPr>
          <w:rFonts w:ascii="仿宋_GB2312" w:hAnsi="宋体" w:eastAsia="仿宋_GB2312" w:cs="宋体"/>
          <w:color w:val="000000"/>
          <w:sz w:val="24"/>
          <w:szCs w:val="24"/>
        </w:rPr>
      </w:pPr>
      <w:r>
        <w:rPr>
          <w:rFonts w:hint="eastAsia" w:ascii="仿宋_GB2312" w:hAnsi="宋体" w:eastAsia="仿宋_GB2312" w:cs="宋体"/>
          <w:color w:val="000000"/>
          <w:sz w:val="24"/>
          <w:szCs w:val="24"/>
        </w:rPr>
        <w:t>编制单位：山西太钢工程技术有限公司  （盖章）</w:t>
      </w:r>
    </w:p>
    <w:p>
      <w:pPr>
        <w:ind w:left="1200" w:hanging="1200" w:hangingChars="500"/>
        <w:rPr>
          <w:rFonts w:ascii="仿宋_GB2312" w:hAnsi="宋体" w:eastAsia="仿宋_GB2312"/>
          <w:color w:val="000000"/>
          <w:sz w:val="24"/>
          <w:szCs w:val="24"/>
        </w:rPr>
      </w:pPr>
    </w:p>
    <w:p>
      <w:pPr>
        <w:rPr>
          <w:rFonts w:ascii="仿宋_GB2312" w:hAnsi="宋体" w:eastAsia="仿宋_GB2312"/>
          <w:color w:val="000000"/>
          <w:sz w:val="24"/>
          <w:szCs w:val="24"/>
        </w:rPr>
      </w:pPr>
      <w:r>
        <w:rPr>
          <w:rFonts w:hint="eastAsia" w:ascii="仿宋_GB2312" w:hAnsi="宋体" w:eastAsia="仿宋_GB2312" w:cs="宋体"/>
          <w:color w:val="000000"/>
          <w:sz w:val="24"/>
          <w:szCs w:val="24"/>
        </w:rPr>
        <w:t>电</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话：</w:t>
      </w:r>
      <w:r>
        <w:rPr>
          <w:rFonts w:hint="eastAsia" w:ascii="仿宋_GB2312" w:hAnsi="宋体" w:eastAsia="仿宋_GB2312"/>
          <w:color w:val="000000"/>
          <w:sz w:val="24"/>
          <w:szCs w:val="24"/>
        </w:rPr>
        <w:t>0351-2135566</w:t>
      </w:r>
    </w:p>
    <w:p>
      <w:pPr>
        <w:rPr>
          <w:rFonts w:ascii="仿宋_GB2312" w:hAnsi="宋体" w:eastAsia="仿宋_GB2312"/>
          <w:color w:val="000000"/>
          <w:sz w:val="24"/>
          <w:szCs w:val="24"/>
        </w:rPr>
      </w:pPr>
      <w:r>
        <w:rPr>
          <w:rFonts w:hint="eastAsia" w:ascii="仿宋_GB2312" w:hAnsi="宋体" w:eastAsia="仿宋_GB2312" w:cs="宋体"/>
          <w:color w:val="000000"/>
          <w:sz w:val="24"/>
          <w:szCs w:val="24"/>
        </w:rPr>
        <w:t>传</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真：</w:t>
      </w:r>
      <w:r>
        <w:rPr>
          <w:rFonts w:hint="eastAsia" w:ascii="仿宋_GB2312" w:hAnsi="宋体" w:eastAsia="仿宋_GB2312"/>
          <w:color w:val="000000"/>
          <w:sz w:val="24"/>
          <w:szCs w:val="24"/>
        </w:rPr>
        <w:t>0351-2135566</w:t>
      </w:r>
    </w:p>
    <w:p>
      <w:pPr>
        <w:rPr>
          <w:rFonts w:ascii="仿宋_GB2312" w:hAnsi="宋体" w:eastAsia="仿宋_GB2312"/>
          <w:color w:val="000000"/>
          <w:sz w:val="24"/>
          <w:szCs w:val="24"/>
        </w:rPr>
      </w:pPr>
      <w:r>
        <w:rPr>
          <w:rFonts w:hint="eastAsia" w:ascii="仿宋_GB2312" w:hAnsi="宋体" w:eastAsia="仿宋_GB2312" w:cs="宋体"/>
          <w:color w:val="000000"/>
          <w:sz w:val="24"/>
          <w:szCs w:val="24"/>
        </w:rPr>
        <w:t>邮</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编：</w:t>
      </w:r>
      <w:r>
        <w:rPr>
          <w:rFonts w:hint="eastAsia" w:ascii="仿宋_GB2312" w:hAnsi="宋体" w:eastAsia="仿宋_GB2312"/>
          <w:color w:val="000000"/>
          <w:sz w:val="24"/>
          <w:szCs w:val="24"/>
        </w:rPr>
        <w:t>030009</w:t>
      </w:r>
    </w:p>
    <w:p>
      <w:pPr>
        <w:ind w:left="1200" w:hanging="1200" w:hangingChars="500"/>
        <w:rPr>
          <w:rFonts w:ascii="仿宋_GB2312" w:hAnsi="宋体" w:eastAsia="仿宋_GB2312"/>
          <w:color w:val="000000"/>
          <w:sz w:val="24"/>
          <w:szCs w:val="24"/>
        </w:rPr>
      </w:pPr>
      <w:r>
        <w:rPr>
          <w:rFonts w:hint="eastAsia" w:ascii="仿宋_GB2312" w:hAnsi="宋体" w:eastAsia="仿宋_GB2312" w:cs="宋体"/>
          <w:color w:val="000000"/>
          <w:sz w:val="24"/>
          <w:szCs w:val="24"/>
        </w:rPr>
        <w:t>地</w:t>
      </w:r>
      <w:r>
        <w:rPr>
          <w:rFonts w:hint="eastAsia" w:ascii="仿宋_GB2312" w:hAnsi="宋体" w:eastAsia="仿宋_GB2312"/>
          <w:color w:val="000000"/>
          <w:sz w:val="24"/>
          <w:szCs w:val="24"/>
        </w:rPr>
        <w:t xml:space="preserve">    </w:t>
      </w:r>
      <w:r>
        <w:rPr>
          <w:rFonts w:hint="eastAsia" w:ascii="仿宋_GB2312" w:hAnsi="宋体" w:eastAsia="仿宋_GB2312" w:cs="宋体"/>
          <w:color w:val="000000"/>
          <w:sz w:val="24"/>
          <w:szCs w:val="24"/>
        </w:rPr>
        <w:t>址：太原市胜利街</w:t>
      </w:r>
      <w:r>
        <w:rPr>
          <w:rFonts w:hint="eastAsia" w:ascii="仿宋_GB2312" w:hAnsi="宋体" w:eastAsia="仿宋_GB2312"/>
          <w:color w:val="000000"/>
          <w:sz w:val="24"/>
          <w:szCs w:val="24"/>
        </w:rPr>
        <w:t>327</w:t>
      </w:r>
      <w:r>
        <w:rPr>
          <w:rFonts w:hint="eastAsia" w:ascii="仿宋_GB2312" w:hAnsi="宋体" w:eastAsia="仿宋_GB2312" w:cs="宋体"/>
          <w:color w:val="000000"/>
          <w:sz w:val="24"/>
          <w:szCs w:val="24"/>
        </w:rPr>
        <w:t>号</w:t>
      </w:r>
    </w:p>
    <w:p>
      <w:pPr>
        <w:spacing w:line="360" w:lineRule="auto"/>
        <w:ind w:left="1376" w:leftChars="614" w:hanging="25" w:hangingChars="9"/>
        <w:rPr>
          <w:rFonts w:ascii="仿宋_GB2312" w:eastAsia="仿宋_GB2312"/>
          <w:color w:val="000000"/>
          <w:sz w:val="28"/>
        </w:rPr>
        <w:sectPr>
          <w:headerReference r:id="rId6" w:type="default"/>
          <w:type w:val="continuous"/>
          <w:pgSz w:w="11906" w:h="16838"/>
          <w:pgMar w:top="1440" w:right="1800" w:bottom="1440" w:left="1800" w:header="708" w:footer="708" w:gutter="0"/>
          <w:cols w:space="427" w:num="2"/>
          <w:titlePg/>
          <w:docGrid w:linePitch="360" w:charSpace="0"/>
        </w:sectPr>
      </w:pPr>
    </w:p>
    <w:tbl>
      <w:tblPr>
        <w:tblStyle w:val="43"/>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7" w:hRule="atLeast"/>
        </w:trPr>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3" o:spid="_x0000_s1029" type="#_x0000_t75" style="height:143.35pt;width:191.2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4" o:spid="_x0000_s1030" type="#_x0000_t75" style="height:143.35pt;width:191.2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提升泵房</w:t>
            </w:r>
          </w:p>
        </w:tc>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好氧池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8" w:hRule="atLeast"/>
        </w:trPr>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6" o:spid="_x0000_s1031" type="#_x0000_t75" style="height:143.35pt;width:191.2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7" o:spid="_x0000_s1032" type="#_x0000_t75" style="height:143.35pt;width:191.2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脱硝调节池及冷却塔</w:t>
            </w:r>
          </w:p>
        </w:tc>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厌氧池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3" w:hRule="atLeast"/>
        </w:trPr>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8" o:spid="_x0000_s1033" type="#_x0000_t75" style="height:143.35pt;width:191.2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color w:val="000000"/>
                <w:szCs w:val="21"/>
              </w:rPr>
            </w:pPr>
            <w:r>
              <w:rPr>
                <w:rFonts w:ascii="Tahoma" w:hAnsi="Arial" w:eastAsia="仿宋_GB2312" w:cs="Times New Roman"/>
                <w:color w:val="000000"/>
                <w:sz w:val="22"/>
                <w:szCs w:val="21"/>
                <w:lang w:val="en-US" w:eastAsia="zh-CN" w:bidi="ar-SA"/>
              </w:rPr>
              <w:pict>
                <v:shape id="图片 9" o:spid="_x0000_s1034" type="#_x0000_t75" style="height:143.35pt;width:191.2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沉淀池</w:t>
            </w:r>
          </w:p>
        </w:tc>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浓缩池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5" w:hRule="atLeast"/>
        </w:trPr>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ascii="Calibri" w:hAnsi="Arial" w:eastAsia="仿宋_GB2312" w:cs="Times New Roman"/>
                <w:color w:val="000000"/>
                <w:kern w:val="2"/>
                <w:sz w:val="21"/>
                <w:szCs w:val="21"/>
                <w:lang w:val="en-US" w:eastAsia="zh-CN" w:bidi="ar-SA"/>
              </w:rPr>
              <w:pict>
                <v:shape id="图片 10" o:spid="_x0000_s1035" type="#_x0000_t75" style="height:143.35pt;width:191.2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tc>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ascii="Calibri" w:hAnsi="Arial" w:eastAsia="仿宋_GB2312" w:cs="Times New Roman"/>
                <w:color w:val="000000"/>
                <w:kern w:val="2"/>
                <w:sz w:val="21"/>
                <w:szCs w:val="21"/>
                <w:lang w:val="en-US" w:eastAsia="zh-CN" w:bidi="ar-SA"/>
              </w:rPr>
              <w:pict>
                <v:shape id="图片 11" o:spid="_x0000_s1036" type="#_x0000_t75" style="height:143.35pt;width:191.2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甲醇区域</w:t>
            </w:r>
          </w:p>
        </w:tc>
        <w:tc>
          <w:tcPr>
            <w:tcW w:w="4040" w:type="dxa"/>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酸碱罐</w:t>
            </w:r>
          </w:p>
        </w:tc>
      </w:tr>
    </w:tbl>
    <w:p>
      <w:pPr>
        <w:spacing w:after="0" w:line="360" w:lineRule="auto"/>
        <w:rPr>
          <w:rFonts w:hAnsi="Arial" w:eastAsia="仿宋_GB2312"/>
          <w:b/>
          <w:color w:val="000000"/>
          <w:sz w:val="24"/>
          <w:szCs w:val="24"/>
        </w:rPr>
        <w:sectPr>
          <w:footerReference r:id="rId7" w:type="default"/>
          <w:pgSz w:w="11906" w:h="16838"/>
          <w:pgMar w:top="1440" w:right="1800" w:bottom="1440" w:left="1800" w:header="708" w:footer="708" w:gutter="0"/>
          <w:cols w:space="720" w:num="1"/>
          <w:docGrid w:linePitch="360" w:charSpace="0"/>
        </w:sectPr>
      </w:pPr>
    </w:p>
    <w:p>
      <w:pPr>
        <w:spacing w:line="360" w:lineRule="auto"/>
        <w:rPr>
          <w:rFonts w:ascii="Times New Roman" w:hAnsi="Times New Roman" w:eastAsia="仿宋_GB2312"/>
          <w:color w:val="000000"/>
          <w:szCs w:val="21"/>
        </w:rPr>
      </w:pPr>
    </w:p>
    <w:p>
      <w:pPr>
        <w:spacing w:after="240" w:afterLines="100" w:line="360" w:lineRule="auto"/>
        <w:jc w:val="center"/>
        <w:rPr>
          <w:rFonts w:ascii="黑体" w:hAnsi="黑体" w:eastAsia="黑体" w:cs="黑体"/>
          <w:color w:val="000000"/>
          <w:sz w:val="32"/>
          <w:szCs w:val="32"/>
        </w:rPr>
      </w:pPr>
      <w:bookmarkStart w:id="0" w:name="_Toc27631_WPSOffice_Type1"/>
      <w:r>
        <w:rPr>
          <w:rFonts w:hint="eastAsia" w:ascii="黑体" w:hAnsi="黑体" w:eastAsia="黑体" w:cs="黑体"/>
          <w:color w:val="000000"/>
          <w:sz w:val="32"/>
          <w:szCs w:val="32"/>
        </w:rPr>
        <w:t>目   录</w:t>
      </w:r>
    </w:p>
    <w:p>
      <w:pPr>
        <w:pStyle w:val="29"/>
        <w:tabs>
          <w:tab w:val="right" w:leader="dot" w:pos="8296"/>
        </w:tabs>
        <w:spacing w:before="120" w:line="480" w:lineRule="auto"/>
        <w:rPr>
          <w:rFonts w:ascii="Times New Roman" w:hAnsi="Times New Roman" w:eastAsia="宋体"/>
          <w:color w:val="000000"/>
          <w:sz w:val="28"/>
          <w:szCs w:val="28"/>
        </w:rPr>
      </w:pPr>
      <w:r>
        <w:rPr>
          <w:rFonts w:ascii="Times New Roman" w:hAnsi="Times New Roman" w:eastAsia="仿宋"/>
          <w:color w:val="000000"/>
          <w:sz w:val="28"/>
          <w:szCs w:val="28"/>
        </w:rPr>
        <w:fldChar w:fldCharType="begin"/>
      </w:r>
      <w:r>
        <w:rPr>
          <w:rFonts w:ascii="Times New Roman" w:hAnsi="Times New Roman" w:eastAsia="仿宋"/>
          <w:color w:val="000000"/>
          <w:sz w:val="28"/>
          <w:szCs w:val="28"/>
        </w:rPr>
        <w:instrText xml:space="preserve"> TOC \o "1-3" \h \z \u </w:instrText>
      </w:r>
      <w:r>
        <w:rPr>
          <w:rFonts w:ascii="Times New Roman" w:hAnsi="Times New Roman" w:eastAsia="仿宋"/>
          <w:color w:val="000000"/>
          <w:sz w:val="28"/>
          <w:szCs w:val="28"/>
        </w:rPr>
        <w:fldChar w:fldCharType="separate"/>
      </w:r>
      <w:r>
        <w:fldChar w:fldCharType="begin"/>
      </w:r>
      <w:r>
        <w:instrText xml:space="preserve">HYPERLINK  \l "_Toc17999537" </w:instrText>
      </w:r>
      <w:r>
        <w:fldChar w:fldCharType="separate"/>
      </w:r>
      <w:r>
        <w:rPr>
          <w:rStyle w:val="41"/>
          <w:rFonts w:ascii="Times New Roman" w:hAnsi="Times New Roman" w:eastAsia="仿宋"/>
          <w:color w:val="000000"/>
          <w:sz w:val="28"/>
          <w:szCs w:val="28"/>
        </w:rPr>
        <w:t>表一 项目基本情况及验收依据</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_Toc17999537 \h </w:instrText>
      </w:r>
      <w:r>
        <w:rPr>
          <w:rFonts w:ascii="Times New Roman" w:hAnsi="Times New Roman"/>
          <w:color w:val="000000"/>
          <w:sz w:val="28"/>
          <w:szCs w:val="28"/>
        </w:rPr>
        <w:fldChar w:fldCharType="separate"/>
      </w:r>
      <w:r>
        <w:rPr>
          <w:rFonts w:ascii="Times New Roman" w:hAnsi="Times New Roman"/>
          <w:color w:val="000000"/>
          <w:sz w:val="28"/>
          <w:szCs w:val="28"/>
        </w:rPr>
        <w:t>1</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"_Toc17999538" </w:instrText>
      </w:r>
      <w:r>
        <w:fldChar w:fldCharType="separate"/>
      </w:r>
      <w:r>
        <w:rPr>
          <w:rStyle w:val="41"/>
          <w:rFonts w:ascii="Times New Roman" w:hAnsi="Times New Roman" w:eastAsia="仿宋"/>
          <w:color w:val="000000"/>
          <w:sz w:val="28"/>
          <w:szCs w:val="28"/>
        </w:rPr>
        <w:t>表二  项目建设情况</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_Toc17999538 \h </w:instrText>
      </w:r>
      <w:r>
        <w:rPr>
          <w:rFonts w:ascii="Times New Roman" w:hAnsi="Times New Roman"/>
          <w:color w:val="000000"/>
          <w:sz w:val="28"/>
          <w:szCs w:val="28"/>
        </w:rPr>
        <w:fldChar w:fldCharType="separate"/>
      </w:r>
      <w:r>
        <w:rPr>
          <w:rFonts w:ascii="Times New Roman" w:hAnsi="Times New Roman"/>
          <w:color w:val="000000"/>
          <w:sz w:val="28"/>
          <w:szCs w:val="28"/>
        </w:rPr>
        <w:t>4</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"_Toc17999551" </w:instrText>
      </w:r>
      <w:r>
        <w:fldChar w:fldCharType="separate"/>
      </w:r>
      <w:r>
        <w:rPr>
          <w:rStyle w:val="41"/>
          <w:rFonts w:ascii="Times New Roman" w:hAnsi="Times New Roman" w:eastAsia="仿宋"/>
          <w:color w:val="000000"/>
          <w:sz w:val="28"/>
          <w:szCs w:val="28"/>
        </w:rPr>
        <w:t>表三  主要污染源及污染物处理排放情况</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_Toc17999551 \h </w:instrText>
      </w:r>
      <w:r>
        <w:rPr>
          <w:rFonts w:ascii="Times New Roman" w:hAnsi="Times New Roman"/>
          <w:color w:val="000000"/>
          <w:sz w:val="28"/>
          <w:szCs w:val="28"/>
        </w:rPr>
        <w:fldChar w:fldCharType="separate"/>
      </w:r>
      <w:r>
        <w:rPr>
          <w:rFonts w:ascii="Times New Roman" w:hAnsi="Times New Roman"/>
          <w:color w:val="000000"/>
          <w:sz w:val="28"/>
          <w:szCs w:val="28"/>
        </w:rPr>
        <w:t>14</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"_Toc17999556" </w:instrText>
      </w:r>
      <w:r>
        <w:fldChar w:fldCharType="separate"/>
      </w:r>
      <w:r>
        <w:rPr>
          <w:rStyle w:val="41"/>
          <w:rFonts w:ascii="Times New Roman" w:hAnsi="Times New Roman" w:eastAsia="仿宋"/>
          <w:color w:val="000000"/>
          <w:sz w:val="28"/>
          <w:szCs w:val="28"/>
        </w:rPr>
        <w:t>表四  建设项目环境影响报告表主要结论及审批部门审批决定</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_Toc17999556 \h </w:instrText>
      </w:r>
      <w:r>
        <w:rPr>
          <w:rFonts w:ascii="Times New Roman" w:hAnsi="Times New Roman"/>
          <w:color w:val="000000"/>
          <w:sz w:val="28"/>
          <w:szCs w:val="28"/>
        </w:rPr>
        <w:fldChar w:fldCharType="separate"/>
      </w:r>
      <w:r>
        <w:rPr>
          <w:rFonts w:ascii="Times New Roman" w:hAnsi="Times New Roman"/>
          <w:color w:val="000000"/>
          <w:sz w:val="28"/>
          <w:szCs w:val="28"/>
        </w:rPr>
        <w:t>18</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"_Toc17999557" </w:instrText>
      </w:r>
      <w:r>
        <w:fldChar w:fldCharType="separate"/>
      </w:r>
      <w:r>
        <w:rPr>
          <w:rStyle w:val="41"/>
          <w:rFonts w:ascii="Times New Roman" w:hAnsi="Times New Roman" w:eastAsia="仿宋"/>
          <w:color w:val="000000"/>
          <w:sz w:val="28"/>
          <w:szCs w:val="28"/>
        </w:rPr>
        <w:t>表五  验收监测质量保证及质量控制</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_Toc17999557 \h </w:instrText>
      </w:r>
      <w:r>
        <w:rPr>
          <w:rFonts w:ascii="Times New Roman" w:hAnsi="Times New Roman"/>
          <w:color w:val="000000"/>
          <w:sz w:val="28"/>
          <w:szCs w:val="28"/>
        </w:rPr>
        <w:fldChar w:fldCharType="separate"/>
      </w:r>
      <w:r>
        <w:rPr>
          <w:rFonts w:ascii="Times New Roman" w:hAnsi="Times New Roman"/>
          <w:color w:val="000000"/>
          <w:sz w:val="28"/>
          <w:szCs w:val="28"/>
        </w:rPr>
        <w:t>22</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"_Toc17999558" </w:instrText>
      </w:r>
      <w:r>
        <w:fldChar w:fldCharType="separate"/>
      </w:r>
      <w:r>
        <w:rPr>
          <w:rStyle w:val="41"/>
          <w:rFonts w:ascii="Times New Roman" w:hAnsi="Times New Roman" w:eastAsia="仿宋"/>
          <w:color w:val="000000"/>
          <w:sz w:val="28"/>
          <w:szCs w:val="28"/>
        </w:rPr>
        <w:t>表六  验收监测内容</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_Toc17999558 \h </w:instrText>
      </w:r>
      <w:r>
        <w:rPr>
          <w:rFonts w:ascii="Times New Roman" w:hAnsi="Times New Roman"/>
          <w:color w:val="000000"/>
          <w:sz w:val="28"/>
          <w:szCs w:val="28"/>
        </w:rPr>
        <w:fldChar w:fldCharType="separate"/>
      </w:r>
      <w:r>
        <w:rPr>
          <w:rFonts w:ascii="Times New Roman" w:hAnsi="Times New Roman"/>
          <w:color w:val="000000"/>
          <w:sz w:val="28"/>
          <w:szCs w:val="28"/>
        </w:rPr>
        <w:t>27</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"_Toc17999559" </w:instrText>
      </w:r>
      <w:r>
        <w:fldChar w:fldCharType="separate"/>
      </w:r>
      <w:r>
        <w:rPr>
          <w:rStyle w:val="41"/>
          <w:rFonts w:ascii="Times New Roman" w:hAnsi="Times New Roman" w:eastAsia="仿宋"/>
          <w:color w:val="000000"/>
          <w:sz w:val="28"/>
          <w:szCs w:val="28"/>
        </w:rPr>
        <w:t>表七  验收监测</w:t>
      </w:r>
      <w:r>
        <w:rPr>
          <w:rStyle w:val="41"/>
          <w:rFonts w:hint="eastAsia" w:ascii="Times New Roman" w:hAnsi="Times New Roman" w:eastAsia="仿宋"/>
          <w:color w:val="000000"/>
          <w:sz w:val="28"/>
          <w:szCs w:val="28"/>
        </w:rPr>
        <w:t>期间生产工况及</w:t>
      </w:r>
      <w:r>
        <w:rPr>
          <w:rStyle w:val="41"/>
          <w:rFonts w:ascii="Times New Roman" w:hAnsi="Times New Roman" w:eastAsia="仿宋"/>
          <w:color w:val="000000"/>
          <w:sz w:val="28"/>
          <w:szCs w:val="28"/>
        </w:rPr>
        <w:t>结果</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_Toc17999559 \h </w:instrText>
      </w:r>
      <w:r>
        <w:rPr>
          <w:rFonts w:ascii="Times New Roman" w:hAnsi="Times New Roman"/>
          <w:color w:val="000000"/>
          <w:sz w:val="28"/>
          <w:szCs w:val="28"/>
        </w:rPr>
        <w:fldChar w:fldCharType="separate"/>
      </w:r>
      <w:r>
        <w:rPr>
          <w:rFonts w:ascii="Times New Roman" w:hAnsi="Times New Roman"/>
          <w:color w:val="000000"/>
          <w:sz w:val="28"/>
          <w:szCs w:val="28"/>
        </w:rPr>
        <w:t>29</w:t>
      </w:r>
      <w:r>
        <w:rPr>
          <w:rFonts w:ascii="Times New Roman" w:hAnsi="Times New Roman"/>
          <w:color w:val="000000"/>
          <w:sz w:val="28"/>
          <w:szCs w:val="28"/>
        </w:rPr>
        <w:fldChar w:fldCharType="end"/>
      </w:r>
      <w:r>
        <w:fldChar w:fldCharType="end"/>
      </w:r>
    </w:p>
    <w:p>
      <w:pPr>
        <w:pStyle w:val="29"/>
        <w:tabs>
          <w:tab w:val="right" w:leader="dot" w:pos="8296"/>
        </w:tabs>
        <w:spacing w:line="480" w:lineRule="auto"/>
        <w:rPr>
          <w:rFonts w:ascii="Times New Roman" w:hAnsi="Times New Roman" w:eastAsia="宋体"/>
          <w:color w:val="000000"/>
          <w:sz w:val="28"/>
          <w:szCs w:val="28"/>
        </w:rPr>
      </w:pPr>
      <w:r>
        <w:fldChar w:fldCharType="begin"/>
      </w:r>
      <w:r>
        <w:instrText xml:space="preserve">HYPERLINK  \l "_Toc17999560" </w:instrText>
      </w:r>
      <w:r>
        <w:fldChar w:fldCharType="separate"/>
      </w:r>
      <w:r>
        <w:rPr>
          <w:rStyle w:val="41"/>
          <w:rFonts w:ascii="Times New Roman" w:hAnsi="Times New Roman" w:eastAsia="仿宋"/>
          <w:color w:val="000000"/>
          <w:sz w:val="28"/>
          <w:szCs w:val="28"/>
        </w:rPr>
        <w:t>表八  验收监测结论</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_Toc17999560 \h </w:instrText>
      </w:r>
      <w:r>
        <w:rPr>
          <w:rFonts w:ascii="Times New Roman" w:hAnsi="Times New Roman"/>
          <w:color w:val="000000"/>
          <w:sz w:val="28"/>
          <w:szCs w:val="28"/>
        </w:rPr>
        <w:fldChar w:fldCharType="separate"/>
      </w:r>
      <w:r>
        <w:rPr>
          <w:rFonts w:ascii="Times New Roman" w:hAnsi="Times New Roman"/>
          <w:color w:val="000000"/>
          <w:sz w:val="28"/>
          <w:szCs w:val="28"/>
        </w:rPr>
        <w:t>34</w:t>
      </w:r>
      <w:r>
        <w:rPr>
          <w:rFonts w:ascii="Times New Roman" w:hAnsi="Times New Roman"/>
          <w:color w:val="000000"/>
          <w:sz w:val="28"/>
          <w:szCs w:val="28"/>
        </w:rPr>
        <w:fldChar w:fldCharType="end"/>
      </w:r>
      <w:r>
        <w:fldChar w:fldCharType="end"/>
      </w:r>
    </w:p>
    <w:p>
      <w:pPr>
        <w:pStyle w:val="29"/>
        <w:tabs>
          <w:tab w:val="right" w:leader="dot" w:pos="8296"/>
        </w:tabs>
        <w:spacing w:before="120" w:line="480" w:lineRule="auto"/>
        <w:rPr>
          <w:rFonts w:ascii="Times New Roman" w:hAnsi="Times New Roman" w:eastAsia="宋体"/>
          <w:color w:val="000000"/>
          <w:sz w:val="28"/>
          <w:szCs w:val="28"/>
        </w:rPr>
      </w:pPr>
      <w:r>
        <w:fldChar w:fldCharType="begin"/>
      </w:r>
      <w:r>
        <w:instrText xml:space="preserve">HYPERLINK  \l "_Toc17999561" </w:instrText>
      </w:r>
      <w:r>
        <w:fldChar w:fldCharType="separate"/>
      </w:r>
      <w:r>
        <w:rPr>
          <w:rStyle w:val="41"/>
          <w:rFonts w:hint="eastAsia" w:ascii="Times New Roman" w:hAnsi="Times New Roman" w:eastAsia="仿宋"/>
          <w:b/>
          <w:snapToGrid w:val="0"/>
          <w:color w:val="000000"/>
          <w:kern w:val="44"/>
          <w:sz w:val="28"/>
          <w:szCs w:val="28"/>
        </w:rPr>
        <w:t>附件</w:t>
      </w:r>
      <w:r>
        <w:rPr>
          <w:rFonts w:ascii="Times New Roman" w:hAnsi="Times New Roman"/>
          <w:color w:val="000000"/>
          <w:sz w:val="28"/>
          <w:szCs w:val="28"/>
        </w:rPr>
        <w:tab/>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PAGEREF _Toc17999561 \h </w:instrText>
      </w:r>
      <w:r>
        <w:rPr>
          <w:rFonts w:ascii="Times New Roman" w:hAnsi="Times New Roman"/>
          <w:color w:val="000000"/>
          <w:sz w:val="28"/>
          <w:szCs w:val="28"/>
        </w:rPr>
        <w:fldChar w:fldCharType="separate"/>
      </w:r>
      <w:r>
        <w:rPr>
          <w:rFonts w:ascii="Times New Roman" w:hAnsi="Times New Roman"/>
          <w:color w:val="000000"/>
          <w:sz w:val="28"/>
          <w:szCs w:val="28"/>
        </w:rPr>
        <w:t>36</w:t>
      </w:r>
      <w:r>
        <w:rPr>
          <w:rFonts w:ascii="Times New Roman" w:hAnsi="Times New Roman"/>
          <w:color w:val="000000"/>
          <w:sz w:val="28"/>
          <w:szCs w:val="28"/>
        </w:rPr>
        <w:fldChar w:fldCharType="end"/>
      </w:r>
      <w:r>
        <w:fldChar w:fldCharType="end"/>
      </w:r>
    </w:p>
    <w:p>
      <w:pPr>
        <w:spacing w:line="480" w:lineRule="auto"/>
        <w:rPr>
          <w:color w:val="000000"/>
        </w:rPr>
        <w:sectPr>
          <w:pgSz w:w="11906" w:h="16838"/>
          <w:pgMar w:top="1440" w:right="1800" w:bottom="1440" w:left="1800" w:header="708" w:footer="708" w:gutter="0"/>
          <w:cols w:space="720" w:num="1"/>
          <w:docGrid w:linePitch="360" w:charSpace="0"/>
        </w:sectPr>
      </w:pPr>
      <w:r>
        <w:rPr>
          <w:rFonts w:ascii="Times New Roman" w:hAnsi="Times New Roman" w:eastAsia="仿宋"/>
          <w:b/>
          <w:bCs/>
          <w:color w:val="000000"/>
          <w:sz w:val="28"/>
          <w:szCs w:val="28"/>
          <w:lang w:val="zh-CN"/>
        </w:rPr>
        <w:fldChar w:fldCharType="end"/>
      </w:r>
    </w:p>
    <w:bookmarkEnd w:id="0"/>
    <w:p>
      <w:pPr>
        <w:pStyle w:val="56"/>
        <w:numPr>
          <w:ilvl w:val="0"/>
          <w:numId w:val="0"/>
        </w:numPr>
        <w:tabs>
          <w:tab w:val="left" w:pos="2760"/>
        </w:tabs>
        <w:spacing w:line="360" w:lineRule="auto"/>
        <w:jc w:val="both"/>
        <w:rPr>
          <w:rFonts w:ascii="仿宋" w:hAnsi="仿宋" w:eastAsia="仿宋" w:cs="宋体"/>
          <w:color w:val="000000"/>
          <w:sz w:val="24"/>
          <w:szCs w:val="24"/>
        </w:rPr>
      </w:pPr>
      <w:bookmarkStart w:id="1" w:name="_Toc17999537"/>
      <w:r>
        <w:rPr>
          <w:rFonts w:ascii="仿宋" w:hAnsi="仿宋" w:eastAsia="仿宋" w:cs="宋体"/>
          <w:color w:val="000000"/>
          <w:sz w:val="24"/>
          <w:szCs w:val="24"/>
        </w:rPr>
        <w:t>表一</w:t>
      </w:r>
      <w:r>
        <w:rPr>
          <w:rFonts w:hint="eastAsia" w:ascii="仿宋" w:hAnsi="仿宋" w:eastAsia="仿宋" w:cs="宋体"/>
          <w:color w:val="000000"/>
          <w:sz w:val="24"/>
          <w:szCs w:val="24"/>
        </w:rPr>
        <w:t xml:space="preserve"> 项目基本情况及验收依据</w:t>
      </w:r>
      <w:bookmarkEnd w:id="1"/>
    </w:p>
    <w:tbl>
      <w:tblPr>
        <w:tblStyle w:val="43"/>
        <w:tblW w:w="89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689"/>
        <w:gridCol w:w="1952"/>
        <w:gridCol w:w="1167"/>
        <w:gridCol w:w="764"/>
        <w:gridCol w:w="10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建设项目名称</w:t>
            </w:r>
          </w:p>
        </w:tc>
        <w:tc>
          <w:tcPr>
            <w:tcW w:w="6606" w:type="dxa"/>
            <w:gridSpan w:val="5"/>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w:t>
            </w:r>
          </w:p>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不锈钢产品结构升级改造配套水处理改造项目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建设单位名称</w:t>
            </w:r>
          </w:p>
        </w:tc>
        <w:tc>
          <w:tcPr>
            <w:tcW w:w="6606" w:type="dxa"/>
            <w:gridSpan w:val="5"/>
            <w:vAlign w:val="center"/>
          </w:tcPr>
          <w:p>
            <w:pPr>
              <w:spacing w:after="0" w:line="30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山西太钢不锈钢股份有限公司能源动力总厂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41"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建设项目性质</w:t>
            </w:r>
          </w:p>
        </w:tc>
        <w:tc>
          <w:tcPr>
            <w:tcW w:w="6606" w:type="dxa"/>
            <w:gridSpan w:val="5"/>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建设地点</w:t>
            </w:r>
          </w:p>
        </w:tc>
        <w:tc>
          <w:tcPr>
            <w:tcW w:w="6606" w:type="dxa"/>
            <w:gridSpan w:val="5"/>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山西太钢不锈钢股份有限公司能源动力总厂内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主要产品名称</w:t>
            </w:r>
          </w:p>
        </w:tc>
        <w:tc>
          <w:tcPr>
            <w:tcW w:w="6606" w:type="dxa"/>
            <w:gridSpan w:val="5"/>
            <w:vAlign w:val="center"/>
          </w:tcPr>
          <w:p>
            <w:pPr>
              <w:spacing w:after="0" w:line="30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工业废水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设计生产能力</w:t>
            </w:r>
          </w:p>
        </w:tc>
        <w:tc>
          <w:tcPr>
            <w:tcW w:w="6606" w:type="dxa"/>
            <w:gridSpan w:val="5"/>
            <w:vAlign w:val="center"/>
          </w:tcPr>
          <w:p>
            <w:pPr>
              <w:spacing w:after="0" w:line="300" w:lineRule="exact"/>
              <w:jc w:val="center"/>
              <w:rPr>
                <w:rFonts w:ascii="Times New Roman" w:hAnsi="Times New Roman" w:eastAsia="宋体"/>
                <w:color w:val="000000"/>
                <w:sz w:val="21"/>
                <w:szCs w:val="21"/>
              </w:rPr>
            </w:pPr>
            <w:r>
              <w:rPr>
                <w:rFonts w:hint="eastAsia" w:ascii="Times New Roman" w:hAnsi="Times New Roman" w:eastAsia="宋体"/>
                <w:bCs/>
                <w:color w:val="000000"/>
                <w:sz w:val="21"/>
                <w:szCs w:val="21"/>
              </w:rPr>
              <w:t>本项目对中和站出水进行脱氮处理，建成后废水处理能力为540m</w:t>
            </w:r>
            <w:r>
              <w:rPr>
                <w:rFonts w:hint="eastAsia" w:ascii="Times New Roman" w:hAnsi="Times New Roman" w:eastAsia="宋体"/>
                <w:bCs/>
                <w:color w:val="000000"/>
                <w:sz w:val="21"/>
                <w:szCs w:val="21"/>
                <w:vertAlign w:val="superscript"/>
              </w:rPr>
              <w:t>3</w:t>
            </w:r>
            <w:r>
              <w:rPr>
                <w:rFonts w:hint="eastAsia" w:ascii="Times New Roman" w:hAnsi="Times New Roman" w:eastAsia="宋体"/>
                <w:bCs/>
                <w:color w:val="000000"/>
                <w:sz w:val="21"/>
                <w:szCs w:val="21"/>
              </w:rPr>
              <w:t>/h（12960m</w:t>
            </w:r>
            <w:r>
              <w:rPr>
                <w:rFonts w:hint="eastAsia" w:ascii="Times New Roman" w:hAnsi="Times New Roman" w:eastAsia="宋体"/>
                <w:bCs/>
                <w:color w:val="000000"/>
                <w:sz w:val="21"/>
                <w:szCs w:val="21"/>
                <w:vertAlign w:val="superscript"/>
              </w:rPr>
              <w:t>3</w:t>
            </w:r>
            <w:r>
              <w:rPr>
                <w:rFonts w:hint="eastAsia" w:ascii="Times New Roman" w:hAnsi="Times New Roman" w:eastAsia="宋体"/>
                <w:bCs/>
                <w:color w:val="000000"/>
                <w:sz w:val="21"/>
                <w:szCs w:val="21"/>
              </w:rPr>
              <w:t>/d）。</w:t>
            </w:r>
            <w:r>
              <w:rPr>
                <w:rFonts w:ascii="Times New Roman" w:hAnsi="Times New Roman" w:eastAsia="宋体"/>
                <w:color w:val="000000"/>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实际生产能力</w:t>
            </w:r>
          </w:p>
        </w:tc>
        <w:tc>
          <w:tcPr>
            <w:tcW w:w="6606" w:type="dxa"/>
            <w:gridSpan w:val="5"/>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bCs/>
                <w:color w:val="000000"/>
                <w:sz w:val="21"/>
                <w:szCs w:val="21"/>
              </w:rPr>
              <w:t>建成后废水处理能为12953m</w:t>
            </w:r>
            <w:r>
              <w:rPr>
                <w:rFonts w:hint="eastAsia" w:ascii="Times New Roman" w:hAnsi="Times New Roman" w:eastAsia="宋体"/>
                <w:bCs/>
                <w:color w:val="000000"/>
                <w:sz w:val="21"/>
                <w:szCs w:val="21"/>
                <w:vertAlign w:val="superscript"/>
              </w:rPr>
              <w:t>3</w:t>
            </w:r>
            <w:r>
              <w:rPr>
                <w:rFonts w:hint="eastAsia" w:ascii="Times New Roman" w:hAnsi="Times New Roman" w:eastAsia="宋体"/>
                <w:bCs/>
                <w:color w:val="000000"/>
                <w:sz w:val="21"/>
                <w:szCs w:val="21"/>
              </w:rPr>
              <w:t>/d。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建设项目环评时间</w:t>
            </w:r>
          </w:p>
        </w:tc>
        <w:tc>
          <w:tcPr>
            <w:tcW w:w="168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2018年2月</w:t>
            </w:r>
          </w:p>
        </w:tc>
        <w:tc>
          <w:tcPr>
            <w:tcW w:w="195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技改开工时间</w:t>
            </w:r>
          </w:p>
        </w:tc>
        <w:tc>
          <w:tcPr>
            <w:tcW w:w="2965" w:type="dxa"/>
            <w:gridSpan w:val="3"/>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2018年3月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调试时间</w:t>
            </w:r>
          </w:p>
        </w:tc>
        <w:tc>
          <w:tcPr>
            <w:tcW w:w="168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w:t>
            </w:r>
            <w:r>
              <w:rPr>
                <w:rFonts w:hint="eastAsia" w:ascii="Times New Roman" w:hAnsi="Times New Roman" w:eastAsia="宋体"/>
                <w:color w:val="000000"/>
                <w:sz w:val="21"/>
                <w:szCs w:val="21"/>
                <w:lang w:val="en-US" w:eastAsia="zh-CN"/>
              </w:rPr>
              <w:t>20</w:t>
            </w:r>
            <w:r>
              <w:rPr>
                <w:rFonts w:ascii="Times New Roman" w:hAnsi="Times New Roman" w:eastAsia="宋体"/>
                <w:color w:val="000000"/>
                <w:sz w:val="21"/>
                <w:szCs w:val="21"/>
              </w:rPr>
              <w:t>年12月</w:t>
            </w:r>
          </w:p>
        </w:tc>
        <w:tc>
          <w:tcPr>
            <w:tcW w:w="195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验收现场监测时间</w:t>
            </w:r>
          </w:p>
        </w:tc>
        <w:tc>
          <w:tcPr>
            <w:tcW w:w="2965" w:type="dxa"/>
            <w:gridSpan w:val="3"/>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2021</w:t>
            </w:r>
            <w:r>
              <w:rPr>
                <w:rFonts w:hint="eastAsia" w:ascii="Times New Roman" w:hAnsi="Times New Roman" w:eastAsia="宋体"/>
                <w:color w:val="000000"/>
                <w:sz w:val="21"/>
                <w:szCs w:val="21"/>
              </w:rPr>
              <w:t>年</w:t>
            </w:r>
            <w:r>
              <w:rPr>
                <w:rFonts w:ascii="Times New Roman" w:hAnsi="Times New Roman" w:eastAsia="宋体"/>
                <w:color w:val="000000"/>
                <w:sz w:val="21"/>
                <w:szCs w:val="21"/>
              </w:rPr>
              <w:t>8</w:t>
            </w:r>
            <w:r>
              <w:rPr>
                <w:rFonts w:hint="eastAsia" w:ascii="Times New Roman" w:hAnsi="Times New Roman" w:eastAsia="宋体"/>
                <w:color w:val="000000"/>
                <w:sz w:val="21"/>
                <w:szCs w:val="21"/>
              </w:rPr>
              <w:t>月3日-</w:t>
            </w:r>
            <w:r>
              <w:rPr>
                <w:rFonts w:ascii="Times New Roman" w:hAnsi="Times New Roman" w:eastAsia="宋体"/>
                <w:color w:val="000000"/>
                <w:sz w:val="21"/>
                <w:szCs w:val="21"/>
              </w:rPr>
              <w:t>8</w:t>
            </w:r>
            <w:r>
              <w:rPr>
                <w:rFonts w:hint="eastAsia" w:ascii="Times New Roman" w:hAnsi="Times New Roman" w:eastAsia="宋体"/>
                <w:color w:val="000000"/>
                <w:sz w:val="21"/>
                <w:szCs w:val="21"/>
              </w:rPr>
              <w:t>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环评报告表</w:t>
            </w:r>
          </w:p>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审批部门</w:t>
            </w:r>
          </w:p>
        </w:tc>
        <w:tc>
          <w:tcPr>
            <w:tcW w:w="168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太原市环境保护局尖草坪分局</w:t>
            </w:r>
          </w:p>
        </w:tc>
        <w:tc>
          <w:tcPr>
            <w:tcW w:w="195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环评报告表</w:t>
            </w:r>
          </w:p>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编制单位</w:t>
            </w:r>
          </w:p>
        </w:tc>
        <w:tc>
          <w:tcPr>
            <w:tcW w:w="2965" w:type="dxa"/>
            <w:gridSpan w:val="3"/>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山西清源环境咨询有限公司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环保设施设计单位</w:t>
            </w:r>
          </w:p>
        </w:tc>
        <w:tc>
          <w:tcPr>
            <w:tcW w:w="1689" w:type="dxa"/>
            <w:vAlign w:val="center"/>
          </w:tcPr>
          <w:p>
            <w:pPr>
              <w:spacing w:after="0"/>
              <w:jc w:val="center"/>
              <w:rPr>
                <w:color w:val="000000"/>
              </w:rPr>
            </w:pPr>
            <w:r>
              <w:rPr>
                <w:rFonts w:hint="eastAsia" w:ascii="Times New Roman" w:hAnsi="Times New Roman" w:eastAsia="宋体"/>
                <w:color w:val="000000"/>
                <w:sz w:val="21"/>
                <w:szCs w:val="21"/>
              </w:rPr>
              <w:t>中冶南方工程技术有限公司</w:t>
            </w:r>
          </w:p>
        </w:tc>
        <w:tc>
          <w:tcPr>
            <w:tcW w:w="195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环保设施施工单位</w:t>
            </w:r>
          </w:p>
        </w:tc>
        <w:tc>
          <w:tcPr>
            <w:tcW w:w="2965" w:type="dxa"/>
            <w:gridSpan w:val="3"/>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安阳建工（集团）</w:t>
            </w:r>
          </w:p>
          <w:p>
            <w:pPr>
              <w:spacing w:after="0"/>
              <w:jc w:val="center"/>
              <w:rPr>
                <w:rFonts w:ascii="Times New Roman" w:hAnsi="Times New Roman" w:eastAsia="宋体"/>
                <w:color w:val="000000"/>
                <w:szCs w:val="21"/>
              </w:rPr>
            </w:pPr>
            <w:r>
              <w:rPr>
                <w:rFonts w:hint="eastAsia" w:ascii="Times New Roman" w:hAnsi="Times New Roman" w:eastAsia="宋体"/>
                <w:color w:val="000000"/>
                <w:sz w:val="21"/>
                <w:szCs w:val="21"/>
              </w:rPr>
              <w:t>有限责任公司</w:t>
            </w:r>
            <w:r>
              <w:rPr>
                <w:rFonts w:hint="eastAsia" w:ascii="Times New Roman" w:hAnsi="Times New Roman" w:eastAsia="宋体"/>
                <w:color w:val="000000"/>
                <w:sz w:val="21"/>
                <w:szCs w:val="21"/>
                <w:lang w:eastAsia="zh-CN"/>
              </w:rPr>
              <w:t>、山西矿山建设股份有限公司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投资总概算</w:t>
            </w:r>
            <w:r>
              <w:rPr>
                <w:rFonts w:hint="eastAsia" w:ascii="Times New Roman" w:hAnsi="Times New Roman" w:eastAsia="宋体"/>
                <w:color w:val="000000"/>
                <w:spacing w:val="-20"/>
                <w:sz w:val="21"/>
                <w:szCs w:val="21"/>
              </w:rPr>
              <w:t>（万元）</w:t>
            </w:r>
          </w:p>
        </w:tc>
        <w:tc>
          <w:tcPr>
            <w:tcW w:w="168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6095</w:t>
            </w:r>
          </w:p>
        </w:tc>
        <w:tc>
          <w:tcPr>
            <w:tcW w:w="1952" w:type="dxa"/>
            <w:vAlign w:val="center"/>
          </w:tcPr>
          <w:p>
            <w:pPr>
              <w:spacing w:after="0"/>
              <w:jc w:val="center"/>
              <w:rPr>
                <w:rFonts w:ascii="Times New Roman" w:hAnsi="Times New Roman" w:eastAsia="宋体"/>
                <w:color w:val="000000"/>
                <w:spacing w:val="-20"/>
                <w:sz w:val="21"/>
                <w:szCs w:val="21"/>
              </w:rPr>
            </w:pPr>
            <w:r>
              <w:rPr>
                <w:rFonts w:ascii="Times New Roman" w:hAnsi="Times New Roman" w:eastAsia="宋体"/>
                <w:color w:val="000000"/>
                <w:sz w:val="21"/>
                <w:szCs w:val="21"/>
              </w:rPr>
              <w:t>环保投资总概算</w:t>
            </w:r>
            <w:r>
              <w:rPr>
                <w:rFonts w:hint="eastAsia" w:ascii="Times New Roman" w:hAnsi="Times New Roman" w:eastAsia="宋体"/>
                <w:color w:val="000000"/>
                <w:sz w:val="21"/>
                <w:szCs w:val="21"/>
              </w:rPr>
              <w:t>（万元）</w:t>
            </w:r>
          </w:p>
        </w:tc>
        <w:tc>
          <w:tcPr>
            <w:tcW w:w="116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6095</w:t>
            </w:r>
          </w:p>
        </w:tc>
        <w:tc>
          <w:tcPr>
            <w:tcW w:w="76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比例</w:t>
            </w:r>
          </w:p>
        </w:tc>
        <w:tc>
          <w:tcPr>
            <w:tcW w:w="103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实际总概算</w:t>
            </w:r>
            <w:r>
              <w:rPr>
                <w:rFonts w:hint="eastAsia" w:ascii="Times New Roman" w:hAnsi="Times New Roman" w:eastAsia="宋体"/>
                <w:color w:val="000000"/>
                <w:spacing w:val="-20"/>
                <w:sz w:val="21"/>
                <w:szCs w:val="21"/>
              </w:rPr>
              <w:t>（万元）</w:t>
            </w:r>
          </w:p>
        </w:tc>
        <w:tc>
          <w:tcPr>
            <w:tcW w:w="168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6090</w:t>
            </w:r>
          </w:p>
        </w:tc>
        <w:tc>
          <w:tcPr>
            <w:tcW w:w="195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环保投资</w:t>
            </w:r>
            <w:r>
              <w:rPr>
                <w:rFonts w:hint="eastAsia" w:ascii="Times New Roman" w:hAnsi="Times New Roman" w:eastAsia="宋体"/>
                <w:color w:val="000000"/>
                <w:spacing w:val="-20"/>
                <w:sz w:val="21"/>
                <w:szCs w:val="21"/>
              </w:rPr>
              <w:t>（万元）</w:t>
            </w:r>
          </w:p>
        </w:tc>
        <w:tc>
          <w:tcPr>
            <w:tcW w:w="116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6090</w:t>
            </w:r>
          </w:p>
        </w:tc>
        <w:tc>
          <w:tcPr>
            <w:tcW w:w="76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比例</w:t>
            </w:r>
          </w:p>
        </w:tc>
        <w:tc>
          <w:tcPr>
            <w:tcW w:w="103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验收监测依据</w:t>
            </w:r>
          </w:p>
        </w:tc>
        <w:tc>
          <w:tcPr>
            <w:tcW w:w="6606" w:type="dxa"/>
            <w:gridSpan w:val="5"/>
            <w:vAlign w:val="center"/>
          </w:tcPr>
          <w:p>
            <w:pPr>
              <w:widowControl w:val="0"/>
              <w:adjustRightInd/>
              <w:snapToGrid/>
              <w:spacing w:before="120" w:beforeLines="50" w:after="120" w:afterLines="50" w:line="360" w:lineRule="auto"/>
              <w:jc w:val="both"/>
              <w:rPr>
                <w:rFonts w:ascii="Times New Roman" w:hAnsi="Times New Roman" w:eastAsia="宋体" w:cs="Tahoma"/>
                <w:b/>
                <w:bCs/>
                <w:color w:val="000000"/>
                <w:kern w:val="2"/>
                <w:sz w:val="24"/>
                <w:szCs w:val="24"/>
              </w:rPr>
            </w:pPr>
            <w:r>
              <w:rPr>
                <w:rFonts w:ascii="Times New Roman" w:hAnsi="Times New Roman" w:eastAsia="宋体"/>
                <w:b/>
                <w:bCs/>
                <w:color w:val="000000"/>
                <w:kern w:val="2"/>
                <w:sz w:val="24"/>
                <w:szCs w:val="24"/>
              </w:rPr>
              <w:t>1</w:t>
            </w:r>
            <w:r>
              <w:rPr>
                <w:rFonts w:hint="eastAsia" w:ascii="Times New Roman" w:hAnsi="Times New Roman" w:eastAsia="宋体" w:cs="宋体"/>
                <w:b/>
                <w:bCs/>
                <w:color w:val="000000"/>
                <w:kern w:val="2"/>
                <w:sz w:val="24"/>
                <w:szCs w:val="24"/>
              </w:rPr>
              <w:t>、建设项目环境保护相关法律、法规和规章制度</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）《中华人民共和国环境保护法》（</w:t>
            </w:r>
            <w:r>
              <w:rPr>
                <w:rFonts w:ascii="Times New Roman" w:hAnsi="Times New Roman" w:eastAsia="宋体"/>
                <w:color w:val="000000"/>
                <w:kern w:val="2"/>
                <w:sz w:val="24"/>
                <w:szCs w:val="24"/>
              </w:rPr>
              <w:t>2015</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2</w:t>
            </w:r>
            <w:r>
              <w:rPr>
                <w:rFonts w:hint="eastAsia" w:ascii="Times New Roman" w:hAnsi="Times New Roman" w:eastAsia="宋体" w:cs="宋体"/>
                <w:color w:val="000000"/>
                <w:kern w:val="2"/>
                <w:sz w:val="24"/>
                <w:szCs w:val="24"/>
              </w:rPr>
              <w:t>）《中华人民共和国环境影响评价法》（</w:t>
            </w:r>
            <w:r>
              <w:rPr>
                <w:rFonts w:ascii="Times New Roman" w:hAnsi="Times New Roman" w:eastAsia="宋体"/>
                <w:color w:val="000000"/>
                <w:kern w:val="2"/>
                <w:sz w:val="24"/>
                <w:szCs w:val="24"/>
              </w:rPr>
              <w:t>2018</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12</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29</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3</w:t>
            </w:r>
            <w:r>
              <w:rPr>
                <w:rFonts w:hint="eastAsia" w:ascii="Times New Roman" w:hAnsi="Times New Roman" w:eastAsia="宋体" w:cs="宋体"/>
                <w:color w:val="000000"/>
                <w:kern w:val="2"/>
                <w:sz w:val="24"/>
                <w:szCs w:val="24"/>
              </w:rPr>
              <w:t>）《中华人民共和国大气污染防治法》（</w:t>
            </w:r>
            <w:r>
              <w:rPr>
                <w:rFonts w:ascii="Times New Roman" w:hAnsi="Times New Roman" w:eastAsia="宋体"/>
                <w:color w:val="000000"/>
                <w:kern w:val="2"/>
                <w:sz w:val="24"/>
                <w:szCs w:val="24"/>
              </w:rPr>
              <w:t>2018</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11</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13</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4</w:t>
            </w:r>
            <w:r>
              <w:rPr>
                <w:rFonts w:hint="eastAsia" w:ascii="Times New Roman" w:hAnsi="Times New Roman" w:eastAsia="宋体" w:cs="宋体"/>
                <w:color w:val="000000"/>
                <w:kern w:val="2"/>
                <w:sz w:val="24"/>
                <w:szCs w:val="24"/>
              </w:rPr>
              <w:t>）《中华人民共和国固体废弃物污染环境防治法》（</w:t>
            </w:r>
            <w:r>
              <w:rPr>
                <w:rFonts w:ascii="Times New Roman" w:hAnsi="Times New Roman" w:eastAsia="宋体"/>
                <w:color w:val="000000"/>
                <w:kern w:val="2"/>
                <w:sz w:val="24"/>
                <w:szCs w:val="24"/>
              </w:rPr>
              <w:t>2020</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9</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5</w:t>
            </w:r>
            <w:r>
              <w:rPr>
                <w:rFonts w:hint="eastAsia" w:ascii="Times New Roman" w:hAnsi="Times New Roman" w:eastAsia="宋体" w:cs="宋体"/>
                <w:color w:val="000000"/>
                <w:kern w:val="2"/>
                <w:sz w:val="24"/>
                <w:szCs w:val="24"/>
              </w:rPr>
              <w:t>）《中华人民共和国环境噪声污染防治法》（</w:t>
            </w:r>
            <w:r>
              <w:rPr>
                <w:rFonts w:ascii="Times New Roman" w:hAnsi="Times New Roman" w:eastAsia="宋体"/>
                <w:color w:val="000000"/>
                <w:kern w:val="2"/>
                <w:sz w:val="24"/>
                <w:szCs w:val="24"/>
              </w:rPr>
              <w:t>2018</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12</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29</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6</w:t>
            </w:r>
            <w:r>
              <w:rPr>
                <w:rFonts w:hint="eastAsia" w:ascii="Times New Roman" w:hAnsi="Times New Roman" w:eastAsia="宋体" w:cs="宋体"/>
                <w:color w:val="000000"/>
                <w:kern w:val="2"/>
                <w:sz w:val="24"/>
                <w:szCs w:val="24"/>
              </w:rPr>
              <w:t>）《建设项目环境保护管理条例》（</w:t>
            </w:r>
            <w:r>
              <w:rPr>
                <w:rFonts w:ascii="Times New Roman" w:hAnsi="Times New Roman" w:eastAsia="宋体"/>
                <w:color w:val="000000"/>
                <w:kern w:val="2"/>
                <w:sz w:val="24"/>
                <w:szCs w:val="24"/>
              </w:rPr>
              <w:t>2017</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10</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号）；</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7</w:t>
            </w:r>
            <w:r>
              <w:rPr>
                <w:rFonts w:hint="eastAsia" w:ascii="Times New Roman" w:hAnsi="Times New Roman" w:eastAsia="宋体" w:cs="宋体"/>
                <w:color w:val="000000"/>
                <w:kern w:val="2"/>
                <w:sz w:val="24"/>
                <w:szCs w:val="24"/>
              </w:rPr>
              <w:t>）《关于推进实施钢铁行业超低排放的意见》（环大气﹝</w:t>
            </w:r>
            <w:r>
              <w:rPr>
                <w:rFonts w:ascii="Times New Roman" w:hAnsi="Times New Roman" w:eastAsia="宋体"/>
                <w:color w:val="000000"/>
                <w:kern w:val="2"/>
                <w:sz w:val="24"/>
                <w:szCs w:val="24"/>
              </w:rPr>
              <w:t>2019</w:t>
            </w: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35</w:t>
            </w:r>
            <w:r>
              <w:rPr>
                <w:rFonts w:hint="eastAsia" w:ascii="Times New Roman" w:hAnsi="Times New Roman" w:eastAsia="宋体" w:cs="宋体"/>
                <w:color w:val="000000"/>
                <w:kern w:val="2"/>
                <w:sz w:val="24"/>
                <w:szCs w:val="24"/>
              </w:rPr>
              <w:t>号，</w:t>
            </w:r>
            <w:r>
              <w:rPr>
                <w:rFonts w:ascii="Times New Roman" w:hAnsi="Times New Roman" w:eastAsia="宋体"/>
                <w:color w:val="000000"/>
                <w:kern w:val="2"/>
                <w:sz w:val="24"/>
                <w:szCs w:val="24"/>
              </w:rPr>
              <w:t>2019</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4</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28</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8</w:t>
            </w:r>
            <w:r>
              <w:rPr>
                <w:rFonts w:hint="eastAsia" w:ascii="Times New Roman" w:hAnsi="Times New Roman" w:eastAsia="宋体" w:cs="宋体"/>
                <w:color w:val="000000"/>
                <w:kern w:val="2"/>
                <w:sz w:val="24"/>
                <w:szCs w:val="24"/>
              </w:rPr>
              <w:t>）《关于印发山西省打赢蓝天保卫战</w:t>
            </w:r>
            <w:r>
              <w:rPr>
                <w:rFonts w:ascii="Times New Roman" w:hAnsi="Times New Roman" w:eastAsia="宋体"/>
                <w:color w:val="000000"/>
                <w:kern w:val="2"/>
                <w:sz w:val="24"/>
                <w:szCs w:val="24"/>
              </w:rPr>
              <w:t>2020</w:t>
            </w:r>
            <w:r>
              <w:rPr>
                <w:rFonts w:hint="eastAsia" w:ascii="Times New Roman" w:hAnsi="Times New Roman" w:eastAsia="宋体" w:cs="宋体"/>
                <w:color w:val="000000"/>
                <w:kern w:val="2"/>
                <w:sz w:val="24"/>
                <w:szCs w:val="24"/>
              </w:rPr>
              <w:t>年决战计划的通知》（晋政办发﹝</w:t>
            </w:r>
            <w:r>
              <w:rPr>
                <w:rFonts w:ascii="Times New Roman" w:hAnsi="Times New Roman" w:eastAsia="宋体"/>
                <w:color w:val="000000"/>
                <w:kern w:val="2"/>
                <w:sz w:val="24"/>
                <w:szCs w:val="24"/>
              </w:rPr>
              <w:t>2020</w:t>
            </w: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17</w:t>
            </w:r>
            <w:r>
              <w:rPr>
                <w:rFonts w:hint="eastAsia" w:ascii="Times New Roman" w:hAnsi="Times New Roman" w:eastAsia="宋体" w:cs="宋体"/>
                <w:color w:val="000000"/>
                <w:kern w:val="2"/>
                <w:sz w:val="24"/>
                <w:szCs w:val="24"/>
              </w:rPr>
              <w:t>号，</w:t>
            </w:r>
            <w:r>
              <w:rPr>
                <w:rFonts w:ascii="Times New Roman" w:hAnsi="Times New Roman" w:eastAsia="宋体"/>
                <w:color w:val="000000"/>
                <w:kern w:val="2"/>
                <w:sz w:val="24"/>
                <w:szCs w:val="24"/>
              </w:rPr>
              <w:t>2020</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3</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12</w:t>
            </w:r>
            <w:r>
              <w:rPr>
                <w:rFonts w:hint="eastAsia" w:ascii="Times New Roman" w:hAnsi="Times New Roman" w:eastAsia="宋体" w:cs="宋体"/>
                <w:color w:val="000000"/>
                <w:kern w:val="2"/>
                <w:sz w:val="24"/>
                <w:szCs w:val="24"/>
              </w:rPr>
              <w:t>日）。</w:t>
            </w:r>
          </w:p>
          <w:p>
            <w:pPr>
              <w:widowControl w:val="0"/>
              <w:adjustRightInd/>
              <w:snapToGrid/>
              <w:spacing w:before="120" w:beforeLines="50" w:after="120" w:afterLines="50" w:line="360" w:lineRule="auto"/>
              <w:jc w:val="both"/>
              <w:rPr>
                <w:rFonts w:ascii="Times New Roman" w:hAnsi="Times New Roman" w:eastAsia="宋体" w:cs="Tahoma"/>
                <w:b/>
                <w:bCs/>
                <w:color w:val="000000"/>
                <w:kern w:val="2"/>
                <w:sz w:val="24"/>
                <w:szCs w:val="24"/>
              </w:rPr>
            </w:pPr>
            <w:r>
              <w:rPr>
                <w:rFonts w:ascii="Times New Roman" w:hAnsi="Times New Roman" w:eastAsia="宋体"/>
                <w:b/>
                <w:bCs/>
                <w:color w:val="000000"/>
                <w:kern w:val="2"/>
                <w:sz w:val="24"/>
                <w:szCs w:val="24"/>
              </w:rPr>
              <w:t>2</w:t>
            </w:r>
            <w:r>
              <w:rPr>
                <w:rFonts w:hint="eastAsia" w:ascii="Times New Roman" w:hAnsi="Times New Roman" w:eastAsia="宋体" w:cs="宋体"/>
                <w:b/>
                <w:bCs/>
                <w:color w:val="000000"/>
                <w:kern w:val="2"/>
                <w:sz w:val="24"/>
                <w:szCs w:val="24"/>
              </w:rPr>
              <w:t>、建设项目竣工环境保护验收技术规范</w:t>
            </w:r>
          </w:p>
          <w:p>
            <w:pPr>
              <w:widowControl w:val="0"/>
              <w:adjustRightInd/>
              <w:snapToGrid/>
              <w:spacing w:after="0" w:line="360" w:lineRule="auto"/>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）《建设项目竣工环境保护验收暂行办法》（国环规环评</w:t>
            </w:r>
            <w:r>
              <w:rPr>
                <w:rFonts w:ascii="Times New Roman" w:hAnsi="Times New Roman" w:eastAsia="宋体"/>
                <w:color w:val="000000"/>
                <w:kern w:val="2"/>
                <w:sz w:val="24"/>
                <w:szCs w:val="24"/>
              </w:rPr>
              <w:t>[2017]4</w:t>
            </w:r>
            <w:r>
              <w:rPr>
                <w:rFonts w:hint="eastAsia" w:ascii="Times New Roman" w:hAnsi="Times New Roman" w:eastAsia="宋体" w:cs="宋体"/>
                <w:color w:val="000000"/>
                <w:kern w:val="2"/>
                <w:sz w:val="24"/>
                <w:szCs w:val="24"/>
              </w:rPr>
              <w:t>号，</w:t>
            </w:r>
            <w:r>
              <w:rPr>
                <w:rFonts w:ascii="Times New Roman" w:hAnsi="Times New Roman" w:eastAsia="宋体"/>
                <w:color w:val="000000"/>
                <w:kern w:val="2"/>
                <w:sz w:val="24"/>
                <w:szCs w:val="24"/>
              </w:rPr>
              <w:t>2017</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11</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22</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rFonts w:ascii="Times New Roman" w:hAnsi="Times New Roman" w:eastAsia="宋体" w:cs="宋体"/>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2</w:t>
            </w:r>
            <w:r>
              <w:rPr>
                <w:rFonts w:hint="eastAsia" w:ascii="Times New Roman" w:hAnsi="Times New Roman" w:eastAsia="宋体" w:cs="宋体"/>
                <w:color w:val="000000"/>
                <w:kern w:val="2"/>
                <w:sz w:val="24"/>
                <w:szCs w:val="24"/>
              </w:rPr>
              <w:t>）《建设项目竣工环境保护验收技术指南</w:t>
            </w:r>
            <w:r>
              <w:rPr>
                <w:rFonts w:ascii="Times New Roman" w:hAnsi="Times New Roman" w:eastAsia="宋体"/>
                <w:color w:val="000000"/>
                <w:kern w:val="2"/>
                <w:sz w:val="24"/>
                <w:szCs w:val="24"/>
              </w:rPr>
              <w:t xml:space="preserve"> </w:t>
            </w:r>
            <w:r>
              <w:rPr>
                <w:rFonts w:hint="eastAsia" w:ascii="Times New Roman" w:hAnsi="Times New Roman" w:eastAsia="宋体" w:cs="宋体"/>
                <w:color w:val="000000"/>
                <w:kern w:val="2"/>
                <w:sz w:val="24"/>
                <w:szCs w:val="24"/>
              </w:rPr>
              <w:t>污染影响类》（生态环境保护部公告</w:t>
            </w:r>
            <w:r>
              <w:rPr>
                <w:rFonts w:ascii="Times New Roman" w:hAnsi="Times New Roman" w:eastAsia="宋体"/>
                <w:color w:val="000000"/>
                <w:kern w:val="2"/>
                <w:sz w:val="24"/>
                <w:szCs w:val="24"/>
              </w:rPr>
              <w:t>2018</w:t>
            </w:r>
            <w:r>
              <w:rPr>
                <w:rFonts w:hint="eastAsia" w:ascii="Times New Roman" w:hAnsi="Times New Roman" w:eastAsia="宋体" w:cs="宋体"/>
                <w:color w:val="000000"/>
                <w:kern w:val="2"/>
                <w:sz w:val="24"/>
                <w:szCs w:val="24"/>
              </w:rPr>
              <w:t>年第</w:t>
            </w:r>
            <w:r>
              <w:rPr>
                <w:rFonts w:ascii="Times New Roman" w:hAnsi="Times New Roman" w:eastAsia="宋体"/>
                <w:color w:val="000000"/>
                <w:kern w:val="2"/>
                <w:sz w:val="24"/>
                <w:szCs w:val="24"/>
              </w:rPr>
              <w:t>9</w:t>
            </w:r>
            <w:r>
              <w:rPr>
                <w:rFonts w:hint="eastAsia" w:ascii="Times New Roman" w:hAnsi="Times New Roman" w:eastAsia="宋体" w:cs="宋体"/>
                <w:color w:val="000000"/>
                <w:kern w:val="2"/>
                <w:sz w:val="24"/>
                <w:szCs w:val="24"/>
              </w:rPr>
              <w:t>号，</w:t>
            </w:r>
            <w:r>
              <w:rPr>
                <w:rFonts w:ascii="Times New Roman" w:hAnsi="Times New Roman" w:eastAsia="宋体"/>
                <w:color w:val="000000"/>
                <w:kern w:val="2"/>
                <w:sz w:val="24"/>
                <w:szCs w:val="24"/>
              </w:rPr>
              <w:t>2018</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5</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15</w:t>
            </w:r>
            <w:r>
              <w:rPr>
                <w:rFonts w:hint="eastAsia" w:ascii="Times New Roman" w:hAnsi="Times New Roman" w:eastAsia="宋体" w:cs="宋体"/>
                <w:color w:val="000000"/>
                <w:kern w:val="2"/>
                <w:sz w:val="24"/>
                <w:szCs w:val="24"/>
              </w:rPr>
              <w:t>日）；</w:t>
            </w:r>
          </w:p>
          <w:p>
            <w:pPr>
              <w:pStyle w:val="54"/>
              <w:spacing w:before="120" w:beforeLines="50" w:after="120" w:afterLines="50"/>
              <w:rPr>
                <w:rFonts w:cs="宋体"/>
                <w:b/>
                <w:bCs/>
                <w:color w:val="000000"/>
                <w:sz w:val="24"/>
                <w:szCs w:val="24"/>
              </w:rPr>
            </w:pPr>
            <w:r>
              <w:rPr>
                <w:b/>
                <w:bCs/>
                <w:color w:val="000000"/>
              </w:rPr>
              <w:t>3</w:t>
            </w:r>
            <w:r>
              <w:rPr>
                <w:rFonts w:hint="eastAsia" w:cs="宋体"/>
                <w:b/>
                <w:bCs/>
                <w:color w:val="000000"/>
              </w:rPr>
              <w:t>、</w:t>
            </w:r>
            <w:r>
              <w:rPr>
                <w:rFonts w:hint="eastAsia" w:cs="宋体"/>
                <w:b/>
                <w:bCs/>
                <w:color w:val="000000"/>
                <w:sz w:val="24"/>
                <w:szCs w:val="24"/>
              </w:rPr>
              <w:t>建设项目环境影响报告书（表）及其审批部门审批决定</w:t>
            </w:r>
          </w:p>
          <w:p>
            <w:pPr>
              <w:widowControl w:val="0"/>
              <w:adjustRightInd/>
              <w:snapToGrid/>
              <w:spacing w:after="0" w:line="360" w:lineRule="auto"/>
              <w:jc w:val="both"/>
              <w:rPr>
                <w:rFonts w:ascii="Times New Roman" w:hAnsi="Times New Roman" w:eastAsia="宋体" w:cs="宋体"/>
                <w:color w:val="000000"/>
                <w:kern w:val="2"/>
                <w:sz w:val="24"/>
                <w:szCs w:val="24"/>
              </w:rPr>
            </w:pPr>
            <w:r>
              <w:rPr>
                <w:rFonts w:ascii="Times New Roman" w:hAnsi="Times New Roman" w:eastAsia="宋体" w:cs="宋体"/>
                <w:color w:val="000000"/>
                <w:kern w:val="2"/>
                <w:sz w:val="24"/>
                <w:szCs w:val="24"/>
              </w:rPr>
              <w:t>（1）《</w:t>
            </w:r>
            <w:r>
              <w:rPr>
                <w:rFonts w:hint="eastAsia" w:ascii="Times New Roman" w:hAnsi="Times New Roman" w:eastAsia="宋体" w:cs="宋体"/>
                <w:color w:val="000000"/>
                <w:kern w:val="2"/>
                <w:sz w:val="24"/>
                <w:szCs w:val="24"/>
              </w:rPr>
              <w:t>山西太钢不锈钢股份有限公司不锈钢产品结构升级改造配套水处理改造项目</w:t>
            </w:r>
            <w:r>
              <w:rPr>
                <w:rFonts w:ascii="Times New Roman" w:hAnsi="Times New Roman" w:eastAsia="宋体" w:cs="宋体"/>
                <w:color w:val="000000"/>
                <w:kern w:val="2"/>
                <w:sz w:val="24"/>
                <w:szCs w:val="24"/>
              </w:rPr>
              <w:t>环境影响报告表》（山西清源环境咨询有限公司，2018年1月）</w:t>
            </w:r>
          </w:p>
          <w:p>
            <w:pPr>
              <w:widowControl w:val="0"/>
              <w:adjustRightInd/>
              <w:snapToGrid/>
              <w:spacing w:after="0" w:line="360" w:lineRule="auto"/>
              <w:jc w:val="both"/>
              <w:rPr>
                <w:rFonts w:ascii="Times New Roman" w:hAnsi="Times New Roman" w:eastAsia="宋体" w:cs="宋体"/>
                <w:color w:val="000000"/>
                <w:kern w:val="2"/>
                <w:sz w:val="24"/>
                <w:szCs w:val="24"/>
              </w:rPr>
            </w:pPr>
            <w:r>
              <w:rPr>
                <w:rFonts w:ascii="Times New Roman" w:hAnsi="Times New Roman" w:eastAsia="宋体" w:cs="宋体"/>
                <w:color w:val="000000"/>
                <w:kern w:val="2"/>
                <w:sz w:val="24"/>
                <w:szCs w:val="24"/>
              </w:rPr>
              <w:t>（2）《关于对</w:t>
            </w:r>
            <w:r>
              <w:rPr>
                <w:rFonts w:hint="eastAsia" w:ascii="Times New Roman" w:hAnsi="Times New Roman" w:eastAsia="宋体" w:cs="宋体"/>
                <w:color w:val="000000"/>
                <w:kern w:val="2"/>
                <w:sz w:val="24"/>
                <w:szCs w:val="24"/>
              </w:rPr>
              <w:t>山西太钢不锈钢股份有限公司不锈钢产品结构升级改造配套水处理改造项目</w:t>
            </w:r>
            <w:r>
              <w:rPr>
                <w:rFonts w:ascii="Times New Roman" w:hAnsi="Times New Roman" w:eastAsia="宋体" w:cs="宋体"/>
                <w:color w:val="000000"/>
                <w:kern w:val="2"/>
                <w:sz w:val="24"/>
                <w:szCs w:val="24"/>
              </w:rPr>
              <w:t>环境影响报告表的批复》（并环尖审批[2018]第3号，2018年2月）</w:t>
            </w:r>
          </w:p>
          <w:p>
            <w:pPr>
              <w:pStyle w:val="54"/>
              <w:spacing w:before="120" w:beforeLines="50" w:after="120" w:afterLines="50"/>
              <w:rPr>
                <w:rFonts w:cs="宋体"/>
                <w:b/>
                <w:bCs/>
                <w:color w:val="000000"/>
                <w:sz w:val="24"/>
                <w:szCs w:val="24"/>
              </w:rPr>
            </w:pPr>
            <w:r>
              <w:rPr>
                <w:rFonts w:cs="宋体"/>
                <w:b/>
                <w:bCs/>
                <w:color w:val="000000"/>
                <w:sz w:val="24"/>
                <w:szCs w:val="24"/>
              </w:rPr>
              <w:t>4</w:t>
            </w:r>
            <w:r>
              <w:rPr>
                <w:rFonts w:hint="eastAsia" w:cs="宋体"/>
                <w:b/>
                <w:bCs/>
                <w:color w:val="000000"/>
                <w:sz w:val="24"/>
                <w:szCs w:val="24"/>
              </w:rPr>
              <w:t>、其他相关文件</w:t>
            </w:r>
          </w:p>
          <w:p>
            <w:pPr>
              <w:widowControl w:val="0"/>
              <w:adjustRightInd/>
              <w:snapToGrid/>
              <w:spacing w:after="0" w:line="360" w:lineRule="auto"/>
              <w:jc w:val="both"/>
              <w:rPr>
                <w:rFonts w:ascii="Times New Roman" w:hAnsi="Times New Roman" w:eastAsia="宋体" w:cs="宋体"/>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）《山西太钢不锈钢股份有限公司不锈钢产品结构升级改造配套水处理改造项目竣工验收监测报告》（山西华普检测技术有限公司，No：HPHJ2021DQ029</w:t>
            </w:r>
            <w:r>
              <w:rPr>
                <w:rFonts w:ascii="Times New Roman" w:hAnsi="Times New Roman" w:eastAsia="宋体" w:cs="宋体"/>
                <w:color w:val="000000"/>
                <w:kern w:val="2"/>
                <w:sz w:val="24"/>
                <w:szCs w:val="24"/>
              </w:rPr>
              <w:t>4</w:t>
            </w: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2021</w:t>
            </w:r>
            <w:r>
              <w:rPr>
                <w:rFonts w:hint="eastAsia" w:ascii="Times New Roman" w:hAnsi="Times New Roman" w:eastAsia="宋体" w:cs="宋体"/>
                <w:color w:val="000000"/>
                <w:kern w:val="2"/>
                <w:sz w:val="24"/>
                <w:szCs w:val="24"/>
              </w:rPr>
              <w:t>年</w:t>
            </w:r>
            <w:r>
              <w:rPr>
                <w:rFonts w:ascii="Times New Roman" w:hAnsi="Times New Roman" w:eastAsia="宋体"/>
                <w:color w:val="000000"/>
                <w:kern w:val="2"/>
                <w:sz w:val="24"/>
                <w:szCs w:val="24"/>
              </w:rPr>
              <w:t>8</w:t>
            </w:r>
            <w:r>
              <w:rPr>
                <w:rFonts w:hint="eastAsia" w:ascii="Times New Roman" w:hAnsi="Times New Roman" w:eastAsia="宋体" w:cs="宋体"/>
                <w:color w:val="000000"/>
                <w:kern w:val="2"/>
                <w:sz w:val="24"/>
                <w:szCs w:val="24"/>
              </w:rPr>
              <w:t>月</w:t>
            </w:r>
            <w:r>
              <w:rPr>
                <w:rFonts w:ascii="Times New Roman" w:hAnsi="Times New Roman" w:eastAsia="宋体"/>
                <w:color w:val="000000"/>
                <w:kern w:val="2"/>
                <w:sz w:val="24"/>
                <w:szCs w:val="24"/>
              </w:rPr>
              <w:t>6</w:t>
            </w:r>
            <w:r>
              <w:rPr>
                <w:rFonts w:hint="eastAsia" w:ascii="Times New Roman" w:hAnsi="Times New Roman" w:eastAsia="宋体" w:cs="宋体"/>
                <w:color w:val="000000"/>
                <w:kern w:val="2"/>
                <w:sz w:val="24"/>
                <w:szCs w:val="24"/>
              </w:rPr>
              <w:t>日）。</w:t>
            </w:r>
          </w:p>
          <w:p>
            <w:pPr>
              <w:widowControl w:val="0"/>
              <w:adjustRightInd/>
              <w:snapToGrid/>
              <w:spacing w:after="0" w:line="360" w:lineRule="auto"/>
              <w:jc w:val="both"/>
              <w:rPr>
                <w:color w:val="000000"/>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2</w:t>
            </w:r>
            <w:r>
              <w:rPr>
                <w:rFonts w:hint="eastAsia" w:ascii="Times New Roman" w:hAnsi="Times New Roman" w:eastAsia="宋体" w:cs="宋体"/>
                <w:color w:val="000000"/>
                <w:kern w:val="2"/>
                <w:sz w:val="24"/>
                <w:szCs w:val="24"/>
              </w:rPr>
              <w:t>）《山西太钢不锈钢股份有限公司不锈钢产品结构升级改造配套水处理改造项目竣工验收监测报告》（太钢环境监测（综）2021〔验〕第0006号）。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验收监测标准、标号、级别、限值</w:t>
            </w:r>
          </w:p>
        </w:tc>
        <w:tc>
          <w:tcPr>
            <w:tcW w:w="6606" w:type="dxa"/>
            <w:gridSpan w:val="5"/>
            <w:vAlign w:val="center"/>
          </w:tcPr>
          <w:p>
            <w:pPr>
              <w:widowControl w:val="0"/>
              <w:adjustRightInd/>
              <w:snapToGrid/>
              <w:spacing w:after="0" w:line="360" w:lineRule="auto"/>
              <w:jc w:val="both"/>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1、</w:t>
            </w:r>
            <w:r>
              <w:rPr>
                <w:rFonts w:hint="eastAsia" w:ascii="Times New Roman" w:hAnsi="Times New Roman" w:eastAsia="宋体"/>
                <w:b/>
                <w:bCs/>
                <w:color w:val="000000"/>
                <w:kern w:val="2"/>
                <w:sz w:val="24"/>
                <w:szCs w:val="24"/>
              </w:rPr>
              <w:t>废</w:t>
            </w:r>
            <w:r>
              <w:rPr>
                <w:rFonts w:ascii="Times New Roman" w:hAnsi="Times New Roman" w:eastAsia="宋体"/>
                <w:b/>
                <w:bCs/>
                <w:color w:val="000000"/>
                <w:kern w:val="2"/>
                <w:sz w:val="24"/>
                <w:szCs w:val="24"/>
              </w:rPr>
              <w:t>气：</w:t>
            </w:r>
          </w:p>
          <w:p>
            <w:pPr>
              <w:widowControl w:val="0"/>
              <w:adjustRightInd/>
              <w:snapToGrid/>
              <w:spacing w:after="0" w:line="360" w:lineRule="auto"/>
              <w:ind w:firstLine="422" w:firstLineChars="176"/>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运营期</w:t>
            </w:r>
            <w:r>
              <w:rPr>
                <w:rFonts w:ascii="Times New Roman" w:hAnsi="Times New Roman" w:eastAsia="宋体"/>
                <w:color w:val="000000"/>
                <w:kern w:val="2"/>
                <w:sz w:val="24"/>
                <w:szCs w:val="24"/>
              </w:rPr>
              <w:t>大气污染物排放</w:t>
            </w:r>
            <w:r>
              <w:rPr>
                <w:rFonts w:hint="eastAsia" w:ascii="Times New Roman" w:hAnsi="Times New Roman" w:eastAsia="宋体"/>
                <w:color w:val="000000"/>
                <w:kern w:val="2"/>
                <w:sz w:val="24"/>
                <w:szCs w:val="24"/>
              </w:rPr>
              <w:t>参照</w:t>
            </w:r>
            <w:r>
              <w:rPr>
                <w:rFonts w:ascii="Times New Roman" w:hAnsi="Times New Roman" w:eastAsia="宋体"/>
                <w:color w:val="000000"/>
                <w:kern w:val="2"/>
                <w:sz w:val="24"/>
                <w:szCs w:val="24"/>
              </w:rPr>
              <w:t>执行</w:t>
            </w:r>
            <w:r>
              <w:rPr>
                <w:rFonts w:hint="eastAsia" w:ascii="Times New Roman" w:hAnsi="Times New Roman" w:eastAsia="宋体"/>
                <w:color w:val="000000"/>
                <w:kern w:val="2"/>
                <w:sz w:val="24"/>
                <w:szCs w:val="24"/>
              </w:rPr>
              <w:t>《城镇污水处理厂污染物排放标准》（GB18918-2002）表5中二级排放标准。</w:t>
            </w:r>
          </w:p>
          <w:p>
            <w:pPr>
              <w:widowControl w:val="0"/>
              <w:adjustRightInd/>
              <w:snapToGrid/>
              <w:spacing w:after="0" w:line="360" w:lineRule="auto"/>
              <w:ind w:firstLine="422" w:firstLineChars="176"/>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详见下表：</w:t>
            </w:r>
          </w:p>
          <w:p>
            <w:pPr>
              <w:widowControl w:val="0"/>
              <w:adjustRightInd/>
              <w:snapToGrid/>
              <w:spacing w:after="0" w:line="360" w:lineRule="auto"/>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厂界（防护带边缘）废气排放最高允许浓度 单位：mg/m</w:t>
            </w:r>
            <w:r>
              <w:rPr>
                <w:rFonts w:hint="eastAsia" w:ascii="Times New Roman" w:hAnsi="Times New Roman" w:eastAsia="宋体"/>
                <w:color w:val="000000"/>
                <w:kern w:val="2"/>
                <w:sz w:val="24"/>
                <w:szCs w:val="24"/>
                <w:vertAlign w:val="superscript"/>
              </w:rPr>
              <w:t>3</w:t>
            </w:r>
          </w:p>
          <w:tbl>
            <w:tblPr>
              <w:tblStyle w:val="43"/>
              <w:tblW w:w="608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29"/>
              <w:gridCol w:w="3600"/>
              <w:gridCol w:w="155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29" w:type="dxa"/>
                  <w:vAlign w:val="center"/>
                </w:tcPr>
                <w:p>
                  <w:pPr>
                    <w:spacing w:after="0"/>
                    <w:jc w:val="center"/>
                    <w:rPr>
                      <w:rFonts w:ascii="Times New Roman" w:hAnsi="Times New Roman" w:eastAsia="宋体"/>
                      <w:color w:val="000000"/>
                    </w:rPr>
                  </w:pPr>
                  <w:r>
                    <w:rPr>
                      <w:rFonts w:ascii="Times New Roman" w:hAnsi="Times New Roman" w:eastAsia="宋体"/>
                      <w:color w:val="000000"/>
                    </w:rPr>
                    <w:t>序号</w:t>
                  </w:r>
                </w:p>
              </w:tc>
              <w:tc>
                <w:tcPr>
                  <w:tcW w:w="3600" w:type="dxa"/>
                  <w:vAlign w:val="center"/>
                </w:tcPr>
                <w:p>
                  <w:pPr>
                    <w:spacing w:after="0"/>
                    <w:jc w:val="center"/>
                    <w:rPr>
                      <w:rFonts w:ascii="Times New Roman" w:hAnsi="Times New Roman" w:eastAsia="宋体"/>
                      <w:color w:val="000000"/>
                    </w:rPr>
                  </w:pPr>
                  <w:r>
                    <w:rPr>
                      <w:rFonts w:ascii="Times New Roman" w:hAnsi="Times New Roman" w:eastAsia="宋体"/>
                      <w:color w:val="000000"/>
                    </w:rPr>
                    <w:t>控制项目</w:t>
                  </w:r>
                </w:p>
              </w:tc>
              <w:tc>
                <w:tcPr>
                  <w:tcW w:w="1558" w:type="dxa"/>
                  <w:vAlign w:val="center"/>
                </w:tcPr>
                <w:p>
                  <w:pPr>
                    <w:spacing w:after="0"/>
                    <w:jc w:val="center"/>
                    <w:rPr>
                      <w:rFonts w:ascii="Times New Roman" w:hAnsi="Times New Roman" w:eastAsia="宋体"/>
                      <w:color w:val="000000"/>
                    </w:rPr>
                  </w:pPr>
                  <w:r>
                    <w:rPr>
                      <w:rFonts w:ascii="Times New Roman" w:hAnsi="Times New Roman" w:eastAsia="宋体"/>
                      <w:color w:val="000000"/>
                    </w:rPr>
                    <w:t>二级标准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29" w:type="dxa"/>
                  <w:vAlign w:val="center"/>
                </w:tcPr>
                <w:p>
                  <w:pPr>
                    <w:spacing w:after="0"/>
                    <w:jc w:val="center"/>
                    <w:rPr>
                      <w:rFonts w:ascii="Times New Roman" w:hAnsi="Times New Roman" w:eastAsia="宋体"/>
                      <w:color w:val="000000"/>
                    </w:rPr>
                  </w:pPr>
                  <w:r>
                    <w:rPr>
                      <w:rFonts w:ascii="Times New Roman" w:hAnsi="Times New Roman" w:eastAsia="宋体"/>
                      <w:color w:val="000000"/>
                    </w:rPr>
                    <w:t>1</w:t>
                  </w:r>
                </w:p>
              </w:tc>
              <w:tc>
                <w:tcPr>
                  <w:tcW w:w="3600" w:type="dxa"/>
                  <w:vAlign w:val="center"/>
                </w:tcPr>
                <w:p>
                  <w:pPr>
                    <w:spacing w:after="0"/>
                    <w:jc w:val="center"/>
                    <w:rPr>
                      <w:rFonts w:ascii="Times New Roman" w:hAnsi="Times New Roman" w:eastAsia="宋体"/>
                      <w:color w:val="000000"/>
                    </w:rPr>
                  </w:pPr>
                  <w:r>
                    <w:rPr>
                      <w:rFonts w:ascii="Times New Roman" w:hAnsi="Times New Roman" w:eastAsia="宋体"/>
                      <w:color w:val="000000"/>
                    </w:rPr>
                    <w:t>氨</w:t>
                  </w:r>
                </w:p>
              </w:tc>
              <w:tc>
                <w:tcPr>
                  <w:tcW w:w="1558" w:type="dxa"/>
                  <w:vAlign w:val="center"/>
                </w:tcPr>
                <w:p>
                  <w:pPr>
                    <w:spacing w:after="0"/>
                    <w:jc w:val="center"/>
                    <w:rPr>
                      <w:rFonts w:ascii="Times New Roman" w:hAnsi="Times New Roman" w:eastAsia="宋体"/>
                      <w:color w:val="000000"/>
                    </w:rPr>
                  </w:pPr>
                  <w:r>
                    <w:rPr>
                      <w:rFonts w:ascii="Times New Roman" w:hAnsi="Times New Roman" w:eastAsia="宋体"/>
                      <w:color w:val="000000"/>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29" w:type="dxa"/>
                  <w:vAlign w:val="center"/>
                </w:tcPr>
                <w:p>
                  <w:pPr>
                    <w:spacing w:after="0"/>
                    <w:jc w:val="center"/>
                    <w:rPr>
                      <w:rFonts w:ascii="Times New Roman" w:hAnsi="Times New Roman" w:eastAsia="宋体"/>
                      <w:color w:val="000000"/>
                    </w:rPr>
                  </w:pPr>
                  <w:r>
                    <w:rPr>
                      <w:rFonts w:ascii="Times New Roman" w:hAnsi="Times New Roman" w:eastAsia="宋体"/>
                      <w:color w:val="000000"/>
                    </w:rPr>
                    <w:t>2</w:t>
                  </w:r>
                </w:p>
              </w:tc>
              <w:tc>
                <w:tcPr>
                  <w:tcW w:w="3600" w:type="dxa"/>
                  <w:vAlign w:val="center"/>
                </w:tcPr>
                <w:p>
                  <w:pPr>
                    <w:spacing w:after="0"/>
                    <w:jc w:val="center"/>
                    <w:rPr>
                      <w:rFonts w:ascii="Times New Roman" w:hAnsi="Times New Roman" w:eastAsia="宋体"/>
                      <w:color w:val="000000"/>
                    </w:rPr>
                  </w:pPr>
                  <w:r>
                    <w:rPr>
                      <w:rFonts w:ascii="Times New Roman" w:hAnsi="Times New Roman" w:eastAsia="宋体"/>
                      <w:color w:val="000000"/>
                    </w:rPr>
                    <w:t>硫化氢</w:t>
                  </w:r>
                </w:p>
              </w:tc>
              <w:tc>
                <w:tcPr>
                  <w:tcW w:w="1558" w:type="dxa"/>
                  <w:vAlign w:val="center"/>
                </w:tcPr>
                <w:p>
                  <w:pPr>
                    <w:spacing w:after="0"/>
                    <w:jc w:val="center"/>
                    <w:rPr>
                      <w:rFonts w:ascii="Times New Roman" w:hAnsi="Times New Roman" w:eastAsia="宋体"/>
                      <w:color w:val="000000"/>
                    </w:rPr>
                  </w:pPr>
                  <w:r>
                    <w:rPr>
                      <w:rFonts w:ascii="Times New Roman" w:hAnsi="Times New Roman" w:eastAsia="宋体"/>
                      <w:color w:val="000000"/>
                    </w:rPr>
                    <w:t>0.06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29" w:type="dxa"/>
                  <w:vAlign w:val="center"/>
                </w:tcPr>
                <w:p>
                  <w:pPr>
                    <w:spacing w:after="0"/>
                    <w:jc w:val="center"/>
                    <w:rPr>
                      <w:rFonts w:ascii="Times New Roman" w:hAnsi="Times New Roman" w:eastAsia="宋体"/>
                      <w:color w:val="000000"/>
                    </w:rPr>
                  </w:pPr>
                  <w:r>
                    <w:rPr>
                      <w:rFonts w:ascii="Times New Roman" w:hAnsi="Times New Roman" w:eastAsia="宋体"/>
                      <w:color w:val="000000"/>
                    </w:rPr>
                    <w:t>3</w:t>
                  </w:r>
                </w:p>
              </w:tc>
              <w:tc>
                <w:tcPr>
                  <w:tcW w:w="3600" w:type="dxa"/>
                  <w:vAlign w:val="center"/>
                </w:tcPr>
                <w:p>
                  <w:pPr>
                    <w:spacing w:after="0"/>
                    <w:jc w:val="center"/>
                    <w:rPr>
                      <w:rFonts w:ascii="Times New Roman" w:hAnsi="Times New Roman" w:eastAsia="宋体"/>
                      <w:color w:val="000000"/>
                    </w:rPr>
                  </w:pPr>
                  <w:r>
                    <w:rPr>
                      <w:rFonts w:ascii="Times New Roman" w:hAnsi="Times New Roman" w:eastAsia="宋体"/>
                      <w:color w:val="000000"/>
                    </w:rPr>
                    <w:t>臭气浓度(无量纲)</w:t>
                  </w:r>
                </w:p>
              </w:tc>
              <w:tc>
                <w:tcPr>
                  <w:tcW w:w="1558" w:type="dxa"/>
                  <w:vAlign w:val="center"/>
                </w:tcPr>
                <w:p>
                  <w:pPr>
                    <w:spacing w:after="0"/>
                    <w:jc w:val="center"/>
                    <w:rPr>
                      <w:rFonts w:ascii="Times New Roman" w:hAnsi="Times New Roman" w:eastAsia="宋体"/>
                      <w:color w:val="000000"/>
                    </w:rPr>
                  </w:pPr>
                  <w:r>
                    <w:rPr>
                      <w:rFonts w:ascii="Times New Roman" w:hAnsi="Times New Roman" w:eastAsia="宋体"/>
                      <w:color w:val="000000"/>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29" w:type="dxa"/>
                  <w:vAlign w:val="center"/>
                </w:tcPr>
                <w:p>
                  <w:pPr>
                    <w:spacing w:after="0"/>
                    <w:jc w:val="center"/>
                    <w:rPr>
                      <w:rFonts w:ascii="Times New Roman" w:hAnsi="Times New Roman" w:eastAsia="宋体"/>
                      <w:color w:val="000000"/>
                    </w:rPr>
                  </w:pPr>
                  <w:r>
                    <w:rPr>
                      <w:rFonts w:ascii="Times New Roman" w:hAnsi="Times New Roman" w:eastAsia="宋体"/>
                      <w:color w:val="000000"/>
                    </w:rPr>
                    <w:t>4</w:t>
                  </w:r>
                </w:p>
              </w:tc>
              <w:tc>
                <w:tcPr>
                  <w:tcW w:w="3600" w:type="dxa"/>
                  <w:vAlign w:val="center"/>
                </w:tcPr>
                <w:p>
                  <w:pPr>
                    <w:spacing w:after="0"/>
                    <w:jc w:val="center"/>
                    <w:rPr>
                      <w:rFonts w:ascii="Times New Roman" w:hAnsi="Times New Roman" w:eastAsia="宋体"/>
                      <w:color w:val="000000"/>
                    </w:rPr>
                  </w:pPr>
                  <w:r>
                    <w:rPr>
                      <w:rFonts w:ascii="Times New Roman" w:hAnsi="Times New Roman" w:eastAsia="宋体"/>
                      <w:color w:val="000000"/>
                    </w:rPr>
                    <w:t>甲烷(厂区最高体积浓度%)</w:t>
                  </w:r>
                </w:p>
              </w:tc>
              <w:tc>
                <w:tcPr>
                  <w:tcW w:w="1558" w:type="dxa"/>
                  <w:vAlign w:val="center"/>
                </w:tcPr>
                <w:p>
                  <w:pPr>
                    <w:spacing w:after="0"/>
                    <w:jc w:val="center"/>
                    <w:rPr>
                      <w:rFonts w:ascii="Times New Roman" w:hAnsi="Times New Roman" w:eastAsia="宋体"/>
                      <w:color w:val="000000"/>
                    </w:rPr>
                  </w:pPr>
                  <w:r>
                    <w:rPr>
                      <w:rFonts w:ascii="Times New Roman" w:hAnsi="Times New Roman" w:eastAsia="宋体"/>
                      <w:color w:val="000000"/>
                    </w:rPr>
                    <w:t>1</w:t>
                  </w:r>
                </w:p>
              </w:tc>
            </w:tr>
          </w:tbl>
          <w:p>
            <w:pPr>
              <w:widowControl w:val="0"/>
              <w:adjustRightInd/>
              <w:snapToGrid/>
              <w:spacing w:after="0" w:line="360" w:lineRule="auto"/>
              <w:jc w:val="both"/>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2、</w:t>
            </w:r>
            <w:r>
              <w:rPr>
                <w:rFonts w:hint="eastAsia" w:ascii="Times New Roman" w:hAnsi="Times New Roman" w:eastAsia="宋体"/>
                <w:b/>
                <w:bCs/>
                <w:color w:val="000000"/>
                <w:kern w:val="2"/>
                <w:sz w:val="24"/>
                <w:szCs w:val="24"/>
              </w:rPr>
              <w:t>废水：</w:t>
            </w:r>
          </w:p>
          <w:p>
            <w:pPr>
              <w:widowControl w:val="0"/>
              <w:adjustRightInd/>
              <w:snapToGrid/>
              <w:spacing w:after="0" w:line="360" w:lineRule="auto"/>
              <w:ind w:firstLine="564" w:firstLineChars="235"/>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项目出水排入太钢总排口深度处理站进行处理，废水排放应满足“山西太钢不锈钢股份有限公司工业废水处理系统升级改造工程节水减排改造项目”进水水质标准，具体见下表:</w:t>
            </w:r>
          </w:p>
          <w:p>
            <w:pPr>
              <w:widowControl w:val="0"/>
              <w:adjustRightInd/>
              <w:snapToGrid/>
              <w:spacing w:after="0" w:line="360" w:lineRule="auto"/>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项目污水排放标准</w:t>
            </w:r>
          </w:p>
          <w:tbl>
            <w:tblPr>
              <w:tblStyle w:val="43"/>
              <w:tblW w:w="6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883"/>
              <w:gridCol w:w="1883"/>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240" w:type="dxa"/>
                  <w:vAlign w:val="center"/>
                </w:tcPr>
                <w:p>
                  <w:pPr>
                    <w:spacing w:after="0"/>
                    <w:jc w:val="center"/>
                    <w:rPr>
                      <w:rFonts w:ascii="Times New Roman" w:hAnsi="Times New Roman" w:eastAsia="宋体"/>
                      <w:color w:val="000000"/>
                    </w:rPr>
                  </w:pPr>
                  <w:r>
                    <w:rPr>
                      <w:rFonts w:ascii="Times New Roman" w:hAnsi="Times New Roman" w:eastAsia="宋体"/>
                      <w:color w:val="000000"/>
                    </w:rPr>
                    <w:t>序号</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污染物</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标准值</w:t>
                  </w:r>
                </w:p>
              </w:tc>
              <w:tc>
                <w:tcPr>
                  <w:tcW w:w="1374" w:type="dxa"/>
                  <w:vAlign w:val="center"/>
                </w:tcPr>
                <w:p>
                  <w:pPr>
                    <w:spacing w:after="0"/>
                    <w:jc w:val="center"/>
                    <w:rPr>
                      <w:rFonts w:ascii="Times New Roman" w:hAnsi="Times New Roman" w:eastAsia="宋体"/>
                      <w:color w:val="000000"/>
                    </w:rPr>
                  </w:pPr>
                  <w:r>
                    <w:rPr>
                      <w:rFonts w:ascii="Times New Roman" w:hAnsi="Times New Roman" w:eastAsia="宋体"/>
                      <w:color w:val="00000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240" w:type="dxa"/>
                  <w:vAlign w:val="center"/>
                </w:tcPr>
                <w:p>
                  <w:pPr>
                    <w:spacing w:after="0"/>
                    <w:jc w:val="center"/>
                    <w:rPr>
                      <w:rFonts w:ascii="Times New Roman" w:hAnsi="Times New Roman" w:eastAsia="宋体"/>
                      <w:color w:val="000000"/>
                    </w:rPr>
                  </w:pPr>
                  <w:r>
                    <w:rPr>
                      <w:rFonts w:ascii="Times New Roman" w:hAnsi="Times New Roman" w:eastAsia="宋体"/>
                      <w:color w:val="000000"/>
                    </w:rPr>
                    <w:t>1</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COD</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szCs w:val="21"/>
                    </w:rPr>
                    <w:t>≤80</w:t>
                  </w:r>
                </w:p>
              </w:tc>
              <w:tc>
                <w:tcPr>
                  <w:tcW w:w="1374" w:type="dxa"/>
                  <w:vMerge w:val="restart"/>
                  <w:vAlign w:val="center"/>
                </w:tcPr>
                <w:p>
                  <w:pPr>
                    <w:spacing w:after="0"/>
                    <w:jc w:val="center"/>
                    <w:rPr>
                      <w:rFonts w:ascii="Times New Roman" w:hAnsi="Times New Roman" w:eastAsia="宋体"/>
                      <w:color w:val="000000"/>
                    </w:rPr>
                  </w:pPr>
                  <w:r>
                    <w:rPr>
                      <w:rFonts w:ascii="Times New Roman" w:hAnsi="Times New Roman" w:eastAsia="宋体"/>
                      <w:color w:val="000000"/>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240" w:type="dxa"/>
                  <w:vAlign w:val="center"/>
                </w:tcPr>
                <w:p>
                  <w:pPr>
                    <w:spacing w:after="0"/>
                    <w:jc w:val="center"/>
                    <w:rPr>
                      <w:rFonts w:ascii="Times New Roman" w:hAnsi="Times New Roman" w:eastAsia="宋体"/>
                      <w:color w:val="000000"/>
                    </w:rPr>
                  </w:pPr>
                  <w:r>
                    <w:rPr>
                      <w:rFonts w:ascii="Times New Roman" w:hAnsi="Times New Roman" w:eastAsia="宋体"/>
                      <w:color w:val="000000"/>
                    </w:rPr>
                    <w:t>2</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氨氮</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≤15</w:t>
                  </w:r>
                </w:p>
              </w:tc>
              <w:tc>
                <w:tcPr>
                  <w:tcW w:w="1374" w:type="dxa"/>
                  <w:vMerge w:val="continue"/>
                  <w:vAlign w:val="center"/>
                </w:tcPr>
                <w:p>
                  <w:pPr>
                    <w:spacing w:after="0"/>
                    <w:jc w:val="center"/>
                    <w:rPr>
                      <w:rFonts w:ascii="Times New Roman" w:hAnsi="Times New Roman" w:eastAsia="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240" w:type="dxa"/>
                  <w:vAlign w:val="center"/>
                </w:tcPr>
                <w:p>
                  <w:pPr>
                    <w:spacing w:after="0"/>
                    <w:jc w:val="center"/>
                    <w:rPr>
                      <w:rFonts w:ascii="Times New Roman" w:hAnsi="Times New Roman" w:eastAsia="宋体"/>
                      <w:color w:val="000000"/>
                    </w:rPr>
                  </w:pPr>
                  <w:r>
                    <w:rPr>
                      <w:rFonts w:ascii="Times New Roman" w:hAnsi="Times New Roman" w:eastAsia="宋体"/>
                      <w:color w:val="000000"/>
                    </w:rPr>
                    <w:t>3</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总氮</w:t>
                  </w:r>
                </w:p>
              </w:tc>
              <w:tc>
                <w:tcPr>
                  <w:tcW w:w="1883" w:type="dxa"/>
                  <w:vAlign w:val="center"/>
                </w:tcPr>
                <w:p>
                  <w:pPr>
                    <w:spacing w:after="0"/>
                    <w:jc w:val="center"/>
                    <w:rPr>
                      <w:rFonts w:ascii="Times New Roman" w:hAnsi="Times New Roman" w:eastAsia="宋体"/>
                      <w:color w:val="000000"/>
                    </w:rPr>
                  </w:pPr>
                  <w:r>
                    <w:rPr>
                      <w:rFonts w:ascii="Times New Roman" w:hAnsi="Times New Roman" w:eastAsia="宋体"/>
                      <w:color w:val="000000"/>
                    </w:rPr>
                    <w:t>≤40</w:t>
                  </w:r>
                </w:p>
              </w:tc>
              <w:tc>
                <w:tcPr>
                  <w:tcW w:w="1374" w:type="dxa"/>
                  <w:vMerge w:val="continue"/>
                  <w:vAlign w:val="center"/>
                </w:tcPr>
                <w:p>
                  <w:pPr>
                    <w:spacing w:after="0"/>
                    <w:jc w:val="center"/>
                    <w:rPr>
                      <w:rFonts w:ascii="Times New Roman" w:hAnsi="Times New Roman" w:eastAsia="宋体"/>
                      <w:color w:val="000000"/>
                    </w:rPr>
                  </w:pPr>
                </w:p>
              </w:tc>
            </w:tr>
          </w:tbl>
          <w:p>
            <w:pPr>
              <w:pStyle w:val="2"/>
              <w:spacing w:before="120"/>
              <w:rPr>
                <w:color w:val="000000"/>
              </w:rPr>
            </w:pPr>
          </w:p>
          <w:p>
            <w:pPr>
              <w:widowControl w:val="0"/>
              <w:adjustRightInd/>
              <w:snapToGrid/>
              <w:spacing w:after="0" w:line="360" w:lineRule="auto"/>
              <w:jc w:val="both"/>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2、厂界噪声：</w:t>
            </w:r>
          </w:p>
          <w:p>
            <w:pPr>
              <w:widowControl w:val="0"/>
              <w:adjustRightInd/>
              <w:snapToGrid/>
              <w:spacing w:after="0" w:line="360" w:lineRule="auto"/>
              <w:ind w:firstLine="422" w:firstLineChars="176"/>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执行《工业企业厂界环境噪声排放标准》（GB12348-2008）中的3类标准，见下表。</w:t>
            </w:r>
          </w:p>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 xml:space="preserve">       工业企业厂界环境噪声排放标准  单位：dB（A）</w:t>
            </w:r>
          </w:p>
          <w:tbl>
            <w:tblPr>
              <w:tblStyle w:val="43"/>
              <w:tblW w:w="6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829"/>
              <w:gridCol w:w="1504"/>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exact"/>
                <w:jc w:val="center"/>
              </w:trPr>
              <w:tc>
                <w:tcPr>
                  <w:tcW w:w="2835" w:type="dxa"/>
                  <w:vMerge w:val="restart"/>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《工业企业厂界环境噪声排放标准》（GB12348-2008）</w:t>
                  </w:r>
                </w:p>
              </w:tc>
              <w:tc>
                <w:tcPr>
                  <w:tcW w:w="829"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p>
              </w:tc>
              <w:tc>
                <w:tcPr>
                  <w:tcW w:w="1504"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昼间</w:t>
                  </w:r>
                </w:p>
              </w:tc>
              <w:tc>
                <w:tcPr>
                  <w:tcW w:w="1212"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exact"/>
                <w:jc w:val="center"/>
              </w:trPr>
              <w:tc>
                <w:tcPr>
                  <w:tcW w:w="2835" w:type="dxa"/>
                  <w:vMerge w:val="continue"/>
                  <w:vAlign w:val="center"/>
                </w:tcPr>
                <w:p>
                  <w:pPr>
                    <w:widowControl w:val="0"/>
                    <w:adjustRightInd/>
                    <w:snapToGrid/>
                    <w:spacing w:after="0" w:line="360" w:lineRule="auto"/>
                    <w:jc w:val="both"/>
                    <w:rPr>
                      <w:rFonts w:ascii="Times New Roman" w:hAnsi="Times New Roman" w:eastAsia="宋体"/>
                      <w:color w:val="000000"/>
                      <w:kern w:val="2"/>
                      <w:sz w:val="24"/>
                      <w:szCs w:val="24"/>
                    </w:rPr>
                  </w:pPr>
                </w:p>
              </w:tc>
              <w:tc>
                <w:tcPr>
                  <w:tcW w:w="829"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3类</w:t>
                  </w:r>
                </w:p>
              </w:tc>
              <w:tc>
                <w:tcPr>
                  <w:tcW w:w="1504"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65dB（A）</w:t>
                  </w:r>
                </w:p>
              </w:tc>
              <w:tc>
                <w:tcPr>
                  <w:tcW w:w="1212" w:type="dxa"/>
                  <w:vAlign w:val="center"/>
                </w:tcPr>
                <w:p>
                  <w:pPr>
                    <w:widowControl w:val="0"/>
                    <w:adjustRightInd/>
                    <w:snapToGrid/>
                    <w:spacing w:after="0" w:line="360" w:lineRule="auto"/>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55dB（A）</w:t>
                  </w:r>
                </w:p>
              </w:tc>
            </w:tr>
          </w:tbl>
          <w:p>
            <w:pPr>
              <w:widowControl w:val="0"/>
              <w:adjustRightInd/>
              <w:snapToGrid/>
              <w:spacing w:after="0" w:line="360" w:lineRule="auto"/>
              <w:jc w:val="both"/>
              <w:rPr>
                <w:rFonts w:ascii="Times New Roman" w:hAnsi="Times New Roman" w:eastAsia="宋体"/>
                <w:b/>
                <w:bCs/>
                <w:color w:val="000000"/>
                <w:kern w:val="2"/>
                <w:sz w:val="24"/>
                <w:szCs w:val="24"/>
              </w:rPr>
            </w:pPr>
          </w:p>
          <w:p>
            <w:pPr>
              <w:widowControl w:val="0"/>
              <w:adjustRightInd/>
              <w:snapToGrid/>
              <w:spacing w:after="0" w:line="360" w:lineRule="auto"/>
              <w:jc w:val="both"/>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3、固体废物：</w:t>
            </w:r>
          </w:p>
          <w:p>
            <w:pPr>
              <w:widowControl w:val="0"/>
              <w:adjustRightInd/>
              <w:snapToGrid/>
              <w:spacing w:after="0" w:line="360" w:lineRule="auto"/>
              <w:ind w:firstLine="564" w:firstLineChars="235"/>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执行《一般工业固体废物贮存</w:t>
            </w:r>
            <w:r>
              <w:rPr>
                <w:rFonts w:hint="eastAsia" w:ascii="Times New Roman" w:hAnsi="Times New Roman" w:eastAsia="宋体"/>
                <w:color w:val="000000"/>
                <w:kern w:val="2"/>
                <w:sz w:val="24"/>
                <w:szCs w:val="24"/>
              </w:rPr>
              <w:t>和填埋</w:t>
            </w:r>
            <w:r>
              <w:rPr>
                <w:rFonts w:ascii="Times New Roman" w:hAnsi="Times New Roman" w:eastAsia="宋体"/>
                <w:color w:val="000000"/>
                <w:kern w:val="2"/>
                <w:sz w:val="24"/>
                <w:szCs w:val="24"/>
              </w:rPr>
              <w:t>污染控制标准》（GB18599-2020）及（环保部公告2013年第36号）的修改单要求。</w:t>
            </w:r>
          </w:p>
          <w:p>
            <w:pPr>
              <w:widowControl w:val="0"/>
              <w:adjustRightInd/>
              <w:snapToGrid/>
              <w:spacing w:after="0" w:line="360" w:lineRule="auto"/>
              <w:jc w:val="both"/>
              <w:rPr>
                <w:rFonts w:ascii="Times New Roman" w:hAnsi="Times New Roman" w:eastAsia="宋体"/>
                <w:b/>
                <w:bCs/>
                <w:color w:val="000000"/>
                <w:kern w:val="2"/>
                <w:sz w:val="24"/>
                <w:szCs w:val="24"/>
              </w:rPr>
            </w:pPr>
            <w:r>
              <w:rPr>
                <w:rFonts w:hint="eastAsia" w:ascii="Times New Roman" w:hAnsi="Times New Roman" w:eastAsia="宋体"/>
                <w:b/>
                <w:bCs/>
                <w:color w:val="000000"/>
                <w:kern w:val="2"/>
                <w:sz w:val="24"/>
                <w:szCs w:val="24"/>
              </w:rPr>
              <w:t>4、其他：</w:t>
            </w:r>
          </w:p>
          <w:p>
            <w:pPr>
              <w:widowControl w:val="0"/>
              <w:adjustRightInd/>
              <w:snapToGrid/>
              <w:spacing w:after="0" w:line="360" w:lineRule="auto"/>
              <w:ind w:firstLine="422" w:firstLineChars="176"/>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根据《环境影响评价技术导则地下水环境》(HJ610-2016)，一般防渗区防渗层的防渗性能应等效等效黏土防渗层Mb≥1.5m，K&lt;10</w:t>
            </w:r>
            <w:r>
              <w:rPr>
                <w:rFonts w:hint="eastAsia" w:ascii="Times New Roman" w:hAnsi="Times New Roman" w:eastAsia="宋体"/>
                <w:color w:val="000000"/>
                <w:kern w:val="2"/>
                <w:sz w:val="24"/>
                <w:szCs w:val="24"/>
                <w:vertAlign w:val="superscript"/>
              </w:rPr>
              <w:t>-7</w:t>
            </w:r>
            <w:r>
              <w:rPr>
                <w:rFonts w:hint="eastAsia" w:ascii="Times New Roman" w:hAnsi="Times New Roman" w:eastAsia="宋体"/>
                <w:color w:val="000000"/>
                <w:kern w:val="2"/>
                <w:sz w:val="24"/>
                <w:szCs w:val="24"/>
              </w:rPr>
              <w:t>cm/s的防渗性能。</w:t>
            </w:r>
          </w:p>
          <w:p>
            <w:pPr>
              <w:pStyle w:val="2"/>
              <w:spacing w:before="120"/>
              <w:rPr>
                <w:color w:val="000000"/>
              </w:rPr>
            </w:pPr>
          </w:p>
          <w:p>
            <w:pPr>
              <w:pStyle w:val="2"/>
              <w:spacing w:before="120"/>
              <w:rPr>
                <w:color w:val="000000"/>
              </w:rPr>
            </w:pPr>
          </w:p>
        </w:tc>
      </w:tr>
    </w:tbl>
    <w:p>
      <w:pPr>
        <w:spacing w:after="0" w:line="360" w:lineRule="auto"/>
        <w:rPr>
          <w:rFonts w:eastAsia="仿宋_GB2312"/>
          <w:color w:val="000000"/>
          <w:sz w:val="21"/>
          <w:szCs w:val="21"/>
        </w:rPr>
      </w:pPr>
    </w:p>
    <w:p>
      <w:pPr>
        <w:spacing w:after="0" w:line="360" w:lineRule="auto"/>
        <w:rPr>
          <w:rFonts w:eastAsia="仿宋_GB2312"/>
          <w:color w:val="000000"/>
          <w:sz w:val="21"/>
          <w:szCs w:val="21"/>
        </w:rPr>
      </w:pPr>
    </w:p>
    <w:p>
      <w:pPr>
        <w:pStyle w:val="56"/>
        <w:numPr>
          <w:ilvl w:val="0"/>
          <w:numId w:val="0"/>
        </w:numPr>
        <w:tabs>
          <w:tab w:val="left" w:pos="2760"/>
        </w:tabs>
        <w:spacing w:line="360" w:lineRule="auto"/>
        <w:jc w:val="both"/>
        <w:rPr>
          <w:rFonts w:ascii="仿宋" w:hAnsi="仿宋" w:eastAsia="仿宋" w:cs="宋体"/>
          <w:color w:val="000000"/>
          <w:sz w:val="24"/>
          <w:szCs w:val="24"/>
        </w:rPr>
      </w:pPr>
      <w:bookmarkStart w:id="2" w:name="_Toc17999538"/>
      <w:r>
        <w:rPr>
          <w:rFonts w:hint="eastAsia" w:ascii="仿宋" w:hAnsi="仿宋" w:eastAsia="仿宋" w:cs="宋体"/>
          <w:color w:val="000000"/>
          <w:sz w:val="24"/>
          <w:szCs w:val="24"/>
        </w:rPr>
        <w:t>表二  项目建设情况</w:t>
      </w:r>
      <w:bookmarkEnd w:id="2"/>
    </w:p>
    <w:tbl>
      <w:tblPr>
        <w:tblStyle w:val="43"/>
        <w:tblW w:w="9029" w:type="dxa"/>
        <w:tblInd w:w="-27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
        <w:gridCol w:w="8508"/>
        <w:gridCol w:w="5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507" w:type="dxa"/>
          <w:trHeight w:val="13457" w:hRule="atLeast"/>
        </w:trPr>
        <w:tc>
          <w:tcPr>
            <w:tcW w:w="8522" w:type="dxa"/>
            <w:gridSpan w:val="2"/>
            <w:vAlign w:val="top"/>
          </w:tcPr>
          <w:p>
            <w:pPr>
              <w:spacing w:before="120" w:beforeLines="50" w:after="0" w:line="360" w:lineRule="auto"/>
              <w:rPr>
                <w:rFonts w:ascii="Times New Roman" w:hAnsi="Times New Roman"/>
                <w:b/>
                <w:color w:val="000000"/>
                <w:sz w:val="24"/>
              </w:rPr>
            </w:pPr>
            <w:r>
              <w:rPr>
                <w:rFonts w:hint="eastAsia" w:ascii="Times New Roman" w:hAnsi="Times New Roman"/>
                <w:b/>
                <w:color w:val="000000"/>
                <w:sz w:val="24"/>
              </w:rPr>
              <w:t>2.1  工程建设内容</w:t>
            </w:r>
          </w:p>
          <w:p>
            <w:pPr>
              <w:autoSpaceDE w:val="0"/>
              <w:autoSpaceDN w:val="0"/>
              <w:spacing w:after="0" w:line="360" w:lineRule="auto"/>
              <w:ind w:firstLine="17" w:firstLineChars="7"/>
              <w:rPr>
                <w:rFonts w:ascii="宋体" w:hAnsi="宋体" w:eastAsia="宋体"/>
                <w:b/>
                <w:bCs/>
                <w:color w:val="000000"/>
                <w:sz w:val="24"/>
                <w:szCs w:val="24"/>
              </w:rPr>
            </w:pPr>
            <w:r>
              <w:rPr>
                <w:rFonts w:ascii="宋体" w:hAnsi="宋体" w:eastAsia="宋体"/>
                <w:b/>
                <w:bCs/>
                <w:color w:val="000000"/>
                <w:sz w:val="24"/>
                <w:szCs w:val="24"/>
              </w:rPr>
              <w:t>1</w:t>
            </w:r>
            <w:r>
              <w:rPr>
                <w:rFonts w:hint="eastAsia" w:ascii="宋体" w:hAnsi="宋体" w:eastAsia="宋体"/>
                <w:b/>
                <w:bCs/>
                <w:color w:val="000000"/>
                <w:sz w:val="24"/>
                <w:szCs w:val="24"/>
              </w:rPr>
              <w:t>、地理位置及平面布置</w:t>
            </w:r>
          </w:p>
          <w:p>
            <w:pPr>
              <w:autoSpaceDE w:val="0"/>
              <w:autoSpaceDN w:val="0"/>
              <w:spacing w:after="0" w:line="360" w:lineRule="auto"/>
              <w:ind w:firstLine="480" w:firstLineChars="200"/>
              <w:jc w:val="both"/>
              <w:rPr>
                <w:rFonts w:ascii="Times New Roman" w:hAnsi="Times New Roman" w:eastAsia="宋体"/>
                <w:color w:val="000000"/>
                <w:sz w:val="24"/>
                <w:szCs w:val="24"/>
              </w:rPr>
            </w:pPr>
            <w:r>
              <w:rPr>
                <w:rFonts w:hint="eastAsia" w:ascii="Times New Roman" w:hAnsi="Times New Roman" w:eastAsia="宋体"/>
                <w:color w:val="000000"/>
                <w:sz w:val="24"/>
                <w:szCs w:val="24"/>
              </w:rPr>
              <w:t>本项目位于太原不锈钢股份有限公司厂区内现有能源动力总厂酸水作业区以北三五轧路以西、冷轧路以南的空地处，中心地理位置坐标为N 37°56'20.56"、E 112°32'3.77"。</w:t>
            </w:r>
          </w:p>
          <w:p>
            <w:pPr>
              <w:autoSpaceDE w:val="0"/>
              <w:autoSpaceDN w:val="0"/>
              <w:spacing w:after="0" w:line="360" w:lineRule="auto"/>
              <w:ind w:firstLine="480" w:firstLineChars="200"/>
              <w:jc w:val="both"/>
              <w:rPr>
                <w:rFonts w:ascii="Times New Roman" w:hAnsi="Times New Roman" w:eastAsia="宋体"/>
                <w:color w:val="000000"/>
                <w:sz w:val="24"/>
                <w:szCs w:val="24"/>
              </w:rPr>
            </w:pPr>
            <w:r>
              <w:rPr>
                <w:rFonts w:hint="eastAsia" w:ascii="Times New Roman" w:hAnsi="Times New Roman" w:eastAsia="宋体"/>
                <w:color w:val="000000"/>
                <w:sz w:val="24"/>
                <w:szCs w:val="24"/>
              </w:rPr>
              <w:t>本项目包括三个区域组成，区域一为能源动力总厂酸水作业区内现有空地，新建压滤机滤液收集池、PH调整池、能源动力总厂酸水作业区酸废水调节池及提升泵房等。</w:t>
            </w:r>
          </w:p>
          <w:p>
            <w:pPr>
              <w:autoSpaceDE w:val="0"/>
              <w:autoSpaceDN w:val="0"/>
              <w:spacing w:after="0" w:line="360" w:lineRule="auto"/>
              <w:ind w:firstLine="480" w:firstLineChars="200"/>
              <w:jc w:val="both"/>
              <w:rPr>
                <w:rFonts w:ascii="Times New Roman" w:hAnsi="Times New Roman" w:eastAsia="宋体"/>
                <w:color w:val="000000"/>
                <w:sz w:val="24"/>
                <w:szCs w:val="24"/>
              </w:rPr>
            </w:pPr>
            <w:r>
              <w:rPr>
                <w:rFonts w:hint="eastAsia" w:ascii="Times New Roman" w:hAnsi="Times New Roman" w:eastAsia="宋体"/>
                <w:color w:val="000000"/>
                <w:sz w:val="24"/>
                <w:szCs w:val="24"/>
              </w:rPr>
              <w:t>区域二是脱氮区域，位于能源动力总厂酸水作业区北侧的空地。</w:t>
            </w:r>
          </w:p>
          <w:p>
            <w:pPr>
              <w:autoSpaceDE w:val="0"/>
              <w:autoSpaceDN w:val="0"/>
              <w:spacing w:after="0" w:line="360" w:lineRule="auto"/>
              <w:ind w:firstLine="480" w:firstLineChars="200"/>
              <w:jc w:val="both"/>
              <w:rPr>
                <w:rFonts w:ascii="Times New Roman" w:hAnsi="Times New Roman" w:eastAsia="宋体"/>
                <w:color w:val="000000"/>
                <w:sz w:val="24"/>
                <w:szCs w:val="24"/>
              </w:rPr>
            </w:pPr>
            <w:r>
              <w:rPr>
                <w:rFonts w:hint="eastAsia" w:ascii="Times New Roman" w:hAnsi="Times New Roman" w:eastAsia="宋体"/>
                <w:color w:val="000000"/>
                <w:sz w:val="24"/>
                <w:szCs w:val="24"/>
              </w:rPr>
              <w:t>项目主要建构筑物有脱硝反应池及沉淀池组成的联合构筑物，甲醇储罐区；电气室；压滤机滤液收集池。脱硝反应池及沉淀池组成的联合构筑物与甲醇罐间布置于中和站北侧现有空地内。新建电气室布置于原有电气室西侧；压滤机滤液收集池布置于原有中和站南侧空地内。</w:t>
            </w:r>
          </w:p>
          <w:p>
            <w:pPr>
              <w:pStyle w:val="2"/>
              <w:spacing w:before="120"/>
              <w:ind w:firstLine="480" w:firstLineChars="200"/>
              <w:jc w:val="left"/>
              <w:rPr>
                <w:rFonts w:ascii="Times New Roman" w:hAnsi="Times New Roman" w:eastAsia="宋体"/>
                <w:color w:val="000000"/>
                <w:spacing w:val="0"/>
                <w:sz w:val="24"/>
                <w:szCs w:val="24"/>
              </w:rPr>
            </w:pPr>
            <w:r>
              <w:rPr>
                <w:rFonts w:hint="eastAsia" w:ascii="Times New Roman" w:hAnsi="Times New Roman" w:eastAsia="宋体"/>
                <w:color w:val="000000"/>
                <w:spacing w:val="0"/>
                <w:sz w:val="24"/>
                <w:szCs w:val="24"/>
              </w:rPr>
              <w:t>项目平面布置图见附图</w:t>
            </w:r>
            <w:r>
              <w:rPr>
                <w:rFonts w:ascii="Times New Roman" w:hAnsi="Times New Roman" w:eastAsia="宋体"/>
                <w:color w:val="000000"/>
                <w:spacing w:val="0"/>
                <w:sz w:val="24"/>
                <w:szCs w:val="24"/>
              </w:rPr>
              <w:t>1</w:t>
            </w:r>
            <w:r>
              <w:rPr>
                <w:rFonts w:hint="eastAsia" w:ascii="Times New Roman" w:hAnsi="Times New Roman" w:eastAsia="宋体"/>
                <w:color w:val="000000"/>
                <w:spacing w:val="0"/>
                <w:sz w:val="24"/>
                <w:szCs w:val="24"/>
              </w:rPr>
              <w:t>，四邻关系及在太钢厂区内位置见附图</w:t>
            </w:r>
            <w:r>
              <w:rPr>
                <w:rFonts w:ascii="Times New Roman" w:hAnsi="Times New Roman" w:eastAsia="宋体"/>
                <w:color w:val="000000"/>
                <w:spacing w:val="0"/>
                <w:sz w:val="24"/>
                <w:szCs w:val="24"/>
              </w:rPr>
              <w:t>2</w:t>
            </w:r>
            <w:r>
              <w:rPr>
                <w:rFonts w:hint="eastAsia" w:ascii="Times New Roman" w:hAnsi="Times New Roman" w:eastAsia="宋体"/>
                <w:color w:val="000000"/>
                <w:spacing w:val="0"/>
                <w:sz w:val="24"/>
                <w:szCs w:val="24"/>
              </w:rPr>
              <w:t>。</w:t>
            </w:r>
          </w:p>
          <w:p>
            <w:pPr>
              <w:autoSpaceDE w:val="0"/>
              <w:autoSpaceDN w:val="0"/>
              <w:spacing w:after="0" w:line="360" w:lineRule="auto"/>
              <w:ind w:firstLine="17" w:firstLineChars="7"/>
              <w:rPr>
                <w:rFonts w:ascii="宋体" w:hAnsi="宋体" w:eastAsia="宋体"/>
                <w:b/>
                <w:bCs/>
                <w:color w:val="000000"/>
                <w:sz w:val="24"/>
                <w:szCs w:val="24"/>
              </w:rPr>
            </w:pPr>
            <w:r>
              <w:rPr>
                <w:rFonts w:ascii="宋体" w:hAnsi="宋体" w:eastAsia="宋体"/>
                <w:b/>
                <w:bCs/>
                <w:color w:val="000000"/>
                <w:sz w:val="24"/>
                <w:szCs w:val="24"/>
              </w:rPr>
              <w:t>2</w:t>
            </w:r>
            <w:r>
              <w:rPr>
                <w:rFonts w:hint="eastAsia" w:ascii="宋体" w:hAnsi="宋体" w:eastAsia="宋体"/>
                <w:b/>
                <w:bCs/>
                <w:color w:val="000000"/>
                <w:sz w:val="24"/>
                <w:szCs w:val="24"/>
              </w:rPr>
              <w:t>、建设规模</w:t>
            </w:r>
          </w:p>
          <w:p>
            <w:pPr>
              <w:spacing w:after="0" w:line="360" w:lineRule="auto"/>
              <w:ind w:firstLine="480" w:firstLineChars="200"/>
              <w:rPr>
                <w:rFonts w:ascii="Times New Roman" w:hAnsi="Times New Roman" w:eastAsia="宋体"/>
                <w:color w:val="000000"/>
                <w:sz w:val="24"/>
                <w:szCs w:val="24"/>
              </w:rPr>
            </w:pPr>
            <w:r>
              <w:rPr>
                <w:rFonts w:hint="eastAsia" w:ascii="Times New Roman" w:hAnsi="Times New Roman" w:eastAsia="宋体"/>
                <w:bCs/>
                <w:color w:val="000000"/>
                <w:sz w:val="24"/>
                <w:szCs w:val="24"/>
              </w:rPr>
              <w:t>太钢中和站酸废水目前水量约540m</w:t>
            </w:r>
            <w:r>
              <w:rPr>
                <w:rFonts w:hint="eastAsia" w:ascii="Times New Roman" w:hAnsi="Times New Roman" w:eastAsia="宋体"/>
                <w:bCs/>
                <w:color w:val="000000"/>
                <w:sz w:val="24"/>
                <w:szCs w:val="24"/>
                <w:vertAlign w:val="superscript"/>
              </w:rPr>
              <w:t>3</w:t>
            </w:r>
            <w:r>
              <w:rPr>
                <w:rFonts w:hint="eastAsia" w:ascii="Times New Roman" w:hAnsi="Times New Roman" w:eastAsia="宋体"/>
                <w:bCs/>
                <w:color w:val="000000"/>
                <w:sz w:val="24"/>
                <w:szCs w:val="24"/>
              </w:rPr>
              <w:t>/h，本项目对中和站出水进行脱氮处理据此确定本项目建成后废水处理能力为540m</w:t>
            </w:r>
            <w:r>
              <w:rPr>
                <w:rFonts w:hint="eastAsia" w:ascii="Times New Roman" w:hAnsi="Times New Roman" w:eastAsia="宋体"/>
                <w:bCs/>
                <w:color w:val="000000"/>
                <w:sz w:val="24"/>
                <w:szCs w:val="24"/>
                <w:vertAlign w:val="superscript"/>
              </w:rPr>
              <w:t>3</w:t>
            </w:r>
            <w:r>
              <w:rPr>
                <w:rFonts w:hint="eastAsia" w:ascii="Times New Roman" w:hAnsi="Times New Roman" w:eastAsia="宋体"/>
                <w:bCs/>
                <w:color w:val="000000"/>
                <w:sz w:val="24"/>
                <w:szCs w:val="24"/>
              </w:rPr>
              <w:t>/h（12960m</w:t>
            </w:r>
            <w:r>
              <w:rPr>
                <w:rFonts w:hint="eastAsia" w:ascii="Times New Roman" w:hAnsi="Times New Roman" w:eastAsia="宋体"/>
                <w:bCs/>
                <w:color w:val="000000"/>
                <w:sz w:val="24"/>
                <w:szCs w:val="24"/>
                <w:vertAlign w:val="superscript"/>
              </w:rPr>
              <w:t>3</w:t>
            </w:r>
            <w:r>
              <w:rPr>
                <w:rFonts w:hint="eastAsia" w:ascii="Times New Roman" w:hAnsi="Times New Roman" w:eastAsia="宋体"/>
                <w:bCs/>
                <w:color w:val="000000"/>
                <w:sz w:val="24"/>
                <w:szCs w:val="24"/>
              </w:rPr>
              <w:t>/d）</w:t>
            </w:r>
            <w:r>
              <w:rPr>
                <w:rFonts w:hint="eastAsia" w:ascii="Times New Roman" w:hAnsi="Times New Roman" w:eastAsia="宋体"/>
                <w:color w:val="000000"/>
                <w:sz w:val="24"/>
                <w:szCs w:val="24"/>
              </w:rPr>
              <w:t>。</w:t>
            </w:r>
          </w:p>
          <w:p>
            <w:pPr>
              <w:autoSpaceDE w:val="0"/>
              <w:autoSpaceDN w:val="0"/>
              <w:spacing w:after="0" w:line="360" w:lineRule="auto"/>
              <w:ind w:firstLine="17" w:firstLineChars="7"/>
              <w:rPr>
                <w:rFonts w:ascii="宋体" w:hAnsi="宋体" w:eastAsia="宋体"/>
                <w:b/>
                <w:bCs/>
                <w:color w:val="000000"/>
                <w:sz w:val="24"/>
                <w:szCs w:val="24"/>
              </w:rPr>
            </w:pPr>
            <w:r>
              <w:rPr>
                <w:rFonts w:ascii="宋体" w:hAnsi="宋体" w:eastAsia="宋体"/>
                <w:b/>
                <w:bCs/>
                <w:color w:val="000000"/>
                <w:sz w:val="24"/>
                <w:szCs w:val="24"/>
              </w:rPr>
              <w:t>3、工作制度及职工定员</w:t>
            </w:r>
          </w:p>
          <w:p>
            <w:pPr>
              <w:autoSpaceDE w:val="0"/>
              <w:autoSpaceDN w:val="0"/>
              <w:spacing w:after="0" w:line="360" w:lineRule="auto"/>
              <w:ind w:firstLine="480" w:firstLineChars="200"/>
              <w:jc w:val="both"/>
              <w:rPr>
                <w:rFonts w:ascii="Times New Roman" w:hAnsi="Times New Roman" w:eastAsia="宋体"/>
                <w:color w:val="000000"/>
                <w:sz w:val="24"/>
                <w:szCs w:val="24"/>
              </w:rPr>
            </w:pPr>
            <w:r>
              <w:rPr>
                <w:rFonts w:hint="eastAsia" w:ascii="Times New Roman" w:hAnsi="Times New Roman" w:eastAsia="宋体"/>
                <w:color w:val="000000"/>
                <w:sz w:val="24"/>
                <w:szCs w:val="24"/>
              </w:rPr>
              <w:t>本项目增加劳动定员</w:t>
            </w:r>
            <w:r>
              <w:rPr>
                <w:rFonts w:ascii="Times New Roman" w:hAnsi="Times New Roman" w:eastAsia="宋体"/>
                <w:color w:val="000000"/>
                <w:sz w:val="24"/>
                <w:szCs w:val="24"/>
              </w:rPr>
              <w:t>17</w:t>
            </w:r>
            <w:r>
              <w:rPr>
                <w:rFonts w:hint="eastAsia" w:ascii="Times New Roman" w:hAnsi="Times New Roman" w:eastAsia="宋体"/>
                <w:color w:val="000000"/>
                <w:sz w:val="24"/>
                <w:szCs w:val="24"/>
              </w:rPr>
              <w:t>人，四班三运转，年运行365d，每天24h</w:t>
            </w:r>
            <w:r>
              <w:rPr>
                <w:rFonts w:ascii="Times New Roman" w:hAnsi="Times New Roman" w:eastAsia="宋体"/>
                <w:color w:val="000000"/>
                <w:sz w:val="24"/>
                <w:szCs w:val="24"/>
              </w:rPr>
              <w:t>。</w:t>
            </w:r>
          </w:p>
          <w:p>
            <w:pPr>
              <w:spacing w:after="0" w:line="360" w:lineRule="auto"/>
              <w:rPr>
                <w:rFonts w:ascii="宋体" w:hAnsi="宋体" w:eastAsia="宋体"/>
                <w:b/>
                <w:bCs/>
                <w:color w:val="000000"/>
                <w:sz w:val="24"/>
                <w:szCs w:val="24"/>
              </w:rPr>
            </w:pPr>
            <w:r>
              <w:rPr>
                <w:rFonts w:ascii="宋体" w:hAnsi="宋体" w:eastAsia="宋体"/>
                <w:b/>
                <w:bCs/>
                <w:color w:val="000000"/>
                <w:sz w:val="24"/>
                <w:szCs w:val="24"/>
              </w:rPr>
              <w:t>4、</w:t>
            </w:r>
            <w:r>
              <w:rPr>
                <w:rFonts w:hint="eastAsia" w:ascii="宋体" w:hAnsi="宋体" w:eastAsia="宋体"/>
                <w:b/>
                <w:bCs/>
                <w:color w:val="000000"/>
                <w:sz w:val="24"/>
                <w:szCs w:val="24"/>
              </w:rPr>
              <w:t>主要建设内容</w:t>
            </w:r>
          </w:p>
          <w:p>
            <w:pPr>
              <w:spacing w:after="0" w:line="360" w:lineRule="auto"/>
              <w:ind w:firstLine="480" w:firstLineChars="200"/>
              <w:rPr>
                <w:rFonts w:ascii="Times New Roman" w:hAnsi="Times New Roman" w:eastAsia="宋体"/>
                <w:bCs/>
                <w:color w:val="000000"/>
                <w:sz w:val="24"/>
                <w:szCs w:val="24"/>
              </w:rPr>
            </w:pPr>
            <w:r>
              <w:rPr>
                <w:rFonts w:hint="eastAsia" w:ascii="Times New Roman" w:hAnsi="Times New Roman" w:eastAsia="宋体"/>
                <w:bCs/>
                <w:color w:val="000000"/>
                <w:sz w:val="24"/>
                <w:szCs w:val="24"/>
              </w:rPr>
              <w:t>项目在现有能源动力总厂酸水中和站基础上增加酸废水脱氮脱硝处理系统。本次升级改造由能源动力总厂酸水作业区出水调节及提升设施、PH调节设施、脱氮调节水池、反硝化设施、好氧生物处理设施、沉淀设施、过滤设施、污泥脱水设施改造、压缩空气设施、加药设施、自动化及仪表设施、供电设施等组成。</w:t>
            </w:r>
          </w:p>
          <w:p>
            <w:pPr>
              <w:spacing w:after="0" w:line="360" w:lineRule="auto"/>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rPr>
              <w:t>具体工程内容见下表：</w:t>
            </w:r>
          </w:p>
          <w:p>
            <w:pPr>
              <w:spacing w:before="120" w:beforeLines="50" w:after="0" w:line="360" w:lineRule="auto"/>
              <w:ind w:firstLine="480" w:firstLineChars="200"/>
              <w:jc w:val="center"/>
              <w:rPr>
                <w:rFonts w:ascii="Times New Roman" w:hAnsi="Times New Roman" w:eastAsia="宋体"/>
                <w:color w:val="000000"/>
                <w:sz w:val="24"/>
                <w:szCs w:val="24"/>
              </w:rPr>
            </w:pPr>
          </w:p>
          <w:p>
            <w:pPr>
              <w:spacing w:before="120" w:beforeLines="50" w:after="0" w:line="360" w:lineRule="auto"/>
              <w:ind w:firstLine="480" w:firstLineChars="200"/>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表2-1  工程内容一览表</w:t>
            </w:r>
          </w:p>
          <w:tbl>
            <w:tblPr>
              <w:tblStyle w:val="43"/>
              <w:tblW w:w="829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01"/>
              <w:gridCol w:w="670"/>
              <w:gridCol w:w="992"/>
              <w:gridCol w:w="2552"/>
              <w:gridCol w:w="2422"/>
              <w:gridCol w:w="10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2263" w:type="dxa"/>
                  <w:gridSpan w:val="3"/>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建设内容</w:t>
                  </w:r>
                </w:p>
              </w:tc>
              <w:tc>
                <w:tcPr>
                  <w:tcW w:w="2552"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环评要求建设内容</w:t>
                  </w:r>
                </w:p>
              </w:tc>
              <w:tc>
                <w:tcPr>
                  <w:tcW w:w="2422"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实际建设内容</w:t>
                  </w:r>
                </w:p>
              </w:tc>
              <w:tc>
                <w:tcPr>
                  <w:tcW w:w="1059"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变更情况说明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59" w:hRule="atLeast"/>
                <w:jc w:val="center"/>
              </w:trPr>
              <w:tc>
                <w:tcPr>
                  <w:tcW w:w="601" w:type="dxa"/>
                  <w:vMerge w:val="restart"/>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主体工程</w:t>
                  </w:r>
                </w:p>
              </w:tc>
              <w:tc>
                <w:tcPr>
                  <w:tcW w:w="670" w:type="dxa"/>
                  <w:vMerge w:val="restart"/>
                  <w:tcBorders>
                    <w:right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中和站出水调节工程</w:t>
                  </w:r>
                </w:p>
              </w:tc>
              <w:tc>
                <w:tcPr>
                  <w:tcW w:w="992" w:type="dxa"/>
                  <w:tcBorders>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中和站出水PH调节池</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rPr>
                    <w:t>2座，位于中和站内，每座有效容积300m</w:t>
                  </w:r>
                  <w:r>
                    <w:rPr>
                      <w:rFonts w:ascii="Times New Roman" w:hAnsi="Times New Roman" w:eastAsia="宋体"/>
                      <w:bCs/>
                      <w:color w:val="000000"/>
                      <w:vertAlign w:val="superscript"/>
                    </w:rPr>
                    <w:t>3</w:t>
                  </w:r>
                  <w:r>
                    <w:rPr>
                      <w:rFonts w:ascii="Times New Roman" w:hAnsi="Times New Roman" w:eastAsia="宋体"/>
                      <w:bCs/>
                      <w:color w:val="000000"/>
                    </w:rPr>
                    <w:t>，钢筋混凝土结构，用于对PH精确调节以满足脱氮需求，设有搅拌机，配套建设1座5m</w:t>
                  </w:r>
                  <w:r>
                    <w:rPr>
                      <w:rFonts w:ascii="Times New Roman" w:hAnsi="Times New Roman" w:eastAsia="宋体"/>
                      <w:bCs/>
                      <w:color w:val="000000"/>
                      <w:vertAlign w:val="superscript"/>
                    </w:rPr>
                    <w:t>3</w:t>
                  </w:r>
                  <w:r>
                    <w:rPr>
                      <w:rFonts w:ascii="Times New Roman" w:hAnsi="Times New Roman" w:eastAsia="宋体"/>
                      <w:bCs/>
                      <w:color w:val="000000"/>
                    </w:rPr>
                    <w:t>盐酸罐和1座3m</w:t>
                  </w:r>
                  <w:r>
                    <w:rPr>
                      <w:rFonts w:ascii="Times New Roman" w:hAnsi="Times New Roman" w:eastAsia="宋体"/>
                      <w:bCs/>
                      <w:color w:val="000000"/>
                      <w:vertAlign w:val="superscript"/>
                    </w:rPr>
                    <w:t>3</w:t>
                  </w:r>
                  <w:r>
                    <w:rPr>
                      <w:rFonts w:ascii="Times New Roman" w:hAnsi="Times New Roman" w:eastAsia="宋体"/>
                      <w:bCs/>
                      <w:color w:val="000000"/>
                    </w:rPr>
                    <w:t>NaOH储罐以及盐酸NaOH投加装置</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rPr>
                    <w:t>2座，位于中和站内，每座有效容积300m</w:t>
                  </w:r>
                  <w:r>
                    <w:rPr>
                      <w:rFonts w:ascii="Times New Roman" w:hAnsi="Times New Roman" w:eastAsia="宋体"/>
                      <w:bCs/>
                      <w:color w:val="000000"/>
                      <w:vertAlign w:val="superscript"/>
                    </w:rPr>
                    <w:t>3</w:t>
                  </w:r>
                  <w:r>
                    <w:rPr>
                      <w:rFonts w:ascii="Times New Roman" w:hAnsi="Times New Roman" w:eastAsia="宋体"/>
                      <w:bCs/>
                      <w:color w:val="000000"/>
                    </w:rPr>
                    <w:t>，钢筋混凝土结构，用于对PH精确调节以满足脱氮需求，设有搅拌机，配套建设1座5m</w:t>
                  </w:r>
                  <w:r>
                    <w:rPr>
                      <w:rFonts w:ascii="Times New Roman" w:hAnsi="Times New Roman" w:eastAsia="宋体"/>
                      <w:bCs/>
                      <w:color w:val="000000"/>
                      <w:vertAlign w:val="superscript"/>
                    </w:rPr>
                    <w:t>3</w:t>
                  </w:r>
                  <w:r>
                    <w:rPr>
                      <w:rFonts w:ascii="Times New Roman" w:hAnsi="Times New Roman" w:eastAsia="宋体"/>
                      <w:bCs/>
                      <w:color w:val="000000"/>
                    </w:rPr>
                    <w:t>盐酸罐和1座3m</w:t>
                  </w:r>
                  <w:r>
                    <w:rPr>
                      <w:rFonts w:ascii="Times New Roman" w:hAnsi="Times New Roman" w:eastAsia="宋体"/>
                      <w:bCs/>
                      <w:color w:val="000000"/>
                      <w:vertAlign w:val="superscript"/>
                    </w:rPr>
                    <w:t>3</w:t>
                  </w:r>
                  <w:r>
                    <w:rPr>
                      <w:rFonts w:ascii="Times New Roman" w:hAnsi="Times New Roman" w:eastAsia="宋体"/>
                      <w:bCs/>
                      <w:color w:val="000000"/>
                    </w:rPr>
                    <w:t>NaOH储罐以及盐酸NaOH投加装置</w:t>
                  </w:r>
                </w:p>
              </w:tc>
              <w:tc>
                <w:tcPr>
                  <w:tcW w:w="1059"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bottom w:val="single" w:color="auto" w:sz="4" w:space="0"/>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中和站出水调节池</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2座，位于中和站内，每座有效容积300m</w:t>
                  </w:r>
                  <w:r>
                    <w:rPr>
                      <w:rFonts w:ascii="Times New Roman" w:hAnsi="Times New Roman" w:eastAsia="宋体"/>
                      <w:color w:val="000000"/>
                      <w:vertAlign w:val="superscript"/>
                    </w:rPr>
                    <w:t>3</w:t>
                  </w:r>
                  <w:r>
                    <w:rPr>
                      <w:rFonts w:ascii="Times New Roman" w:hAnsi="Times New Roman" w:eastAsia="宋体"/>
                      <w:color w:val="000000"/>
                    </w:rPr>
                    <w:t>，钢筋混凝土结构，配套有压缩空气搅拌装置及提升泵等</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2座，位于中和站内，每座有效容积300m</w:t>
                  </w:r>
                  <w:r>
                    <w:rPr>
                      <w:rFonts w:ascii="Times New Roman" w:hAnsi="Times New Roman" w:eastAsia="宋体"/>
                      <w:color w:val="000000"/>
                      <w:vertAlign w:val="superscript"/>
                    </w:rPr>
                    <w:t>3</w:t>
                  </w:r>
                  <w:r>
                    <w:rPr>
                      <w:rFonts w:ascii="Times New Roman" w:hAnsi="Times New Roman" w:eastAsia="宋体"/>
                      <w:color w:val="000000"/>
                    </w:rPr>
                    <w:t>，钢筋混凝土结构，配套有压缩空气搅拌装置及提升泵等</w:t>
                  </w:r>
                </w:p>
              </w:tc>
              <w:tc>
                <w:tcPr>
                  <w:tcW w:w="1059" w:type="dxa"/>
                  <w:tcBorders>
                    <w:top w:val="single" w:color="auto" w:sz="4" w:space="0"/>
                    <w:bottom w:val="single" w:color="auto" w:sz="4" w:space="0"/>
                  </w:tcBorders>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restart"/>
                  <w:tcBorders>
                    <w:top w:val="single" w:color="auto" w:sz="4" w:space="0"/>
                    <w:right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脱氮</w:t>
                  </w:r>
                </w:p>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工程</w:t>
                  </w: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脱氮调节水池</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2座，位于脱氮池上方，每座容积2700m</w:t>
                  </w:r>
                  <w:r>
                    <w:rPr>
                      <w:rFonts w:ascii="Times New Roman" w:hAnsi="Times New Roman" w:eastAsia="宋体"/>
                      <w:color w:val="000000"/>
                      <w:vertAlign w:val="superscript"/>
                    </w:rPr>
                    <w:t>3</w:t>
                  </w:r>
                  <w:r>
                    <w:rPr>
                      <w:rFonts w:ascii="Times New Roman" w:hAnsi="Times New Roman" w:eastAsia="宋体"/>
                      <w:color w:val="000000"/>
                    </w:rPr>
                    <w:t>，配套建设2座处理能力300m</w:t>
                  </w:r>
                  <w:r>
                    <w:rPr>
                      <w:rFonts w:ascii="Times New Roman" w:hAnsi="Times New Roman" w:eastAsia="宋体"/>
                      <w:color w:val="000000"/>
                      <w:vertAlign w:val="superscript"/>
                    </w:rPr>
                    <w:t>3</w:t>
                  </w:r>
                  <w:r>
                    <w:rPr>
                      <w:rFonts w:ascii="Times New Roman" w:hAnsi="Times New Roman" w:eastAsia="宋体"/>
                      <w:color w:val="000000"/>
                    </w:rPr>
                    <w:t>/h冷却塔</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2座，位于脱氮池上方，每座容积2700m</w:t>
                  </w:r>
                  <w:r>
                    <w:rPr>
                      <w:rFonts w:ascii="Times New Roman" w:hAnsi="Times New Roman" w:eastAsia="宋体"/>
                      <w:color w:val="000000"/>
                      <w:vertAlign w:val="superscript"/>
                    </w:rPr>
                    <w:t>3</w:t>
                  </w:r>
                  <w:r>
                    <w:rPr>
                      <w:rFonts w:ascii="Times New Roman" w:hAnsi="Times New Roman" w:eastAsia="宋体"/>
                      <w:color w:val="000000"/>
                    </w:rPr>
                    <w:t>，配套建设2座处理能力300m</w:t>
                  </w:r>
                  <w:r>
                    <w:rPr>
                      <w:rFonts w:ascii="Times New Roman" w:hAnsi="Times New Roman" w:eastAsia="宋体"/>
                      <w:color w:val="000000"/>
                      <w:vertAlign w:val="superscript"/>
                    </w:rPr>
                    <w:t>3</w:t>
                  </w:r>
                  <w:r>
                    <w:rPr>
                      <w:rFonts w:ascii="Times New Roman" w:hAnsi="Times New Roman" w:eastAsia="宋体"/>
                      <w:color w:val="000000"/>
                    </w:rPr>
                    <w:t>/h冷却塔</w:t>
                  </w:r>
                </w:p>
              </w:tc>
              <w:tc>
                <w:tcPr>
                  <w:tcW w:w="1059" w:type="dxa"/>
                  <w:tcBorders>
                    <w:top w:val="single" w:color="auto" w:sz="4" w:space="0"/>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脱氮反应池</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bCs/>
                      <w:color w:val="000000"/>
                      <w:szCs w:val="21"/>
                    </w:rPr>
                    <w:t>1套，钢筋混凝土结构，架空式设置，总容积9800m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，配套搅拌机</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1套，钢筋混凝土结构，架空式设置，总容积9800m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，配套搅拌机</w:t>
                  </w:r>
                </w:p>
              </w:tc>
              <w:tc>
                <w:tcPr>
                  <w:tcW w:w="1059" w:type="dxa"/>
                  <w:tcBorders>
                    <w:top w:val="single" w:color="auto" w:sz="4" w:space="0"/>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好氧反应池</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szCs w:val="21"/>
                    </w:rPr>
                    <w:t>1座，钢筋混凝土结构，分3格布置，总容积2500m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，配套Q=30Nm</w:t>
                  </w:r>
                  <w:r>
                    <w:rPr>
                      <w:rFonts w:ascii="Times New Roman" w:hAnsi="Times New Roman" w:eastAsia="宋体"/>
                      <w:bCs/>
                      <w:color w:val="000000"/>
                      <w:szCs w:val="21"/>
                      <w:vertAlign w:val="superscript"/>
                    </w:rPr>
                    <w:t>3</w:t>
                  </w:r>
                  <w:r>
                    <w:rPr>
                      <w:rFonts w:ascii="Times New Roman" w:hAnsi="Times New Roman" w:eastAsia="宋体"/>
                      <w:bCs/>
                      <w:color w:val="000000"/>
                      <w:szCs w:val="21"/>
                    </w:rPr>
                    <w:t>/min鼓风机</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1座，钢筋混凝土结构，分3格布置，总容积2500m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，配套Q=30Nm</w:t>
                  </w:r>
                  <w:r>
                    <w:rPr>
                      <w:rFonts w:ascii="Times New Roman" w:hAnsi="Times New Roman" w:eastAsia="宋体"/>
                      <w:bCs/>
                      <w:color w:val="000000"/>
                      <w:szCs w:val="21"/>
                      <w:vertAlign w:val="superscript"/>
                    </w:rPr>
                    <w:t>3</w:t>
                  </w:r>
                  <w:r>
                    <w:rPr>
                      <w:rFonts w:ascii="Times New Roman" w:hAnsi="Times New Roman" w:eastAsia="宋体"/>
                      <w:bCs/>
                      <w:color w:val="000000"/>
                      <w:szCs w:val="21"/>
                    </w:rPr>
                    <w:t>/min鼓风机</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生化沉淀池</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szCs w:val="21"/>
                    </w:rPr>
                    <w:t>2座，辐流</w:t>
                  </w:r>
                  <w:r>
                    <w:rPr>
                      <w:rFonts w:ascii="Times New Roman" w:hAnsi="Times New Roman" w:eastAsia="宋体"/>
                      <w:bCs/>
                      <w:color w:val="000000"/>
                      <w:szCs w:val="21"/>
                    </w:rPr>
                    <w:cr/>
                  </w:r>
                  <w:r>
                    <w:rPr>
                      <w:rFonts w:ascii="Times New Roman" w:hAnsi="Times New Roman" w:eastAsia="宋体"/>
                      <w:bCs/>
                      <w:color w:val="000000"/>
                      <w:szCs w:val="21"/>
                    </w:rPr>
                    <w:t>沉淀池，钢筋混凝土结构，直径26m，有效水深4.5m，配套刮泥机、排泥泵等</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2座，辐流</w:t>
                  </w:r>
                  <w:r>
                    <w:rPr>
                      <w:rFonts w:ascii="Times New Roman" w:hAnsi="Times New Roman" w:eastAsia="宋体"/>
                      <w:bCs/>
                      <w:color w:val="000000"/>
                      <w:szCs w:val="21"/>
                    </w:rPr>
                    <w:cr/>
                  </w:r>
                  <w:r>
                    <w:rPr>
                      <w:rFonts w:ascii="Times New Roman" w:hAnsi="Times New Roman" w:eastAsia="宋体"/>
                      <w:bCs/>
                      <w:color w:val="000000"/>
                      <w:szCs w:val="21"/>
                    </w:rPr>
                    <w:t>沉淀池，钢筋混凝土结构，直径26m，有效水深4.5m，配套刮泥机、排泥泵等</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bottom w:val="single" w:color="auto" w:sz="4" w:space="0"/>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排放水池</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szCs w:val="21"/>
                    </w:rPr>
                    <w:t>1座，有效容积360m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，配套排放水泵等</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1座，有效容积360m</w:t>
                  </w:r>
                  <w:r>
                    <w:rPr>
                      <w:rFonts w:ascii="Times New Roman" w:hAnsi="Times New Roman" w:eastAsia="宋体"/>
                      <w:bCs/>
                      <w:color w:val="000000"/>
                      <w:szCs w:val="21"/>
                      <w:vertAlign w:val="superscript"/>
                    </w:rPr>
                    <w:t>3</w:t>
                  </w:r>
                  <w:r>
                    <w:rPr>
                      <w:rFonts w:ascii="Times New Roman" w:hAnsi="Times New Roman" w:eastAsia="宋体"/>
                      <w:bCs/>
                      <w:color w:val="000000"/>
                      <w:szCs w:val="21"/>
                    </w:rPr>
                    <w:t>，配套排放水泵等</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restart"/>
                  <w:tcBorders>
                    <w:top w:val="single" w:color="auto" w:sz="4" w:space="0"/>
                    <w:right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污泥及污泥压滤水处置工程</w:t>
                  </w: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污泥浓缩池</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szCs w:val="21"/>
                    </w:rPr>
                    <w:t>2座，</w:t>
                  </w:r>
                  <w:r>
                    <w:rPr>
                      <w:rFonts w:ascii="Times New Roman" w:hAnsi="Times New Roman" w:eastAsia="宋体"/>
                      <w:bCs/>
                      <w:color w:val="000000"/>
                      <w:szCs w:val="21"/>
                    </w:rPr>
                    <w:cr/>
                  </w:r>
                  <w:r>
                    <w:rPr>
                      <w:rFonts w:ascii="Times New Roman" w:hAnsi="Times New Roman" w:eastAsia="宋体"/>
                      <w:bCs/>
                      <w:color w:val="000000"/>
                      <w:szCs w:val="21"/>
                    </w:rPr>
                    <w:t>寸：10m×8m×5.5m，配套污泥泵、刮泥机等</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2座，</w:t>
                  </w:r>
                  <w:r>
                    <w:rPr>
                      <w:rFonts w:ascii="Times New Roman" w:hAnsi="Times New Roman" w:eastAsia="宋体"/>
                      <w:bCs/>
                      <w:color w:val="000000"/>
                      <w:szCs w:val="21"/>
                    </w:rPr>
                    <w:cr/>
                  </w:r>
                  <w:r>
                    <w:rPr>
                      <w:rFonts w:ascii="Times New Roman" w:hAnsi="Times New Roman" w:eastAsia="宋体"/>
                      <w:bCs/>
                      <w:color w:val="000000"/>
                      <w:szCs w:val="21"/>
                    </w:rPr>
                    <w:t>寸：10m×8m×5.5m，配套污泥泵、刮泥机等</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污泥压滤间</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szCs w:val="21"/>
                    </w:rPr>
                    <w:t xml:space="preserve">依托现有项目压滤脱水间进行压滤脱水，压滤脱水 </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依托现有项目压滤脱水间进行压滤脱水，压滤脱水</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670" w:type="dxa"/>
                  <w:vMerge w:val="continue"/>
                  <w:tcBorders>
                    <w:bottom w:val="single" w:color="auto" w:sz="4" w:space="0"/>
                    <w:right w:val="single" w:color="auto" w:sz="4" w:space="0"/>
                  </w:tcBorders>
                  <w:vAlign w:val="center"/>
                </w:tcPr>
                <w:p>
                  <w:pPr>
                    <w:spacing w:line="240" w:lineRule="atLeast"/>
                    <w:jc w:val="center"/>
                    <w:rPr>
                      <w:rFonts w:ascii="Times New Roman" w:hAnsi="Times New Roman" w:eastAsia="宋体"/>
                      <w:color w:val="000000"/>
                      <w:szCs w:val="21"/>
                    </w:rPr>
                  </w:pPr>
                </w:p>
              </w:tc>
              <w:tc>
                <w:tcPr>
                  <w:tcW w:w="992" w:type="dxa"/>
                  <w:tcBorders>
                    <w:top w:val="single" w:color="auto" w:sz="4" w:space="0"/>
                    <w:left w:val="single" w:color="auto" w:sz="4" w:space="0"/>
                    <w:bottom w:val="single" w:color="auto" w:sz="4" w:space="0"/>
                  </w:tcBorders>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压滤机滤液收集池</w:t>
                  </w:r>
                </w:p>
              </w:tc>
              <w:tc>
                <w:tcPr>
                  <w:tcW w:w="2552" w:type="dxa"/>
                  <w:vAlign w:val="center"/>
                </w:tcPr>
                <w:p>
                  <w:pPr>
                    <w:spacing w:line="240" w:lineRule="atLeast"/>
                    <w:jc w:val="center"/>
                    <w:rPr>
                      <w:rFonts w:ascii="Times New Roman" w:hAnsi="Times New Roman" w:eastAsia="宋体"/>
                      <w:bCs/>
                      <w:color w:val="000000"/>
                      <w:szCs w:val="21"/>
                    </w:rPr>
                  </w:pPr>
                  <w:r>
                    <w:rPr>
                      <w:rFonts w:ascii="Times New Roman" w:hAnsi="Times New Roman" w:eastAsia="宋体"/>
                      <w:bCs/>
                      <w:color w:val="000000"/>
                    </w:rPr>
                    <w:t>1座，位于能源动力总厂酸水作业区内，有效容积360m</w:t>
                  </w:r>
                  <w:r>
                    <w:rPr>
                      <w:rFonts w:ascii="Times New Roman" w:hAnsi="Times New Roman" w:eastAsia="宋体"/>
                      <w:bCs/>
                      <w:color w:val="000000"/>
                      <w:vertAlign w:val="superscript"/>
                    </w:rPr>
                    <w:t>3</w:t>
                  </w:r>
                  <w:r>
                    <w:rPr>
                      <w:rFonts w:ascii="Times New Roman" w:hAnsi="Times New Roman" w:eastAsia="宋体"/>
                      <w:bCs/>
                      <w:color w:val="000000"/>
                    </w:rPr>
                    <w:t>，钢筋混凝土结构</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rPr>
                    <w:t>1座，位于能源动力总厂酸水作业区内，有效容积360m</w:t>
                  </w:r>
                  <w:r>
                    <w:rPr>
                      <w:rFonts w:ascii="Times New Roman" w:hAnsi="Times New Roman" w:eastAsia="宋体"/>
                      <w:bCs/>
                      <w:color w:val="000000"/>
                      <w:vertAlign w:val="superscript"/>
                    </w:rPr>
                    <w:t>3</w:t>
                  </w:r>
                  <w:r>
                    <w:rPr>
                      <w:rFonts w:ascii="Times New Roman" w:hAnsi="Times New Roman" w:eastAsia="宋体"/>
                      <w:bCs/>
                      <w:color w:val="000000"/>
                    </w:rPr>
                    <w:t>，钢筋混凝土结构</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restart"/>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辅助工程</w:t>
                  </w: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电气室</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bCs/>
                      <w:color w:val="000000"/>
                      <w:szCs w:val="21"/>
                    </w:rPr>
                    <w:t>甲醇罐间南侧新建一座脱氮区域电气室，2层结构，建筑面积175m</w:t>
                  </w:r>
                  <w:r>
                    <w:rPr>
                      <w:rFonts w:ascii="Times New Roman" w:hAnsi="Times New Roman" w:eastAsia="宋体"/>
                      <w:bCs/>
                      <w:color w:val="000000"/>
                      <w:szCs w:val="21"/>
                      <w:vertAlign w:val="superscript"/>
                    </w:rPr>
                    <w:t>2</w:t>
                  </w:r>
                  <w:r>
                    <w:rPr>
                      <w:rFonts w:ascii="Times New Roman" w:hAnsi="Times New Roman" w:eastAsia="宋体"/>
                      <w:bCs/>
                      <w:color w:val="000000"/>
                      <w:szCs w:val="21"/>
                    </w:rPr>
                    <w:t>，一层设置一间电气室及两间变压器室，二层设置一间操作室和一间PLC室</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甲醇罐间南侧新建一座脱氮区域电气室，2层结构，建筑面积175m</w:t>
                  </w:r>
                  <w:r>
                    <w:rPr>
                      <w:rFonts w:ascii="Times New Roman" w:hAnsi="Times New Roman" w:eastAsia="宋体"/>
                      <w:bCs/>
                      <w:color w:val="000000"/>
                      <w:szCs w:val="21"/>
                      <w:vertAlign w:val="superscript"/>
                    </w:rPr>
                    <w:t>2</w:t>
                  </w:r>
                  <w:r>
                    <w:rPr>
                      <w:rFonts w:ascii="Times New Roman" w:hAnsi="Times New Roman" w:eastAsia="宋体"/>
                      <w:bCs/>
                      <w:color w:val="000000"/>
                      <w:szCs w:val="21"/>
                    </w:rPr>
                    <w:t>，一层设置一间电气室及两间变压器室，二层设置一间操作室和一间PLC室</w:t>
                  </w:r>
                </w:p>
              </w:tc>
              <w:tc>
                <w:tcPr>
                  <w:tcW w:w="1059" w:type="dxa"/>
                  <w:tcBorders>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601" w:type="dxa"/>
                  <w:vMerge w:val="continue"/>
                  <w:vAlign w:val="center"/>
                </w:tcPr>
                <w:p>
                  <w:pPr>
                    <w:spacing w:line="240" w:lineRule="atLeast"/>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操作室</w:t>
                  </w:r>
                </w:p>
              </w:tc>
              <w:tc>
                <w:tcPr>
                  <w:tcW w:w="2552"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rPr>
                    <w:t>配套建设一座建筑面积60m</w:t>
                  </w:r>
                  <w:r>
                    <w:rPr>
                      <w:rFonts w:ascii="Times New Roman" w:hAnsi="Times New Roman" w:eastAsia="宋体"/>
                      <w:bCs/>
                      <w:color w:val="000000"/>
                      <w:vertAlign w:val="superscript"/>
                    </w:rPr>
                    <w:t>2</w:t>
                  </w:r>
                  <w:r>
                    <w:rPr>
                      <w:rFonts w:ascii="Times New Roman" w:hAnsi="Times New Roman" w:eastAsia="宋体"/>
                      <w:bCs/>
                      <w:color w:val="000000"/>
                    </w:rPr>
                    <w:t>操作室</w:t>
                  </w:r>
                </w:p>
              </w:tc>
              <w:tc>
                <w:tcPr>
                  <w:tcW w:w="2422" w:type="dxa"/>
                  <w:tcBorders>
                    <w:bottom w:val="single" w:color="auto" w:sz="4" w:space="0"/>
                  </w:tcBorders>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rPr>
                    <w:t>配套建设一座建筑面积60m</w:t>
                  </w:r>
                  <w:r>
                    <w:rPr>
                      <w:rFonts w:ascii="Times New Roman" w:hAnsi="Times New Roman" w:eastAsia="宋体"/>
                      <w:bCs/>
                      <w:color w:val="000000"/>
                      <w:vertAlign w:val="superscript"/>
                    </w:rPr>
                    <w:t>2</w:t>
                  </w:r>
                  <w:r>
                    <w:rPr>
                      <w:rFonts w:ascii="Times New Roman" w:hAnsi="Times New Roman" w:eastAsia="宋体"/>
                      <w:bCs/>
                      <w:color w:val="000000"/>
                    </w:rPr>
                    <w:t>操作室</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中和站出水提升泵房</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bCs/>
                      <w:color w:val="000000"/>
                      <w:szCs w:val="21"/>
                    </w:rPr>
                    <w:t>1座，地下式，位于中和站内，尺寸9m×5m，建筑面积45m</w:t>
                  </w:r>
                  <w:r>
                    <w:rPr>
                      <w:rFonts w:ascii="Times New Roman" w:hAnsi="Times New Roman" w:eastAsia="宋体"/>
                      <w:bCs/>
                      <w:color w:val="000000"/>
                      <w:szCs w:val="21"/>
                      <w:vertAlign w:val="superscript"/>
                    </w:rPr>
                    <w:t>2</w:t>
                  </w:r>
                  <w:r>
                    <w:rPr>
                      <w:rFonts w:ascii="Times New Roman" w:hAnsi="Times New Roman" w:eastAsia="宋体"/>
                      <w:bCs/>
                      <w:color w:val="000000"/>
                      <w:szCs w:val="21"/>
                    </w:rPr>
                    <w:t>，框架结构</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bCs/>
                      <w:color w:val="000000"/>
                      <w:szCs w:val="21"/>
                    </w:rPr>
                    <w:t>1座，地下式，位于中和站内，尺寸9m×5m，建筑面积45m</w:t>
                  </w:r>
                  <w:r>
                    <w:rPr>
                      <w:rFonts w:ascii="Times New Roman" w:hAnsi="Times New Roman" w:eastAsia="宋体"/>
                      <w:bCs/>
                      <w:color w:val="000000"/>
                      <w:szCs w:val="21"/>
                      <w:vertAlign w:val="superscript"/>
                    </w:rPr>
                    <w:t>2</w:t>
                  </w:r>
                  <w:r>
                    <w:rPr>
                      <w:rFonts w:ascii="Times New Roman" w:hAnsi="Times New Roman" w:eastAsia="宋体"/>
                      <w:bCs/>
                      <w:color w:val="000000"/>
                      <w:szCs w:val="21"/>
                    </w:rPr>
                    <w:t>，框架结构</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鼓风机房</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1座，砖混结构，尺寸13.5m×6m，建筑面积81m</w:t>
                  </w:r>
                  <w:r>
                    <w:rPr>
                      <w:rFonts w:ascii="Times New Roman" w:hAnsi="Times New Roman" w:eastAsia="宋体"/>
                      <w:color w:val="000000"/>
                      <w:szCs w:val="21"/>
                      <w:vertAlign w:val="superscript"/>
                    </w:rPr>
                    <w:t>2</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szCs w:val="21"/>
                    </w:rPr>
                    <w:t>1座，砖混结构，尺寸13.5m×6m，建筑面积81m</w:t>
                  </w:r>
                  <w:r>
                    <w:rPr>
                      <w:rFonts w:ascii="Times New Roman" w:hAnsi="Times New Roman" w:eastAsia="宋体"/>
                      <w:color w:val="000000"/>
                      <w:szCs w:val="21"/>
                      <w:vertAlign w:val="superscript"/>
                    </w:rPr>
                    <w:t>2</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甲醇加药系统</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包括容积180m</w:t>
                  </w:r>
                  <w:r>
                    <w:rPr>
                      <w:rFonts w:ascii="Times New Roman" w:hAnsi="Times New Roman" w:eastAsia="宋体"/>
                      <w:color w:val="000000"/>
                      <w:szCs w:val="21"/>
                      <w:vertAlign w:val="superscript"/>
                    </w:rPr>
                    <w:t>3</w:t>
                  </w:r>
                  <w:r>
                    <w:rPr>
                      <w:rFonts w:ascii="Times New Roman" w:hAnsi="Times New Roman" w:eastAsia="宋体"/>
                      <w:color w:val="000000"/>
                      <w:szCs w:val="21"/>
                    </w:rPr>
                    <w:t>甲</w:t>
                  </w:r>
                  <w:r>
                    <w:rPr>
                      <w:rFonts w:ascii="Times New Roman" w:hAnsi="Times New Roman" w:eastAsia="宋体"/>
                      <w:color w:val="000000"/>
                      <w:szCs w:val="21"/>
                    </w:rPr>
                    <w:cr/>
                  </w:r>
                  <w:r>
                    <w:rPr>
                      <w:rFonts w:ascii="Times New Roman" w:hAnsi="Times New Roman" w:eastAsia="宋体"/>
                      <w:color w:val="000000"/>
                      <w:szCs w:val="21"/>
                    </w:rPr>
                    <w:t>储罐一</w:t>
                  </w:r>
                  <w:r>
                    <w:rPr>
                      <w:rFonts w:ascii="Times New Roman" w:hAnsi="Times New Roman" w:eastAsia="宋体"/>
                      <w:color w:val="000000"/>
                      <w:szCs w:val="21"/>
                    </w:rPr>
                    <w:cr/>
                  </w:r>
                  <w:r>
                    <w:rPr>
                      <w:rFonts w:ascii="Times New Roman" w:hAnsi="Times New Roman" w:eastAsia="宋体"/>
                      <w:color w:val="000000"/>
                      <w:szCs w:val="21"/>
                    </w:rPr>
                    <w:t>，甲醇储罐周围设置12.5m×12.5m×1.6m围堤</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szCs w:val="21"/>
                    </w:rPr>
                    <w:t>包括容积180m</w:t>
                  </w:r>
                  <w:r>
                    <w:rPr>
                      <w:rFonts w:ascii="Times New Roman" w:hAnsi="Times New Roman" w:eastAsia="宋体"/>
                      <w:color w:val="000000"/>
                      <w:szCs w:val="21"/>
                      <w:vertAlign w:val="superscript"/>
                    </w:rPr>
                    <w:t>3</w:t>
                  </w:r>
                  <w:r>
                    <w:rPr>
                      <w:rFonts w:ascii="Times New Roman" w:hAnsi="Times New Roman" w:eastAsia="宋体"/>
                      <w:color w:val="000000"/>
                      <w:szCs w:val="21"/>
                    </w:rPr>
                    <w:t>甲</w:t>
                  </w:r>
                  <w:r>
                    <w:rPr>
                      <w:rFonts w:ascii="Times New Roman" w:hAnsi="Times New Roman" w:eastAsia="宋体"/>
                      <w:color w:val="000000"/>
                      <w:szCs w:val="21"/>
                    </w:rPr>
                    <w:cr/>
                  </w:r>
                  <w:r>
                    <w:rPr>
                      <w:rFonts w:ascii="Times New Roman" w:hAnsi="Times New Roman" w:eastAsia="宋体"/>
                      <w:color w:val="000000"/>
                      <w:szCs w:val="21"/>
                    </w:rPr>
                    <w:t>储罐一</w:t>
                  </w:r>
                  <w:r>
                    <w:rPr>
                      <w:rFonts w:ascii="Times New Roman" w:hAnsi="Times New Roman" w:eastAsia="宋体"/>
                      <w:color w:val="000000"/>
                      <w:szCs w:val="21"/>
                    </w:rPr>
                    <w:cr/>
                  </w:r>
                  <w:r>
                    <w:rPr>
                      <w:rFonts w:ascii="Times New Roman" w:hAnsi="Times New Roman" w:eastAsia="宋体"/>
                      <w:color w:val="000000"/>
                      <w:szCs w:val="21"/>
                    </w:rPr>
                    <w:t>，甲醇储罐周围设置12.5m×12.5m×1.6m围堤</w:t>
                  </w:r>
                </w:p>
              </w:tc>
              <w:tc>
                <w:tcPr>
                  <w:tcW w:w="1059" w:type="dxa"/>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磷酸加药系统</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包括1个容积10m</w:t>
                  </w:r>
                  <w:r>
                    <w:rPr>
                      <w:rFonts w:ascii="Times New Roman" w:hAnsi="Times New Roman" w:eastAsia="宋体"/>
                      <w:color w:val="000000"/>
                      <w:szCs w:val="21"/>
                      <w:vertAlign w:val="superscript"/>
                    </w:rPr>
                    <w:t>3</w:t>
                  </w:r>
                  <w:r>
                    <w:rPr>
                      <w:rFonts w:ascii="Times New Roman" w:hAnsi="Times New Roman" w:eastAsia="宋体"/>
                      <w:color w:val="000000"/>
                      <w:szCs w:val="21"/>
                    </w:rPr>
                    <w:t>磷酸储池，配套建设投加泵等设施</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szCs w:val="21"/>
                    </w:rPr>
                    <w:t>包括1个容积10m</w:t>
                  </w:r>
                  <w:r>
                    <w:rPr>
                      <w:rFonts w:ascii="Times New Roman" w:hAnsi="Times New Roman" w:eastAsia="宋体"/>
                      <w:color w:val="000000"/>
                      <w:szCs w:val="21"/>
                      <w:vertAlign w:val="superscript"/>
                    </w:rPr>
                    <w:t>3</w:t>
                  </w:r>
                  <w:r>
                    <w:rPr>
                      <w:rFonts w:ascii="Times New Roman" w:hAnsi="Times New Roman" w:eastAsia="宋体"/>
                      <w:color w:val="000000"/>
                      <w:szCs w:val="21"/>
                    </w:rPr>
                    <w:t>磷酸储池，配套建设投加泵等设施</w:t>
                  </w:r>
                </w:p>
              </w:tc>
              <w:tc>
                <w:tcPr>
                  <w:tcW w:w="1059" w:type="dxa"/>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restart"/>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储运工程</w:t>
                  </w: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甲醇储罐</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包括容积180m</w:t>
                  </w:r>
                  <w:r>
                    <w:rPr>
                      <w:rFonts w:ascii="Times New Roman" w:hAnsi="Times New Roman" w:eastAsia="宋体"/>
                      <w:color w:val="000000"/>
                      <w:vertAlign w:val="superscript"/>
                    </w:rPr>
                    <w:t>3</w:t>
                  </w:r>
                  <w:r>
                    <w:rPr>
                      <w:rFonts w:ascii="Times New Roman" w:hAnsi="Times New Roman" w:eastAsia="宋体"/>
                      <w:color w:val="000000"/>
                    </w:rPr>
                    <w:t>甲醇储罐一座，甲醇储罐周围设置12.5m×12.5m×</w:t>
                  </w:r>
                  <w:r>
                    <w:rPr>
                      <w:rFonts w:ascii="Times New Roman" w:hAnsi="Times New Roman" w:eastAsia="宋体"/>
                      <w:color w:val="000000"/>
                    </w:rPr>
                    <w:cr/>
                  </w:r>
                  <w:r>
                    <w:rPr>
                      <w:rFonts w:ascii="Times New Roman" w:hAnsi="Times New Roman" w:eastAsia="宋体"/>
                      <w:color w:val="000000"/>
                    </w:rPr>
                    <w:t>.6m围堤</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包括容积180m</w:t>
                  </w:r>
                  <w:r>
                    <w:rPr>
                      <w:rFonts w:ascii="Times New Roman" w:hAnsi="Times New Roman" w:eastAsia="宋体"/>
                      <w:color w:val="000000"/>
                      <w:vertAlign w:val="superscript"/>
                    </w:rPr>
                    <w:t>3</w:t>
                  </w:r>
                  <w:r>
                    <w:rPr>
                      <w:rFonts w:ascii="Times New Roman" w:hAnsi="Times New Roman" w:eastAsia="宋体"/>
                      <w:color w:val="000000"/>
                    </w:rPr>
                    <w:t>甲醇储罐一座，甲醇储罐周围设置12.5m×12.5m×</w:t>
                  </w:r>
                  <w:r>
                    <w:rPr>
                      <w:rFonts w:ascii="Times New Roman" w:hAnsi="Times New Roman" w:eastAsia="宋体"/>
                      <w:color w:val="000000"/>
                    </w:rPr>
                    <w:cr/>
                  </w:r>
                  <w:r>
                    <w:rPr>
                      <w:rFonts w:ascii="Times New Roman" w:hAnsi="Times New Roman" w:eastAsia="宋体"/>
                      <w:color w:val="000000"/>
                    </w:rPr>
                    <w:t>.6m围堤</w:t>
                  </w:r>
                </w:p>
              </w:tc>
              <w:tc>
                <w:tcPr>
                  <w:tcW w:w="1059" w:type="dxa"/>
                  <w:tcBorders>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磷酸储存设施</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包括1个容积10m</w:t>
                  </w:r>
                  <w:r>
                    <w:rPr>
                      <w:rFonts w:ascii="Times New Roman" w:hAnsi="Times New Roman" w:eastAsia="宋体"/>
                      <w:color w:val="000000"/>
                      <w:vertAlign w:val="superscript"/>
                    </w:rPr>
                    <w:t>3</w:t>
                  </w:r>
                  <w:r>
                    <w:rPr>
                      <w:rFonts w:ascii="Times New Roman" w:hAnsi="Times New Roman" w:eastAsia="宋体"/>
                      <w:color w:val="000000"/>
                    </w:rPr>
                    <w:t>磷</w:t>
                  </w:r>
                  <w:r>
                    <w:rPr>
                      <w:rFonts w:ascii="Times New Roman" w:hAnsi="Times New Roman" w:eastAsia="宋体"/>
                      <w:color w:val="000000"/>
                    </w:rPr>
                    <w:cr/>
                  </w:r>
                  <w:r>
                    <w:rPr>
                      <w:rFonts w:ascii="Times New Roman" w:hAnsi="Times New Roman" w:eastAsia="宋体"/>
                      <w:color w:val="000000"/>
                    </w:rPr>
                    <w:t>储池，配套建设投加泵等设施</w:t>
                  </w:r>
                </w:p>
              </w:tc>
              <w:tc>
                <w:tcPr>
                  <w:tcW w:w="2422" w:type="dxa"/>
                  <w:vAlign w:val="top"/>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包括1个容积10m</w:t>
                  </w:r>
                  <w:r>
                    <w:rPr>
                      <w:rFonts w:ascii="Times New Roman" w:hAnsi="Times New Roman" w:eastAsia="宋体"/>
                      <w:color w:val="000000"/>
                      <w:vertAlign w:val="superscript"/>
                    </w:rPr>
                    <w:t>3</w:t>
                  </w:r>
                  <w:r>
                    <w:rPr>
                      <w:rFonts w:ascii="Times New Roman" w:hAnsi="Times New Roman" w:eastAsia="宋体"/>
                      <w:color w:val="000000"/>
                    </w:rPr>
                    <w:t>磷</w:t>
                  </w:r>
                  <w:r>
                    <w:rPr>
                      <w:rFonts w:ascii="Times New Roman" w:hAnsi="Times New Roman" w:eastAsia="宋体"/>
                      <w:color w:val="000000"/>
                    </w:rPr>
                    <w:cr/>
                  </w:r>
                  <w:r>
                    <w:rPr>
                      <w:rFonts w:ascii="Times New Roman" w:hAnsi="Times New Roman" w:eastAsia="宋体"/>
                      <w:color w:val="000000"/>
                    </w:rPr>
                    <w:t>储池，配套建设投加泵等设施</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5"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盐酸储罐</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1个容积5m</w:t>
                  </w:r>
                  <w:r>
                    <w:rPr>
                      <w:rFonts w:ascii="Times New Roman" w:hAnsi="Times New Roman" w:eastAsia="宋体"/>
                      <w:color w:val="000000"/>
                      <w:vertAlign w:val="superscript"/>
                    </w:rPr>
                    <w:t>3</w:t>
                  </w:r>
                  <w:r>
                    <w:rPr>
                      <w:rFonts w:ascii="Times New Roman" w:hAnsi="Times New Roman" w:eastAsia="宋体"/>
                      <w:color w:val="000000"/>
                    </w:rPr>
                    <w:t>盐酸储罐</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1个容积5m</w:t>
                  </w:r>
                  <w:r>
                    <w:rPr>
                      <w:rFonts w:ascii="Times New Roman" w:hAnsi="Times New Roman" w:eastAsia="宋体"/>
                      <w:color w:val="000000"/>
                      <w:vertAlign w:val="superscript"/>
                    </w:rPr>
                    <w:t>3</w:t>
                  </w:r>
                  <w:r>
                    <w:rPr>
                      <w:rFonts w:ascii="Times New Roman" w:hAnsi="Times New Roman" w:eastAsia="宋体"/>
                      <w:color w:val="000000"/>
                    </w:rPr>
                    <w:t>盐酸储罐</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spacing w:line="240" w:lineRule="atLeast"/>
                    <w:ind w:firstLine="562"/>
                    <w:jc w:val="center"/>
                    <w:rPr>
                      <w:rFonts w:ascii="Times New Roman" w:hAnsi="Times New Roman" w:eastAsia="宋体"/>
                      <w:color w:val="000000"/>
                      <w:szCs w:val="21"/>
                    </w:rPr>
                  </w:pPr>
                </w:p>
              </w:tc>
              <w:tc>
                <w:tcPr>
                  <w:tcW w:w="1662" w:type="dxa"/>
                  <w:gridSpan w:val="2"/>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NaOH储罐</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1个容积3m</w:t>
                  </w:r>
                  <w:r>
                    <w:rPr>
                      <w:rFonts w:ascii="Times New Roman" w:hAnsi="Times New Roman" w:eastAsia="宋体"/>
                      <w:color w:val="000000"/>
                      <w:vertAlign w:val="superscript"/>
                    </w:rPr>
                    <w:t>3</w:t>
                  </w:r>
                  <w:r>
                    <w:rPr>
                      <w:rFonts w:ascii="Times New Roman" w:hAnsi="Times New Roman" w:eastAsia="宋体"/>
                      <w:color w:val="000000"/>
                    </w:rPr>
                    <w:t>NaOH储罐</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1个容积3m</w:t>
                  </w:r>
                  <w:r>
                    <w:rPr>
                      <w:rFonts w:ascii="Times New Roman" w:hAnsi="Times New Roman" w:eastAsia="宋体"/>
                      <w:color w:val="000000"/>
                      <w:vertAlign w:val="superscript"/>
                    </w:rPr>
                    <w:t>3</w:t>
                  </w:r>
                  <w:r>
                    <w:rPr>
                      <w:rFonts w:ascii="Times New Roman" w:hAnsi="Times New Roman" w:eastAsia="宋体"/>
                      <w:color w:val="000000"/>
                    </w:rPr>
                    <w:t>NaOH储罐</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restart"/>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公用工程</w:t>
                  </w: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供水</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太钢厂区供水管网</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太钢厂区供水管网</w:t>
                  </w:r>
                </w:p>
              </w:tc>
              <w:tc>
                <w:tcPr>
                  <w:tcW w:w="1059" w:type="dxa"/>
                  <w:tcBorders>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供电</w:t>
                  </w:r>
                </w:p>
              </w:tc>
              <w:tc>
                <w:tcPr>
                  <w:tcW w:w="255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10kV电源引自附近10kV架空线铁塔，通过转换金具转换成电缆并下引后直埋进新增环网柜用于给新增变压器供电</w:t>
                  </w:r>
                </w:p>
              </w:tc>
              <w:tc>
                <w:tcPr>
                  <w:tcW w:w="2422" w:type="dxa"/>
                  <w:vAlign w:val="center"/>
                </w:tcPr>
                <w:p>
                  <w:pPr>
                    <w:spacing w:line="240" w:lineRule="atLeast"/>
                    <w:jc w:val="center"/>
                    <w:rPr>
                      <w:rFonts w:ascii="Times New Roman" w:hAnsi="Times New Roman" w:eastAsia="宋体"/>
                      <w:color w:val="000000"/>
                      <w:szCs w:val="21"/>
                    </w:rPr>
                  </w:pPr>
                  <w:r>
                    <w:rPr>
                      <w:rFonts w:ascii="Times New Roman" w:hAnsi="Times New Roman" w:eastAsia="宋体"/>
                      <w:color w:val="000000"/>
                      <w:szCs w:val="21"/>
                    </w:rPr>
                    <w:t>10kV电源引自附近10kV架空线铁塔，通过转换金具转换成电缆并下引后直埋进新增环网柜用于给新增变压器供电</w:t>
                  </w:r>
                </w:p>
              </w:tc>
              <w:tc>
                <w:tcPr>
                  <w:tcW w:w="1059" w:type="dxa"/>
                  <w:tcBorders>
                    <w:top w:val="single" w:color="auto" w:sz="4" w:space="0"/>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供暖</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太钢厂区内蒸汽供热管网供暖</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太钢厂区内蒸汽供热管网供暖</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restart"/>
                  <w:vAlign w:val="center"/>
                </w:tcPr>
                <w:p>
                  <w:pPr>
                    <w:pStyle w:val="22"/>
                    <w:spacing w:line="240" w:lineRule="atLeast"/>
                    <w:rPr>
                      <w:rFonts w:ascii="Times New Roman" w:hAnsi="Times New Roman" w:eastAsia="宋体"/>
                      <w:color w:val="000000"/>
                    </w:rPr>
                  </w:pPr>
                  <w:r>
                    <w:rPr>
                      <w:rFonts w:ascii="Times New Roman" w:hAnsi="Times New Roman" w:eastAsia="宋体"/>
                      <w:color w:val="000000"/>
                    </w:rPr>
                    <w:t>依托工程</w:t>
                  </w: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办公楼</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依托太钢厂区办公楼</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依托太钢厂区办公楼</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食堂</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依托太钢厂区食堂</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依托太钢厂区食堂</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宿舍</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依托太钢厂区宿舍</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依托太钢厂区宿舍</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污泥压滤</w:t>
                  </w:r>
                  <w:r>
                    <w:rPr>
                      <w:rFonts w:ascii="Times New Roman" w:hAnsi="Times New Roman" w:eastAsia="宋体"/>
                      <w:color w:val="000000"/>
                    </w:rPr>
                    <w:cr/>
                  </w:r>
                  <w:r>
                    <w:rPr>
                      <w:rFonts w:ascii="Times New Roman" w:hAnsi="Times New Roman" w:eastAsia="宋体"/>
                      <w:color w:val="000000"/>
                    </w:rPr>
                    <w:cr/>
                  </w:r>
                  <w:r>
                    <w:rPr>
                      <w:rFonts w:ascii="Times New Roman" w:hAnsi="Times New Roman" w:eastAsia="宋体"/>
                      <w:color w:val="000000"/>
                    </w:rPr>
                    <w:t>间</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利用中和站污泥压滤脱水间脱水，项目污泥单独使用一台压滤机压滤脱水</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利用中和站污泥压滤脱水间脱水，项目污泥单独使用一台压滤机压滤脱水</w:t>
                  </w:r>
                </w:p>
              </w:tc>
              <w:tc>
                <w:tcPr>
                  <w:tcW w:w="1059" w:type="dxa"/>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restart"/>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环保工程</w:t>
                  </w: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废气治理措施</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产臭设施设置植物液喷淋除臭装置，压滤间污泥每日进行清理</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产臭设施设置植物液喷淋除臭装置，压滤间污泥每日进行清理</w:t>
                  </w:r>
                </w:p>
              </w:tc>
              <w:tc>
                <w:tcPr>
                  <w:tcW w:w="1059" w:type="dxa"/>
                  <w:tcBorders>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废水防渗措施</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污水处理设施、药剂存储设施为重点防渗区；</w:t>
                  </w:r>
                  <w:r>
                    <w:rPr>
                      <w:rFonts w:ascii="Times New Roman" w:hAnsi="Times New Roman" w:eastAsia="宋体"/>
                      <w:color w:val="000000"/>
                    </w:rPr>
                    <w:cr/>
                  </w:r>
                  <w:r>
                    <w:rPr>
                      <w:rFonts w:ascii="Times New Roman" w:hAnsi="Times New Roman" w:eastAsia="宋体"/>
                      <w:color w:val="000000"/>
                    </w:rPr>
                    <w:t>排放水池为一般防渗</w:t>
                  </w:r>
                  <w:r>
                    <w:rPr>
                      <w:rFonts w:ascii="Times New Roman" w:hAnsi="Times New Roman" w:eastAsia="宋体"/>
                      <w:color w:val="000000"/>
                    </w:rPr>
                    <w:cr/>
                  </w:r>
                  <w:r>
                    <w:rPr>
                      <w:rFonts w:ascii="Times New Roman" w:hAnsi="Times New Roman" w:eastAsia="宋体"/>
                      <w:color w:val="000000"/>
                    </w:rPr>
                    <w:t>；运输道路、电气室、操作室等未简单防渗区。各区域严格按照《环境影响评价技术导则地下水环境》（HJ61</w:t>
                  </w:r>
                  <w:r>
                    <w:rPr>
                      <w:rFonts w:ascii="Times New Roman" w:hAnsi="Times New Roman" w:eastAsia="宋体"/>
                      <w:color w:val="000000"/>
                    </w:rPr>
                    <w:cr/>
                  </w:r>
                  <w:r>
                    <w:rPr>
                      <w:rFonts w:ascii="Times New Roman" w:hAnsi="Times New Roman" w:eastAsia="宋体"/>
                      <w:color w:val="000000"/>
                    </w:rPr>
                    <w:t>-2016）分区防渗要求严格防渗</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污水处理设施、药剂存储设施为重点防渗区；</w:t>
                  </w:r>
                  <w:r>
                    <w:rPr>
                      <w:rFonts w:ascii="Times New Roman" w:hAnsi="Times New Roman" w:eastAsia="宋体"/>
                      <w:color w:val="000000"/>
                    </w:rPr>
                    <w:cr/>
                  </w:r>
                  <w:r>
                    <w:rPr>
                      <w:rFonts w:ascii="Times New Roman" w:hAnsi="Times New Roman" w:eastAsia="宋体"/>
                      <w:color w:val="000000"/>
                    </w:rPr>
                    <w:t>排放水池为一般防渗</w:t>
                  </w:r>
                  <w:r>
                    <w:rPr>
                      <w:rFonts w:ascii="Times New Roman" w:hAnsi="Times New Roman" w:eastAsia="宋体"/>
                      <w:color w:val="000000"/>
                    </w:rPr>
                    <w:cr/>
                  </w:r>
                  <w:r>
                    <w:rPr>
                      <w:rFonts w:ascii="Times New Roman" w:hAnsi="Times New Roman" w:eastAsia="宋体"/>
                      <w:color w:val="000000"/>
                    </w:rPr>
                    <w:t>；运输道路、电气室、操作室等未简单防渗区。各区域严格按照《环境影响评价技术导则地下水环境》（HJ61</w:t>
                  </w:r>
                  <w:r>
                    <w:rPr>
                      <w:rFonts w:ascii="Times New Roman" w:hAnsi="Times New Roman" w:eastAsia="宋体"/>
                      <w:color w:val="000000"/>
                    </w:rPr>
                    <w:cr/>
                  </w:r>
                  <w:r>
                    <w:rPr>
                      <w:rFonts w:ascii="Times New Roman" w:hAnsi="Times New Roman" w:eastAsia="宋体"/>
                      <w:color w:val="000000"/>
                    </w:rPr>
                    <w:t>-2016）分区防渗要求严格防渗</w:t>
                  </w:r>
                </w:p>
              </w:tc>
              <w:tc>
                <w:tcPr>
                  <w:tcW w:w="1059" w:type="dxa"/>
                  <w:tcBorders>
                    <w:bottom w:val="single" w:color="auto" w:sz="4" w:space="0"/>
                  </w:tcBorders>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57" w:hRule="atLeast"/>
                <w:jc w:val="center"/>
              </w:trPr>
              <w:tc>
                <w:tcPr>
                  <w:tcW w:w="601" w:type="dxa"/>
                  <w:vMerge w:val="continue"/>
                  <w:vAlign w:val="center"/>
                </w:tcPr>
                <w:p>
                  <w:pPr>
                    <w:pStyle w:val="22"/>
                    <w:spacing w:line="240" w:lineRule="atLeast"/>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污泥处置</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污泥经浓缩池浓缩及压滤机压滤后送山西太钢不锈钢股份有限公司工业废水处理系统升级改造工程节水减排改造项目污泥处置设施制型煤最终进入太钢150万吨不锈钢工程配套2×300兆瓦自备电厂配煤掺烧</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污泥经浓缩池浓缩及压滤机压滤后，送山西太钢不锈钢股份有限公司工业废水处理系统升级改造工程节水减排改造项目污泥处置设施制型煤最终进入太钢150万吨不锈钢工程配套2×300兆瓦自备电厂配煤掺烧</w:t>
                  </w:r>
                </w:p>
              </w:tc>
              <w:tc>
                <w:tcPr>
                  <w:tcW w:w="1059" w:type="dxa"/>
                  <w:tcBorders>
                    <w:bottom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噪声</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基础减振、厂房隔声</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基础减振、厂房隔声</w:t>
                  </w:r>
                </w:p>
              </w:tc>
              <w:tc>
                <w:tcPr>
                  <w:tcW w:w="1059" w:type="dxa"/>
                  <w:vMerge w:val="restart"/>
                  <w:tcBorders>
                    <w:top w:val="single" w:color="auto" w:sz="4" w:space="0"/>
                  </w:tcBorders>
                  <w:vAlign w:val="center"/>
                </w:tcPr>
                <w:p>
                  <w:pPr>
                    <w:jc w:val="center"/>
                    <w:rPr>
                      <w:rFonts w:ascii="Times New Roman" w:hAnsi="Times New Roman" w:eastAsia="宋体"/>
                      <w:color w:val="000000"/>
                    </w:rPr>
                  </w:pPr>
                  <w:r>
                    <w:rPr>
                      <w:rFonts w:ascii="Times New Roman" w:hAnsi="Times New Roman" w:eastAsia="宋体"/>
                      <w:color w:val="000000"/>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0" w:hRule="atLeast"/>
                <w:jc w:val="center"/>
              </w:trPr>
              <w:tc>
                <w:tcPr>
                  <w:tcW w:w="601" w:type="dxa"/>
                  <w:vMerge w:val="continue"/>
                  <w:vAlign w:val="center"/>
                </w:tcPr>
                <w:p>
                  <w:pPr>
                    <w:pStyle w:val="22"/>
                    <w:spacing w:line="240" w:lineRule="atLeast"/>
                    <w:ind w:firstLine="482"/>
                    <w:jc w:val="center"/>
                    <w:rPr>
                      <w:rFonts w:ascii="Times New Roman" w:hAnsi="Times New Roman" w:eastAsia="宋体"/>
                      <w:color w:val="000000"/>
                    </w:rPr>
                  </w:pPr>
                </w:p>
              </w:tc>
              <w:tc>
                <w:tcPr>
                  <w:tcW w:w="1662" w:type="dxa"/>
                  <w:gridSpan w:val="2"/>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绿化</w:t>
                  </w:r>
                </w:p>
              </w:tc>
              <w:tc>
                <w:tcPr>
                  <w:tcW w:w="255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绿化面积1425m</w:t>
                  </w:r>
                  <w:r>
                    <w:rPr>
                      <w:rFonts w:ascii="Times New Roman" w:hAnsi="Times New Roman" w:eastAsia="宋体"/>
                      <w:color w:val="000000"/>
                      <w:vertAlign w:val="superscript"/>
                    </w:rPr>
                    <w:t>2</w:t>
                  </w:r>
                  <w:r>
                    <w:rPr>
                      <w:rFonts w:ascii="Times New Roman" w:hAnsi="Times New Roman" w:eastAsia="宋体"/>
                      <w:color w:val="000000"/>
                    </w:rPr>
                    <w:t>，绿化率15%</w:t>
                  </w:r>
                </w:p>
              </w:tc>
              <w:tc>
                <w:tcPr>
                  <w:tcW w:w="2422" w:type="dxa"/>
                  <w:vAlign w:val="center"/>
                </w:tcPr>
                <w:p>
                  <w:pPr>
                    <w:pStyle w:val="22"/>
                    <w:spacing w:line="240" w:lineRule="atLeast"/>
                    <w:jc w:val="center"/>
                    <w:rPr>
                      <w:rFonts w:ascii="Times New Roman" w:hAnsi="Times New Roman" w:eastAsia="宋体"/>
                      <w:color w:val="000000"/>
                    </w:rPr>
                  </w:pPr>
                  <w:r>
                    <w:rPr>
                      <w:rFonts w:ascii="Times New Roman" w:hAnsi="Times New Roman" w:eastAsia="宋体"/>
                      <w:color w:val="000000"/>
                    </w:rPr>
                    <w:t>绿化面积1425m</w:t>
                  </w:r>
                  <w:r>
                    <w:rPr>
                      <w:rFonts w:ascii="Times New Roman" w:hAnsi="Times New Roman" w:eastAsia="宋体"/>
                      <w:color w:val="000000"/>
                      <w:vertAlign w:val="superscript"/>
                    </w:rPr>
                    <w:t>2</w:t>
                  </w:r>
                  <w:r>
                    <w:rPr>
                      <w:rFonts w:ascii="Times New Roman" w:hAnsi="Times New Roman" w:eastAsia="宋体"/>
                      <w:color w:val="000000"/>
                    </w:rPr>
                    <w:t>，绿化率15%</w:t>
                  </w:r>
                </w:p>
              </w:tc>
              <w:tc>
                <w:tcPr>
                  <w:tcW w:w="1059" w:type="dxa"/>
                  <w:vMerge w:val="continue"/>
                  <w:vAlign w:val="center"/>
                </w:tcPr>
                <w:p>
                  <w:pPr>
                    <w:pStyle w:val="22"/>
                    <w:spacing w:line="240" w:lineRule="atLeast"/>
                    <w:jc w:val="center"/>
                    <w:rPr>
                      <w:rFonts w:ascii="Times New Roman" w:hAnsi="Times New Roman" w:eastAsia="宋体"/>
                      <w:color w:val="000000"/>
                    </w:rPr>
                  </w:pPr>
                </w:p>
              </w:tc>
            </w:tr>
          </w:tbl>
          <w:p>
            <w:pPr>
              <w:pStyle w:val="2"/>
              <w:spacing w:before="120"/>
              <w:rPr>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Before w:val="1"/>
          <w:wBefore w:w="14" w:type="dxa"/>
          <w:trHeight w:val="11340" w:hRule="atLeast"/>
        </w:trPr>
        <w:tc>
          <w:tcPr>
            <w:tcW w:w="9015" w:type="dxa"/>
            <w:gridSpan w:val="2"/>
            <w:vAlign w:val="top"/>
          </w:tcPr>
          <w:p>
            <w:pPr>
              <w:pStyle w:val="50"/>
              <w:spacing w:before="120" w:beforeLines="50" w:line="360" w:lineRule="auto"/>
              <w:jc w:val="left"/>
              <w:rPr>
                <w:rFonts w:ascii="宋体" w:hAnsi="宋体" w:eastAsia="宋体" w:cs="Times New Roman"/>
                <w:b w:val="0"/>
                <w:color w:val="000000"/>
                <w:sz w:val="24"/>
                <w:szCs w:val="22"/>
              </w:rPr>
            </w:pPr>
            <w:r>
              <w:rPr>
                <w:rFonts w:ascii="宋体" w:hAnsi="宋体" w:eastAsia="宋体" w:cs="Times New Roman"/>
                <w:b w:val="0"/>
                <w:color w:val="000000"/>
                <w:sz w:val="24"/>
                <w:szCs w:val="22"/>
              </w:rPr>
              <w:t>5</w:t>
            </w:r>
            <w:r>
              <w:rPr>
                <w:rFonts w:hint="eastAsia" w:ascii="宋体" w:hAnsi="宋体" w:eastAsia="宋体" w:cs="Times New Roman"/>
                <w:b w:val="0"/>
                <w:color w:val="000000"/>
                <w:sz w:val="24"/>
                <w:szCs w:val="22"/>
              </w:rPr>
              <w:t>、主要建构筑物</w:t>
            </w:r>
          </w:p>
          <w:p>
            <w:pPr>
              <w:pStyle w:val="50"/>
              <w:spacing w:before="120" w:beforeLines="50" w:line="360" w:lineRule="auto"/>
              <w:ind w:firstLine="480"/>
              <w:jc w:val="left"/>
              <w:rPr>
                <w:rFonts w:ascii="宋体" w:hAnsi="宋体" w:eastAsia="宋体" w:cs="Times New Roman"/>
                <w:b w:val="0"/>
                <w:color w:val="000000"/>
                <w:sz w:val="24"/>
                <w:szCs w:val="22"/>
              </w:rPr>
            </w:pPr>
            <w:r>
              <w:rPr>
                <w:rFonts w:hint="eastAsia" w:ascii="宋体" w:hAnsi="宋体" w:eastAsia="宋体" w:cs="Times New Roman"/>
                <w:b w:val="0"/>
                <w:color w:val="000000"/>
                <w:sz w:val="24"/>
                <w:szCs w:val="22"/>
              </w:rPr>
              <w:t>本项目主要建构筑物及装置设备见下表：</w:t>
            </w:r>
          </w:p>
          <w:p>
            <w:pPr>
              <w:pStyle w:val="50"/>
              <w:spacing w:before="120" w:beforeLines="50" w:line="360" w:lineRule="auto"/>
              <w:rPr>
                <w:rFonts w:ascii="宋体" w:hAnsi="宋体" w:eastAsia="宋体" w:cs="Times New Roman"/>
                <w:b w:val="0"/>
                <w:color w:val="000000"/>
                <w:sz w:val="24"/>
                <w:szCs w:val="22"/>
              </w:rPr>
            </w:pPr>
            <w:r>
              <w:rPr>
                <w:rFonts w:hint="eastAsia" w:ascii="宋体" w:hAnsi="宋体" w:eastAsia="宋体" w:cs="Times New Roman"/>
                <w:b w:val="0"/>
                <w:color w:val="000000"/>
                <w:sz w:val="24"/>
                <w:szCs w:val="22"/>
              </w:rPr>
              <w:t>表2-2  主要建构筑物及装置设备一览表</w:t>
            </w:r>
          </w:p>
          <w:tbl>
            <w:tblPr>
              <w:tblStyle w:val="43"/>
              <w:tblW w:w="878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08"/>
              <w:gridCol w:w="1129"/>
              <w:gridCol w:w="471"/>
              <w:gridCol w:w="25"/>
              <w:gridCol w:w="1584"/>
              <w:gridCol w:w="1394"/>
              <w:gridCol w:w="1455"/>
              <w:gridCol w:w="1654"/>
              <w:gridCol w:w="46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序号</w:t>
                  </w:r>
                </w:p>
              </w:tc>
              <w:tc>
                <w:tcPr>
                  <w:tcW w:w="1600" w:type="dxa"/>
                  <w:gridSpan w:val="2"/>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名称</w:t>
                  </w:r>
                </w:p>
              </w:tc>
              <w:tc>
                <w:tcPr>
                  <w:tcW w:w="1609" w:type="dxa"/>
                  <w:gridSpan w:val="2"/>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规格</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环评要求数量（座）</w:t>
                  </w:r>
                </w:p>
              </w:tc>
              <w:tc>
                <w:tcPr>
                  <w:tcW w:w="1455" w:type="dxa"/>
                  <w:vAlign w:val="top"/>
                </w:tcPr>
                <w:p>
                  <w:pPr>
                    <w:pStyle w:val="22"/>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实际建设数量（座）</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结构形式</w:t>
                  </w:r>
                </w:p>
              </w:tc>
              <w:tc>
                <w:tcPr>
                  <w:tcW w:w="469"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37" w:type="dxa"/>
                  <w:gridSpan w:val="2"/>
                  <w:vAlign w:val="top"/>
                </w:tcPr>
                <w:p>
                  <w:pPr>
                    <w:jc w:val="center"/>
                    <w:rPr>
                      <w:rFonts w:ascii="Times New Roman" w:hAnsi="Times New Roman" w:eastAsia="宋体"/>
                      <w:color w:val="000000"/>
                      <w:sz w:val="21"/>
                      <w:szCs w:val="21"/>
                    </w:rPr>
                  </w:pPr>
                </w:p>
              </w:tc>
              <w:tc>
                <w:tcPr>
                  <w:tcW w:w="7052" w:type="dxa"/>
                  <w:gridSpan w:val="7"/>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一、中和站出水调节设施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1.1</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能源动力总厂酸水作业区出水PH调节池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V=300m</w:t>
                  </w:r>
                  <w:r>
                    <w:rPr>
                      <w:rFonts w:ascii="Times New Roman" w:hAnsi="Times New Roman" w:eastAsia="宋体"/>
                      <w:color w:val="000000"/>
                      <w:sz w:val="21"/>
                      <w:szCs w:val="21"/>
                      <w:vertAlign w:val="superscript"/>
                    </w:rPr>
                    <w:t>3</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w:t>
                  </w:r>
                  <w:r>
                    <w:rPr>
                      <w:rFonts w:ascii="Times New Roman" w:hAnsi="Times New Roman" w:eastAsia="宋体"/>
                      <w:color w:val="000000"/>
                      <w:sz w:val="21"/>
                      <w:szCs w:val="21"/>
                    </w:rPr>
                    <w:cr/>
                  </w:r>
                  <w:r>
                    <w:rPr>
                      <w:rFonts w:ascii="Times New Roman" w:hAnsi="Times New Roman" w:eastAsia="宋体"/>
                      <w:color w:val="000000"/>
                      <w:sz w:val="21"/>
                      <w:szCs w:val="21"/>
                    </w:rPr>
                    <w:t>构</w:t>
                  </w: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1.2</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废水坑</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V=3m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地下式结构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1.3</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中和站出水调节池</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V=300m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w:t>
                  </w:r>
                  <w:r>
                    <w:rPr>
                      <w:rFonts w:ascii="Times New Roman" w:hAnsi="Times New Roman" w:eastAsia="宋体"/>
                      <w:color w:val="000000"/>
                      <w:sz w:val="21"/>
                      <w:szCs w:val="21"/>
                    </w:rPr>
                    <w:cr/>
                  </w:r>
                  <w:r>
                    <w:rPr>
                      <w:rFonts w:ascii="Times New Roman" w:hAnsi="Times New Roman" w:eastAsia="宋体"/>
                      <w:color w:val="000000"/>
                      <w:sz w:val="21"/>
                      <w:szCs w:val="21"/>
                    </w:rPr>
                    <w:t>混凝土结构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1.4</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中</w:t>
                  </w:r>
                  <w:r>
                    <w:rPr>
                      <w:rFonts w:ascii="Times New Roman" w:hAnsi="Times New Roman" w:eastAsia="宋体"/>
                      <w:color w:val="000000"/>
                      <w:sz w:val="21"/>
                      <w:szCs w:val="21"/>
                    </w:rPr>
                    <w:cr/>
                  </w:r>
                  <w:r>
                    <w:rPr>
                      <w:rFonts w:ascii="Times New Roman" w:hAnsi="Times New Roman" w:eastAsia="宋体"/>
                      <w:color w:val="000000"/>
                      <w:sz w:val="21"/>
                      <w:szCs w:val="21"/>
                    </w:rPr>
                    <w:t>站出水提升泵房</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9m×5m</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地下式结构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37" w:type="dxa"/>
                  <w:gridSpan w:val="2"/>
                  <w:vAlign w:val="top"/>
                </w:tcPr>
                <w:p>
                  <w:pPr>
                    <w:jc w:val="center"/>
                    <w:rPr>
                      <w:rFonts w:ascii="Times New Roman" w:hAnsi="Times New Roman" w:eastAsia="宋体"/>
                      <w:color w:val="000000"/>
                      <w:sz w:val="21"/>
                      <w:szCs w:val="21"/>
                    </w:rPr>
                  </w:pPr>
                </w:p>
              </w:tc>
              <w:tc>
                <w:tcPr>
                  <w:tcW w:w="7052" w:type="dxa"/>
                  <w:gridSpan w:val="7"/>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二、脱氮设施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w:t>
                  </w:r>
                  <w:r>
                    <w:rPr>
                      <w:rFonts w:ascii="Times New Roman" w:hAnsi="Times New Roman" w:eastAsia="宋体"/>
                      <w:color w:val="000000"/>
                      <w:sz w:val="21"/>
                      <w:szCs w:val="21"/>
                    </w:rPr>
                    <w:cr/>
                  </w:r>
                  <w:r>
                    <w:rPr>
                      <w:rFonts w:ascii="Times New Roman" w:hAnsi="Times New Roman" w:eastAsia="宋体"/>
                      <w:color w:val="000000"/>
                      <w:sz w:val="21"/>
                      <w:szCs w:val="21"/>
                    </w:rPr>
                    <w:t>1</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脱氮调节水池</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V=2700m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2.2</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脱氮反应池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V=9800m</w:t>
                  </w:r>
                  <w:r>
                    <w:rPr>
                      <w:rFonts w:ascii="Times New Roman" w:hAnsi="Times New Roman" w:eastAsia="宋体"/>
                      <w:color w:val="000000"/>
                      <w:sz w:val="21"/>
                      <w:szCs w:val="21"/>
                      <w:vertAlign w:val="superscript"/>
                    </w:rPr>
                    <w:t>3</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钢筋混凝土结构，架空式</w:t>
                  </w: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2.3</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好氧反应池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V=2500m</w:t>
                  </w:r>
                  <w:r>
                    <w:rPr>
                      <w:rFonts w:ascii="Times New Roman" w:hAnsi="Times New Roman" w:eastAsia="宋体"/>
                      <w:color w:val="000000"/>
                      <w:sz w:val="21"/>
                      <w:szCs w:val="21"/>
                      <w:vertAlign w:val="superscript"/>
                    </w:rPr>
                    <w:t>3</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3格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2.4</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鼓风机房</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13.5m×6m</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砖混结构</w:t>
                  </w: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2.5</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辐流沉淀池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直径26m，有效水深4.5m</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2.6</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浮渣收集池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V=20m</w:t>
                  </w:r>
                  <w:r>
                    <w:rPr>
                      <w:rFonts w:ascii="Times New Roman" w:hAnsi="Times New Roman" w:eastAsia="宋体"/>
                      <w:color w:val="000000"/>
                      <w:sz w:val="21"/>
                      <w:szCs w:val="21"/>
                      <w:vertAlign w:val="superscript"/>
                    </w:rPr>
                    <w:t>3</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地下式</w:t>
                  </w: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2.7</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排放水池</w:t>
                  </w:r>
                </w:p>
              </w:tc>
              <w:tc>
                <w:tcPr>
                  <w:tcW w:w="158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V=360m</w:t>
                  </w:r>
                  <w:r>
                    <w:rPr>
                      <w:rFonts w:ascii="Times New Roman" w:hAnsi="Times New Roman" w:eastAsia="宋体"/>
                      <w:color w:val="000000"/>
                      <w:sz w:val="21"/>
                      <w:szCs w:val="21"/>
                      <w:vertAlign w:val="superscript"/>
                    </w:rPr>
                    <w:t>3</w:t>
                  </w:r>
                </w:p>
              </w:tc>
              <w:tc>
                <w:tcPr>
                  <w:tcW w:w="1394"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pStyle w:val="22"/>
                    <w:jc w:val="center"/>
                    <w:rPr>
                      <w:rFonts w:ascii="Times New Roman" w:hAnsi="Times New Roman" w:eastAsia="宋体"/>
                      <w:color w:val="000000"/>
                      <w:sz w:val="21"/>
                      <w:szCs w:val="21"/>
                    </w:rPr>
                  </w:pPr>
                </w:p>
              </w:tc>
              <w:tc>
                <w:tcPr>
                  <w:tcW w:w="469" w:type="dxa"/>
                  <w:vAlign w:val="top"/>
                </w:tcPr>
                <w:p>
                  <w:pPr>
                    <w:pStyle w:val="22"/>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37" w:type="dxa"/>
                  <w:gridSpan w:val="2"/>
                  <w:vAlign w:val="top"/>
                </w:tcPr>
                <w:p>
                  <w:pPr>
                    <w:pStyle w:val="22"/>
                    <w:jc w:val="center"/>
                    <w:rPr>
                      <w:rFonts w:ascii="Times New Roman" w:hAnsi="Times New Roman" w:eastAsia="宋体"/>
                      <w:color w:val="000000"/>
                      <w:sz w:val="21"/>
                      <w:szCs w:val="21"/>
                    </w:rPr>
                  </w:pPr>
                </w:p>
              </w:tc>
              <w:tc>
                <w:tcPr>
                  <w:tcW w:w="7052" w:type="dxa"/>
                  <w:gridSpan w:val="7"/>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三、污泥处理设施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3</w:t>
                  </w:r>
                  <w:r>
                    <w:rPr>
                      <w:rFonts w:ascii="Times New Roman" w:hAnsi="Times New Roman" w:eastAsia="宋体"/>
                      <w:color w:val="000000"/>
                      <w:sz w:val="21"/>
                      <w:szCs w:val="21"/>
                    </w:rPr>
                    <w:cr/>
                  </w:r>
                  <w:r>
                    <w:rPr>
                      <w:rFonts w:ascii="Times New Roman" w:hAnsi="Times New Roman" w:eastAsia="宋体"/>
                      <w:color w:val="000000"/>
                      <w:sz w:val="21"/>
                      <w:szCs w:val="21"/>
                    </w:rPr>
                    <w:t>1</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污泥浓缩池</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10m×8m×5.5m</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3.</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污泥压滤间</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400m</w:t>
                  </w:r>
                  <w:r>
                    <w:rPr>
                      <w:rFonts w:ascii="Times New Roman" w:hAnsi="Times New Roman" w:eastAsia="宋体"/>
                      <w:color w:val="000000"/>
                      <w:sz w:val="21"/>
                      <w:szCs w:val="21"/>
                      <w:vertAlign w:val="superscript"/>
                    </w:rPr>
                    <w:t>2</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依托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3.3</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压滤机滤液收集池</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V=360m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钢筋混凝土结构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37" w:type="dxa"/>
                  <w:gridSpan w:val="2"/>
                  <w:vAlign w:val="top"/>
                </w:tcPr>
                <w:p>
                  <w:pPr>
                    <w:jc w:val="center"/>
                    <w:rPr>
                      <w:rFonts w:ascii="Times New Roman" w:hAnsi="Times New Roman" w:eastAsia="宋体"/>
                      <w:color w:val="000000"/>
                      <w:sz w:val="21"/>
                      <w:szCs w:val="21"/>
                    </w:rPr>
                  </w:pPr>
                </w:p>
              </w:tc>
              <w:tc>
                <w:tcPr>
                  <w:tcW w:w="7052" w:type="dxa"/>
                  <w:gridSpan w:val="7"/>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四、药品存储设施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4.1</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甲醇储罐</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V=180m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碳钢内防腐</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4.</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磷酸储池</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V=10m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HDPE</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4.3</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盐酸储罐</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V=5m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HDPE</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4.4</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NaOH储罐</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V=3m</w:t>
                  </w:r>
                  <w:r>
                    <w:rPr>
                      <w:rFonts w:ascii="Times New Roman" w:hAnsi="Times New Roman" w:eastAsia="宋体"/>
                      <w:color w:val="000000"/>
                      <w:sz w:val="21"/>
                      <w:szCs w:val="21"/>
                      <w:vertAlign w:val="superscript"/>
                    </w:rPr>
                    <w:t>3</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钢罐</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37" w:type="dxa"/>
                  <w:gridSpan w:val="2"/>
                  <w:vAlign w:val="top"/>
                </w:tcPr>
                <w:p>
                  <w:pPr>
                    <w:jc w:val="center"/>
                    <w:rPr>
                      <w:rFonts w:ascii="Times New Roman" w:hAnsi="Times New Roman" w:eastAsia="宋体"/>
                      <w:color w:val="000000"/>
                      <w:sz w:val="21"/>
                      <w:szCs w:val="21"/>
                    </w:rPr>
                  </w:pPr>
                </w:p>
              </w:tc>
              <w:tc>
                <w:tcPr>
                  <w:tcW w:w="7052" w:type="dxa"/>
                  <w:gridSpan w:val="7"/>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五、辅助设施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5.1</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电气室</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建筑面积175m</w:t>
                  </w:r>
                  <w:r>
                    <w:rPr>
                      <w:rFonts w:ascii="Times New Roman" w:hAnsi="Times New Roman" w:eastAsia="宋体"/>
                      <w:color w:val="000000"/>
                      <w:sz w:val="21"/>
                      <w:szCs w:val="21"/>
                      <w:vertAlign w:val="superscript"/>
                    </w:rPr>
                    <w:t>2</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rPr>
                      <w:rFonts w:ascii="Times New Roman" w:hAnsi="Times New Roman" w:eastAsia="宋体"/>
                      <w:color w:val="000000"/>
                      <w:sz w:val="21"/>
                      <w:szCs w:val="21"/>
                    </w:rPr>
                  </w:pPr>
                  <w:r>
                    <w:rPr>
                      <w:rFonts w:ascii="Times New Roman" w:hAnsi="Times New Roman" w:eastAsia="宋体"/>
                      <w:color w:val="000000"/>
                      <w:sz w:val="21"/>
                      <w:szCs w:val="21"/>
                    </w:rPr>
                    <w:t>2层，砖混结构</w:t>
                  </w:r>
                </w:p>
              </w:tc>
              <w:tc>
                <w:tcPr>
                  <w:tcW w:w="469" w:type="dxa"/>
                  <w:vAlign w:val="top"/>
                </w:tcPr>
                <w:p>
                  <w:pPr>
                    <w:jc w:val="center"/>
                    <w:rPr>
                      <w:rFonts w:ascii="Times New Roman" w:hAnsi="Times New Roman"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608" w:type="dxa"/>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5.2</w:t>
                  </w:r>
                </w:p>
              </w:tc>
              <w:tc>
                <w:tcPr>
                  <w:tcW w:w="1625" w:type="dxa"/>
                  <w:gridSpan w:val="3"/>
                  <w:vAlign w:val="center"/>
                </w:tcPr>
                <w:p>
                  <w:pPr>
                    <w:pStyle w:val="22"/>
                    <w:jc w:val="center"/>
                    <w:rPr>
                      <w:rFonts w:ascii="Times New Roman" w:hAnsi="Times New Roman" w:eastAsia="宋体"/>
                      <w:color w:val="000000"/>
                      <w:sz w:val="21"/>
                      <w:szCs w:val="21"/>
                    </w:rPr>
                  </w:pPr>
                  <w:r>
                    <w:rPr>
                      <w:rFonts w:ascii="Times New Roman" w:hAnsi="Times New Roman" w:eastAsia="宋体"/>
                      <w:color w:val="000000"/>
                      <w:sz w:val="21"/>
                      <w:szCs w:val="21"/>
                    </w:rPr>
                    <w:t>操作室</w:t>
                  </w:r>
                </w:p>
              </w:tc>
              <w:tc>
                <w:tcPr>
                  <w:tcW w:w="158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建筑面积60m</w:t>
                  </w:r>
                  <w:r>
                    <w:rPr>
                      <w:rFonts w:ascii="Times New Roman" w:hAnsi="Times New Roman" w:eastAsia="宋体"/>
                      <w:color w:val="000000"/>
                      <w:sz w:val="21"/>
                      <w:szCs w:val="21"/>
                      <w:vertAlign w:val="superscript"/>
                    </w:rPr>
                    <w:t>2</w:t>
                  </w:r>
                </w:p>
              </w:tc>
              <w:tc>
                <w:tcPr>
                  <w:tcW w:w="139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455"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1654"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1层，砖混结构</w:t>
                  </w:r>
                </w:p>
              </w:tc>
              <w:tc>
                <w:tcPr>
                  <w:tcW w:w="469" w:type="dxa"/>
                  <w:vAlign w:val="top"/>
                </w:tcPr>
                <w:p>
                  <w:pPr>
                    <w:jc w:val="center"/>
                    <w:rPr>
                      <w:rFonts w:ascii="Times New Roman" w:hAnsi="Times New Roman" w:eastAsia="宋体"/>
                      <w:color w:val="000000"/>
                      <w:sz w:val="21"/>
                      <w:szCs w:val="21"/>
                    </w:rPr>
                  </w:pPr>
                </w:p>
              </w:tc>
            </w:tr>
          </w:tbl>
          <w:p>
            <w:pPr>
              <w:rPr>
                <w:color w:val="000000"/>
              </w:rPr>
            </w:pPr>
          </w:p>
          <w:p>
            <w:pPr>
              <w:pStyle w:val="50"/>
              <w:spacing w:before="120" w:beforeLines="50" w:line="360" w:lineRule="auto"/>
              <w:rPr>
                <w:rFonts w:ascii="宋体" w:hAnsi="宋体" w:eastAsia="宋体" w:cs="Times New Roman"/>
                <w:b w:val="0"/>
                <w:color w:val="000000"/>
                <w:sz w:val="24"/>
                <w:szCs w:val="22"/>
              </w:rPr>
            </w:pPr>
            <w:r>
              <w:rPr>
                <w:rFonts w:hint="eastAsia" w:ascii="宋体" w:hAnsi="宋体" w:eastAsia="宋体" w:cs="Times New Roman"/>
                <w:b w:val="0"/>
                <w:color w:val="000000"/>
                <w:sz w:val="24"/>
                <w:szCs w:val="22"/>
              </w:rPr>
              <w:t>表2-</w:t>
            </w:r>
            <w:r>
              <w:rPr>
                <w:rFonts w:ascii="宋体" w:hAnsi="宋体" w:eastAsia="宋体" w:cs="Times New Roman"/>
                <w:b w:val="0"/>
                <w:color w:val="000000"/>
                <w:sz w:val="24"/>
                <w:szCs w:val="22"/>
              </w:rPr>
              <w:t>3</w:t>
            </w:r>
            <w:r>
              <w:rPr>
                <w:rFonts w:hint="eastAsia" w:ascii="宋体" w:hAnsi="宋体" w:eastAsia="宋体" w:cs="Times New Roman"/>
                <w:b w:val="0"/>
                <w:color w:val="000000"/>
                <w:sz w:val="24"/>
                <w:szCs w:val="22"/>
              </w:rPr>
              <w:t xml:space="preserve">  主要设备一览表</w:t>
            </w:r>
          </w:p>
          <w:tbl>
            <w:tblPr>
              <w:tblStyle w:val="43"/>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72"/>
              <w:gridCol w:w="1898"/>
              <w:gridCol w:w="1659"/>
              <w:gridCol w:w="993"/>
              <w:gridCol w:w="1345"/>
              <w:gridCol w:w="946"/>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tcBorders>
                    <w:top w:val="single" w:color="auto" w:sz="4" w:space="0"/>
                    <w:left w:val="single" w:color="auto" w:sz="4" w:space="0"/>
                    <w:bottom w:val="single" w:color="auto" w:sz="4" w:space="0"/>
                    <w:right w:val="single" w:color="auto" w:sz="6"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序号</w:t>
                  </w:r>
                </w:p>
              </w:tc>
              <w:tc>
                <w:tcPr>
                  <w:tcW w:w="2070" w:type="dxa"/>
                  <w:gridSpan w:val="2"/>
                  <w:tcBorders>
                    <w:top w:val="single" w:color="auto" w:sz="4" w:space="0"/>
                    <w:left w:val="single" w:color="auto" w:sz="6" w:space="0"/>
                    <w:bottom w:val="single" w:color="auto" w:sz="4" w:space="0"/>
                    <w:right w:val="single" w:color="auto" w:sz="6"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 xml:space="preserve">名    </w:t>
                  </w:r>
                  <w:r>
                    <w:rPr>
                      <w:rFonts w:ascii="Times New Roman" w:hAnsi="Times New Roman" w:eastAsia="宋体"/>
                      <w:bCs/>
                      <w:color w:val="000000"/>
                      <w:sz w:val="21"/>
                      <w:szCs w:val="21"/>
                    </w:rPr>
                    <w:cr/>
                  </w:r>
                  <w:r>
                    <w:rPr>
                      <w:rFonts w:ascii="Times New Roman" w:hAnsi="Times New Roman" w:eastAsia="宋体"/>
                      <w:bCs/>
                      <w:color w:val="000000"/>
                      <w:sz w:val="21"/>
                      <w:szCs w:val="21"/>
                    </w:rPr>
                    <w:t xml:space="preserve"> 称</w:t>
                  </w:r>
                </w:p>
              </w:tc>
              <w:tc>
                <w:tcPr>
                  <w:tcW w:w="1659" w:type="dxa"/>
                  <w:tcBorders>
                    <w:top w:val="single" w:color="auto" w:sz="4" w:space="0"/>
                    <w:left w:val="single" w:color="auto" w:sz="6" w:space="0"/>
                    <w:bottom w:val="single" w:color="auto" w:sz="4" w:space="0"/>
                    <w:right w:val="single" w:color="auto" w:sz="6"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规        格</w:t>
                  </w:r>
                </w:p>
              </w:tc>
              <w:tc>
                <w:tcPr>
                  <w:tcW w:w="993" w:type="dxa"/>
                  <w:tcBorders>
                    <w:top w:val="single" w:color="auto" w:sz="4" w:space="0"/>
                    <w:left w:val="single" w:color="auto" w:sz="6" w:space="0"/>
                    <w:bottom w:val="single" w:color="auto" w:sz="4" w:space="0"/>
                    <w:right w:val="single" w:color="auto" w:sz="6"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单位</w:t>
                  </w:r>
                </w:p>
              </w:tc>
              <w:tc>
                <w:tcPr>
                  <w:tcW w:w="1345" w:type="dxa"/>
                  <w:tcBorders>
                    <w:top w:val="single" w:color="auto" w:sz="4" w:space="0"/>
                    <w:left w:val="single" w:color="auto" w:sz="6" w:space="0"/>
                    <w:bottom w:val="single" w:color="auto" w:sz="4" w:space="0"/>
                    <w:right w:val="single" w:color="auto" w:sz="6"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环评要求</w:t>
                  </w:r>
                  <w:r>
                    <w:rPr>
                      <w:rFonts w:ascii="Times New Roman" w:hAnsi="Times New Roman" w:eastAsia="宋体"/>
                      <w:bCs/>
                      <w:color w:val="000000"/>
                      <w:sz w:val="21"/>
                      <w:szCs w:val="21"/>
                    </w:rPr>
                    <w:t>数量</w:t>
                  </w:r>
                  <w:r>
                    <w:rPr>
                      <w:rFonts w:hint="eastAsia" w:ascii="Times New Roman" w:hAnsi="Times New Roman" w:eastAsia="宋体"/>
                      <w:bCs/>
                      <w:color w:val="000000"/>
                      <w:sz w:val="21"/>
                      <w:szCs w:val="21"/>
                    </w:rPr>
                    <w:t>（套）</w:t>
                  </w:r>
                </w:p>
              </w:tc>
              <w:tc>
                <w:tcPr>
                  <w:tcW w:w="946" w:type="dxa"/>
                  <w:tcBorders>
                    <w:top w:val="single" w:color="auto" w:sz="4" w:space="0"/>
                    <w:left w:val="single" w:color="auto" w:sz="6" w:space="0"/>
                    <w:bottom w:val="single" w:color="auto" w:sz="4" w:space="0"/>
                    <w:right w:val="single" w:color="auto" w:sz="6" w:space="0"/>
                  </w:tcBorders>
                  <w:vAlign w:val="top"/>
                </w:tcPr>
                <w:p>
                  <w:pPr>
                    <w:pStyle w:val="22"/>
                    <w:adjustRightInd w:val="0"/>
                    <w:spacing w:before="72" w:beforeLines="30" w:after="72" w:afterLines="3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实际建设</w:t>
                  </w:r>
                  <w:r>
                    <w:rPr>
                      <w:rFonts w:ascii="Times New Roman" w:hAnsi="Times New Roman" w:eastAsia="宋体"/>
                      <w:bCs/>
                      <w:color w:val="000000"/>
                      <w:sz w:val="21"/>
                      <w:szCs w:val="21"/>
                    </w:rPr>
                    <w:t>数量</w:t>
                  </w:r>
                  <w:r>
                    <w:rPr>
                      <w:rFonts w:hint="eastAsia" w:ascii="Times New Roman" w:hAnsi="Times New Roman" w:eastAsia="宋体"/>
                      <w:bCs/>
                      <w:color w:val="000000"/>
                      <w:sz w:val="21"/>
                      <w:szCs w:val="21"/>
                    </w:rPr>
                    <w:t>（套）</w:t>
                  </w:r>
                </w:p>
              </w:tc>
              <w:tc>
                <w:tcPr>
                  <w:tcW w:w="967" w:type="dxa"/>
                  <w:tcBorders>
                    <w:top w:val="single" w:color="auto" w:sz="4" w:space="0"/>
                    <w:left w:val="single" w:color="auto" w:sz="6" w:space="0"/>
                    <w:bottom w:val="single" w:color="auto" w:sz="4" w:space="0"/>
                    <w:right w:val="single" w:color="auto" w:sz="4" w:space="0"/>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981" w:type="dxa"/>
                  <w:gridSpan w:val="2"/>
                  <w:tcBorders>
                    <w:top w:val="nil"/>
                  </w:tcBorders>
                  <w:vAlign w:val="top"/>
                </w:tcPr>
                <w:p>
                  <w:pPr>
                    <w:pStyle w:val="22"/>
                    <w:adjustRightInd w:val="0"/>
                    <w:spacing w:before="72" w:beforeLines="30" w:after="72" w:afterLines="30"/>
                    <w:jc w:val="center"/>
                    <w:rPr>
                      <w:rFonts w:ascii="Times New Roman" w:hAnsi="Times New Roman" w:eastAsia="宋体"/>
                      <w:bCs/>
                      <w:color w:val="000000"/>
                      <w:sz w:val="21"/>
                      <w:szCs w:val="21"/>
                    </w:rPr>
                  </w:pPr>
                </w:p>
              </w:tc>
              <w:tc>
                <w:tcPr>
                  <w:tcW w:w="7808" w:type="dxa"/>
                  <w:gridSpan w:val="6"/>
                  <w:tcBorders>
                    <w:top w:val="nil"/>
                  </w:tcBorders>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一、中和站出水PH调节池及出水调节池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1.1</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废水坑提升泵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Q=5m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/h，H=25m</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1.2</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出水调节池提升泵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Q=280-360m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/h，H=40-35m</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981" w:type="dxa"/>
                  <w:gridSpan w:val="2"/>
                  <w:vAlign w:val="top"/>
                </w:tcPr>
                <w:p>
                  <w:pPr>
                    <w:pStyle w:val="22"/>
                    <w:adjustRightInd w:val="0"/>
                    <w:spacing w:before="72" w:beforeLines="30" w:after="72" w:afterLines="30"/>
                    <w:jc w:val="center"/>
                    <w:rPr>
                      <w:rFonts w:ascii="Times New Roman" w:hAnsi="Times New Roman" w:eastAsia="宋体"/>
                      <w:bCs/>
                      <w:color w:val="000000"/>
                      <w:sz w:val="21"/>
                      <w:szCs w:val="21"/>
                    </w:rPr>
                  </w:pPr>
                </w:p>
              </w:tc>
              <w:tc>
                <w:tcPr>
                  <w:tcW w:w="7808" w:type="dxa"/>
                  <w:gridSpan w:val="6"/>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二、脱氮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2.1</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配水槽</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钢制</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座</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2.2</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出水闸板</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钢制</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座</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2.3</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检测仪表</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7</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2.4</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鼓风机</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Q=30Nm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/min</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2.5</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沉淀池刮泥机</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套</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2.6</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沉淀池排泥泵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Q=50m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/h</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2.7</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沉淀池回流泵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Q=300m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/h</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2.8</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排放泵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Q=250-300m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cr/>
                  </w:r>
                  <w:r>
                    <w:rPr>
                      <w:rFonts w:ascii="Times New Roman" w:hAnsi="Times New Roman" w:eastAsia="宋体"/>
                      <w:bCs/>
                      <w:color w:val="000000"/>
                      <w:sz w:val="21"/>
                      <w:szCs w:val="21"/>
                    </w:rPr>
                    <w:t>h</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981" w:type="dxa"/>
                  <w:gridSpan w:val="2"/>
                  <w:vAlign w:val="top"/>
                </w:tcPr>
                <w:p>
                  <w:pPr>
                    <w:pStyle w:val="22"/>
                    <w:adjustRightInd w:val="0"/>
                    <w:spacing w:before="72" w:beforeLines="30" w:after="72" w:afterLines="30"/>
                    <w:jc w:val="center"/>
                    <w:rPr>
                      <w:rFonts w:ascii="Times New Roman" w:hAnsi="Times New Roman" w:eastAsia="宋体"/>
                      <w:bCs/>
                      <w:color w:val="000000"/>
                      <w:sz w:val="21"/>
                      <w:szCs w:val="21"/>
                    </w:rPr>
                  </w:pPr>
                </w:p>
              </w:tc>
              <w:tc>
                <w:tcPr>
                  <w:tcW w:w="7808" w:type="dxa"/>
                  <w:gridSpan w:val="6"/>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三、污泥脱水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3.1</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污泥泵</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Q=150-360m</w:t>
                  </w:r>
                  <w:r>
                    <w:rPr>
                      <w:rFonts w:ascii="Times New Roman" w:hAnsi="Times New Roman" w:eastAsia="宋体"/>
                      <w:bCs/>
                      <w:color w:val="000000"/>
                      <w:sz w:val="21"/>
                      <w:szCs w:val="21"/>
                      <w:vertAlign w:val="superscript"/>
                    </w:rPr>
                    <w:t>3</w:t>
                  </w:r>
                  <w:r>
                    <w:rPr>
                      <w:rFonts w:ascii="Times New Roman" w:hAnsi="Times New Roman" w:eastAsia="宋体"/>
                      <w:bCs/>
                      <w:color w:val="000000"/>
                      <w:sz w:val="21"/>
                      <w:szCs w:val="21"/>
                    </w:rPr>
                    <w:t>/h</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3.2</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刮泥机</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跨度8m</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座</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2</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809"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3.3</w:t>
                  </w:r>
                </w:p>
              </w:tc>
              <w:tc>
                <w:tcPr>
                  <w:tcW w:w="2070" w:type="dxa"/>
                  <w:gridSpan w:val="2"/>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压滤机</w:t>
                  </w:r>
                </w:p>
              </w:tc>
              <w:tc>
                <w:tcPr>
                  <w:tcW w:w="1659" w:type="dxa"/>
                  <w:vAlign w:val="center"/>
                </w:tcPr>
                <w:p>
                  <w:pPr>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板框压滤机</w:t>
                  </w:r>
                </w:p>
              </w:tc>
              <w:tc>
                <w:tcPr>
                  <w:tcW w:w="993"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台</w:t>
                  </w:r>
                </w:p>
              </w:tc>
              <w:tc>
                <w:tcPr>
                  <w:tcW w:w="1345"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46"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4</w:t>
                  </w:r>
                </w:p>
              </w:tc>
              <w:tc>
                <w:tcPr>
                  <w:tcW w:w="967" w:type="dxa"/>
                  <w:vAlign w:val="center"/>
                </w:tcPr>
                <w:p>
                  <w:pPr>
                    <w:pStyle w:val="22"/>
                    <w:adjustRightInd w:val="0"/>
                    <w:spacing w:before="72" w:beforeLines="30" w:after="72" w:afterLines="30"/>
                    <w:jc w:val="center"/>
                    <w:rPr>
                      <w:rFonts w:ascii="Times New Roman" w:hAnsi="Times New Roman" w:eastAsia="宋体"/>
                      <w:bCs/>
                      <w:color w:val="000000"/>
                      <w:sz w:val="21"/>
                      <w:szCs w:val="21"/>
                    </w:rPr>
                  </w:pPr>
                  <w:r>
                    <w:rPr>
                      <w:rFonts w:ascii="Times New Roman" w:hAnsi="Times New Roman" w:eastAsia="宋体"/>
                      <w:bCs/>
                      <w:color w:val="000000"/>
                      <w:sz w:val="21"/>
                      <w:szCs w:val="21"/>
                    </w:rPr>
                    <w:t>利旧</w:t>
                  </w:r>
                </w:p>
              </w:tc>
            </w:tr>
          </w:tbl>
          <w:p>
            <w:pPr>
              <w:spacing w:before="120" w:beforeLines="50" w:line="360" w:lineRule="auto"/>
              <w:rPr>
                <w:rFonts w:ascii="宋体" w:hAnsi="宋体" w:eastAsia="宋体"/>
                <w:color w:val="000000"/>
                <w:sz w:val="24"/>
              </w:rPr>
            </w:pPr>
            <w:r>
              <w:rPr>
                <w:rFonts w:ascii="宋体" w:hAnsi="宋体" w:eastAsia="宋体"/>
                <w:color w:val="000000"/>
                <w:sz w:val="24"/>
              </w:rPr>
              <w:t>原辅材料消耗及水平衡</w:t>
            </w:r>
          </w:p>
          <w:p>
            <w:pPr>
              <w:autoSpaceDE w:val="0"/>
              <w:autoSpaceDN w:val="0"/>
              <w:spacing w:after="0" w:line="360" w:lineRule="auto"/>
              <w:ind w:firstLine="480" w:firstLineChars="200"/>
              <w:jc w:val="both"/>
              <w:rPr>
                <w:rFonts w:ascii="宋体" w:hAnsi="宋体" w:eastAsia="宋体"/>
                <w:color w:val="000000"/>
                <w:sz w:val="24"/>
              </w:rPr>
            </w:pPr>
            <w:r>
              <w:rPr>
                <w:rFonts w:hint="eastAsia" w:ascii="宋体" w:hAnsi="宋体" w:eastAsia="宋体"/>
                <w:color w:val="000000"/>
                <w:sz w:val="24"/>
              </w:rPr>
              <w:t>（1）原辅材料消耗</w:t>
            </w:r>
          </w:p>
          <w:p>
            <w:pPr>
              <w:autoSpaceDE w:val="0"/>
              <w:autoSpaceDN w:val="0"/>
              <w:spacing w:after="0" w:line="360" w:lineRule="auto"/>
              <w:ind w:firstLine="480" w:firstLineChars="200"/>
              <w:jc w:val="both"/>
              <w:rPr>
                <w:rFonts w:ascii="宋体" w:hAnsi="宋体" w:eastAsia="宋体"/>
                <w:color w:val="000000"/>
                <w:sz w:val="24"/>
              </w:rPr>
            </w:pPr>
            <w:r>
              <w:rPr>
                <w:rFonts w:hint="eastAsia" w:ascii="宋体" w:hAnsi="宋体" w:eastAsia="宋体"/>
                <w:color w:val="000000"/>
                <w:sz w:val="24"/>
              </w:rPr>
              <w:t>项目使用的药剂包括甲醇、磷酸、NaOH、盐酸等，药剂用量见下表：</w:t>
            </w:r>
          </w:p>
          <w:p>
            <w:pPr>
              <w:jc w:val="center"/>
              <w:rPr>
                <w:rFonts w:ascii="宋体" w:hAnsi="宋体" w:eastAsia="宋体"/>
                <w:color w:val="000000"/>
                <w:sz w:val="24"/>
              </w:rPr>
            </w:pPr>
            <w:r>
              <w:rPr>
                <w:rFonts w:hint="eastAsia" w:ascii="宋体" w:hAnsi="宋体" w:eastAsia="宋体"/>
                <w:color w:val="000000"/>
                <w:sz w:val="24"/>
              </w:rPr>
              <w:t>表2-</w:t>
            </w:r>
            <w:r>
              <w:rPr>
                <w:rFonts w:ascii="宋体" w:hAnsi="宋体" w:eastAsia="宋体"/>
                <w:color w:val="000000"/>
                <w:sz w:val="24"/>
              </w:rPr>
              <w:t xml:space="preserve">4  </w:t>
            </w:r>
            <w:r>
              <w:rPr>
                <w:rFonts w:hint="eastAsia" w:ascii="宋体" w:hAnsi="宋体" w:eastAsia="宋体"/>
                <w:color w:val="000000"/>
                <w:sz w:val="24"/>
              </w:rPr>
              <w:t>药剂用量一览表</w:t>
            </w:r>
          </w:p>
          <w:tbl>
            <w:tblPr>
              <w:tblStyle w:val="43"/>
              <w:tblW w:w="84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1"/>
              <w:gridCol w:w="802"/>
              <w:gridCol w:w="897"/>
              <w:gridCol w:w="970"/>
              <w:gridCol w:w="857"/>
              <w:gridCol w:w="1028"/>
              <w:gridCol w:w="835"/>
              <w:gridCol w:w="1659"/>
              <w:gridCol w:w="8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621" w:type="dxa"/>
                  <w:vMerge w:val="restart"/>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序号</w:t>
                  </w:r>
                </w:p>
              </w:tc>
              <w:tc>
                <w:tcPr>
                  <w:tcW w:w="802" w:type="dxa"/>
                  <w:vMerge w:val="restart"/>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原料</w:t>
                  </w:r>
                </w:p>
              </w:tc>
              <w:tc>
                <w:tcPr>
                  <w:tcW w:w="897" w:type="dxa"/>
                  <w:vMerge w:val="restart"/>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规格</w:t>
                  </w:r>
                </w:p>
              </w:tc>
              <w:tc>
                <w:tcPr>
                  <w:tcW w:w="1827" w:type="dxa"/>
                  <w:gridSpan w:val="2"/>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储存量</w:t>
                  </w:r>
                </w:p>
              </w:tc>
              <w:tc>
                <w:tcPr>
                  <w:tcW w:w="1863" w:type="dxa"/>
                  <w:gridSpan w:val="2"/>
                  <w:vAlign w:val="center"/>
                </w:tcPr>
                <w:p>
                  <w:pPr>
                    <w:spacing w:before="72" w:beforeLines="30" w:after="72" w:afterLines="3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实际</w:t>
                  </w:r>
                  <w:r>
                    <w:rPr>
                      <w:rFonts w:ascii="Times New Roman" w:hAnsi="Times New Roman" w:eastAsia="宋体"/>
                      <w:color w:val="000000"/>
                      <w:sz w:val="21"/>
                      <w:szCs w:val="21"/>
                    </w:rPr>
                    <w:t>年消耗量</w:t>
                  </w:r>
                </w:p>
              </w:tc>
              <w:tc>
                <w:tcPr>
                  <w:tcW w:w="1659" w:type="dxa"/>
                  <w:vMerge w:val="restart"/>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存储方式</w:t>
                  </w:r>
                </w:p>
              </w:tc>
              <w:tc>
                <w:tcPr>
                  <w:tcW w:w="813" w:type="dxa"/>
                  <w:vMerge w:val="restart"/>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来源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1" w:type="dxa"/>
                  <w:vMerge w:val="continue"/>
                  <w:vAlign w:val="center"/>
                </w:tcPr>
                <w:p>
                  <w:pPr>
                    <w:spacing w:before="72" w:beforeLines="30" w:after="72" w:afterLines="30"/>
                    <w:jc w:val="center"/>
                    <w:rPr>
                      <w:rFonts w:ascii="Times New Roman" w:hAnsi="Times New Roman" w:eastAsia="宋体"/>
                      <w:color w:val="000000"/>
                      <w:sz w:val="21"/>
                      <w:szCs w:val="21"/>
                    </w:rPr>
                  </w:pPr>
                </w:p>
              </w:tc>
              <w:tc>
                <w:tcPr>
                  <w:tcW w:w="802" w:type="dxa"/>
                  <w:vMerge w:val="continue"/>
                  <w:vAlign w:val="center"/>
                </w:tcPr>
                <w:p>
                  <w:pPr>
                    <w:spacing w:before="72" w:beforeLines="30" w:after="72" w:afterLines="30"/>
                    <w:jc w:val="center"/>
                    <w:rPr>
                      <w:rFonts w:ascii="Times New Roman" w:hAnsi="Times New Roman" w:eastAsia="宋体"/>
                      <w:color w:val="000000"/>
                      <w:sz w:val="21"/>
                      <w:szCs w:val="21"/>
                    </w:rPr>
                  </w:pPr>
                </w:p>
              </w:tc>
              <w:tc>
                <w:tcPr>
                  <w:tcW w:w="897" w:type="dxa"/>
                  <w:vMerge w:val="continue"/>
                  <w:vAlign w:val="center"/>
                </w:tcPr>
                <w:p>
                  <w:pPr>
                    <w:spacing w:before="72" w:beforeLines="30" w:after="72" w:afterLines="30"/>
                    <w:jc w:val="center"/>
                    <w:rPr>
                      <w:rFonts w:ascii="Times New Roman" w:hAnsi="Times New Roman" w:eastAsia="宋体"/>
                      <w:color w:val="000000"/>
                      <w:sz w:val="21"/>
                      <w:szCs w:val="21"/>
                    </w:rPr>
                  </w:pPr>
                </w:p>
              </w:tc>
              <w:tc>
                <w:tcPr>
                  <w:tcW w:w="970"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单位</w:t>
                  </w:r>
                </w:p>
              </w:tc>
              <w:tc>
                <w:tcPr>
                  <w:tcW w:w="85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数量</w:t>
                  </w:r>
                </w:p>
              </w:tc>
              <w:tc>
                <w:tcPr>
                  <w:tcW w:w="1028"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单位</w:t>
                  </w:r>
                </w:p>
              </w:tc>
              <w:tc>
                <w:tcPr>
                  <w:tcW w:w="835"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数量</w:t>
                  </w:r>
                </w:p>
              </w:tc>
              <w:tc>
                <w:tcPr>
                  <w:tcW w:w="1659" w:type="dxa"/>
                  <w:vMerge w:val="continue"/>
                  <w:vAlign w:val="center"/>
                </w:tcPr>
                <w:p>
                  <w:pPr>
                    <w:spacing w:before="72" w:beforeLines="30" w:after="72" w:afterLines="30"/>
                    <w:jc w:val="center"/>
                    <w:rPr>
                      <w:rFonts w:ascii="Times New Roman" w:hAnsi="Times New Roman" w:eastAsia="宋体"/>
                      <w:color w:val="000000"/>
                      <w:sz w:val="21"/>
                      <w:szCs w:val="21"/>
                    </w:rPr>
                  </w:pPr>
                </w:p>
              </w:tc>
              <w:tc>
                <w:tcPr>
                  <w:tcW w:w="813" w:type="dxa"/>
                  <w:vMerge w:val="continue"/>
                  <w:vAlign w:val="center"/>
                </w:tcPr>
                <w:p>
                  <w:pPr>
                    <w:spacing w:before="72" w:beforeLines="30" w:after="72" w:afterLines="30"/>
                    <w:jc w:val="center"/>
                    <w:rPr>
                      <w:rFonts w:ascii="Times New Roman" w:hAnsi="Times New Roman" w:eastAsia="宋体"/>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1"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802"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甲醇</w:t>
                  </w:r>
                </w:p>
              </w:tc>
              <w:tc>
                <w:tcPr>
                  <w:tcW w:w="89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50%</w:t>
                  </w:r>
                </w:p>
              </w:tc>
              <w:tc>
                <w:tcPr>
                  <w:tcW w:w="970"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5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165</w:t>
                  </w:r>
                </w:p>
              </w:tc>
              <w:tc>
                <w:tcPr>
                  <w:tcW w:w="1028"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35"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9500</w:t>
                  </w:r>
                </w:p>
              </w:tc>
              <w:tc>
                <w:tcPr>
                  <w:tcW w:w="1659"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180m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甲醇储罐</w:t>
                  </w:r>
                </w:p>
              </w:tc>
              <w:tc>
                <w:tcPr>
                  <w:tcW w:w="813"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外购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1"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2</w:t>
                  </w:r>
                </w:p>
              </w:tc>
              <w:tc>
                <w:tcPr>
                  <w:tcW w:w="802"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磷酸</w:t>
                  </w:r>
                </w:p>
              </w:tc>
              <w:tc>
                <w:tcPr>
                  <w:tcW w:w="89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80%</w:t>
                  </w:r>
                </w:p>
              </w:tc>
              <w:tc>
                <w:tcPr>
                  <w:tcW w:w="970"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5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20</w:t>
                  </w:r>
                </w:p>
              </w:tc>
              <w:tc>
                <w:tcPr>
                  <w:tcW w:w="1028"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35"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510</w:t>
                  </w:r>
                </w:p>
              </w:tc>
              <w:tc>
                <w:tcPr>
                  <w:tcW w:w="1659"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10m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磷酸储池</w:t>
                  </w:r>
                </w:p>
              </w:tc>
              <w:tc>
                <w:tcPr>
                  <w:tcW w:w="813"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外购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1"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3</w:t>
                  </w:r>
                </w:p>
              </w:tc>
              <w:tc>
                <w:tcPr>
                  <w:tcW w:w="802"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盐酸</w:t>
                  </w:r>
                </w:p>
              </w:tc>
              <w:tc>
                <w:tcPr>
                  <w:tcW w:w="89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30%</w:t>
                  </w:r>
                </w:p>
              </w:tc>
              <w:tc>
                <w:tcPr>
                  <w:tcW w:w="970"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5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6</w:t>
                  </w:r>
                </w:p>
              </w:tc>
              <w:tc>
                <w:tcPr>
                  <w:tcW w:w="1028"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35"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50</w:t>
                  </w:r>
                </w:p>
              </w:tc>
              <w:tc>
                <w:tcPr>
                  <w:tcW w:w="1659"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5m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HDPE储罐</w:t>
                  </w:r>
                </w:p>
              </w:tc>
              <w:tc>
                <w:tcPr>
                  <w:tcW w:w="813"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外购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1" w:type="dxa"/>
                  <w:vAlign w:val="center"/>
                </w:tcPr>
                <w:p>
                  <w:pPr>
                    <w:spacing w:before="72" w:beforeLines="30" w:after="72" w:afterLines="30"/>
                    <w:jc w:val="center"/>
                    <w:rPr>
                      <w:rFonts w:ascii="Times New Roman" w:hAnsi="Times New Roman" w:eastAsia="宋体"/>
                      <w:color w:val="000000"/>
                      <w:sz w:val="21"/>
                      <w:szCs w:val="21"/>
                    </w:rPr>
                  </w:pPr>
                </w:p>
              </w:tc>
              <w:tc>
                <w:tcPr>
                  <w:tcW w:w="802"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NaOH</w:t>
                  </w:r>
                </w:p>
              </w:tc>
              <w:tc>
                <w:tcPr>
                  <w:tcW w:w="89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40%</w:t>
                  </w:r>
                </w:p>
              </w:tc>
              <w:tc>
                <w:tcPr>
                  <w:tcW w:w="970"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57"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4</w:t>
                  </w:r>
                </w:p>
              </w:tc>
              <w:tc>
                <w:tcPr>
                  <w:tcW w:w="1028"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t/a</w:t>
                  </w:r>
                </w:p>
              </w:tc>
              <w:tc>
                <w:tcPr>
                  <w:tcW w:w="835"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40</w:t>
                  </w:r>
                </w:p>
              </w:tc>
              <w:tc>
                <w:tcPr>
                  <w:tcW w:w="1659"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3m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钢罐</w:t>
                  </w:r>
                </w:p>
              </w:tc>
              <w:tc>
                <w:tcPr>
                  <w:tcW w:w="813" w:type="dxa"/>
                  <w:vAlign w:val="center"/>
                </w:tcPr>
                <w:p>
                  <w:pPr>
                    <w:spacing w:before="72" w:beforeLines="30" w:after="72" w:afterLines="30"/>
                    <w:jc w:val="center"/>
                    <w:rPr>
                      <w:rFonts w:ascii="Times New Roman" w:hAnsi="Times New Roman" w:eastAsia="宋体"/>
                      <w:color w:val="000000"/>
                      <w:sz w:val="21"/>
                      <w:szCs w:val="21"/>
                    </w:rPr>
                  </w:pPr>
                  <w:r>
                    <w:rPr>
                      <w:rFonts w:ascii="Times New Roman" w:hAnsi="Times New Roman" w:eastAsia="宋体"/>
                      <w:color w:val="000000"/>
                      <w:sz w:val="21"/>
                      <w:szCs w:val="21"/>
                    </w:rPr>
                    <w:t>外</w:t>
                  </w:r>
                </w:p>
              </w:tc>
            </w:tr>
          </w:tbl>
          <w:p>
            <w:pPr>
              <w:autoSpaceDE w:val="0"/>
              <w:autoSpaceDN w:val="0"/>
              <w:spacing w:after="0" w:line="360" w:lineRule="auto"/>
              <w:ind w:firstLine="480" w:firstLineChars="200"/>
              <w:jc w:val="both"/>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2</w:t>
            </w:r>
            <w:r>
              <w:rPr>
                <w:rFonts w:hint="eastAsia" w:ascii="宋体" w:hAnsi="宋体" w:eastAsia="宋体"/>
                <w:color w:val="000000"/>
                <w:sz w:val="24"/>
              </w:rPr>
              <w:t>）水平衡</w:t>
            </w:r>
          </w:p>
          <w:p>
            <w:pPr>
              <w:autoSpaceDE w:val="0"/>
              <w:autoSpaceDN w:val="0"/>
              <w:spacing w:after="0" w:line="360" w:lineRule="auto"/>
              <w:ind w:firstLine="480" w:firstLineChars="200"/>
              <w:jc w:val="both"/>
              <w:rPr>
                <w:rFonts w:ascii="宋体" w:hAnsi="宋体" w:eastAsia="宋体"/>
                <w:bCs/>
                <w:color w:val="000000"/>
                <w:sz w:val="24"/>
              </w:rPr>
            </w:pPr>
            <w:r>
              <w:rPr>
                <w:rFonts w:hint="eastAsia" w:ascii="宋体" w:hAnsi="宋体" w:eastAsia="宋体"/>
                <w:bCs/>
                <w:color w:val="000000"/>
                <w:sz w:val="24"/>
              </w:rPr>
              <w:t>本项目用水由太钢厂区供水管网提供，用水主要包括职工生活用水及绿化用水。</w:t>
            </w:r>
          </w:p>
          <w:p>
            <w:pPr>
              <w:autoSpaceDE w:val="0"/>
              <w:autoSpaceDN w:val="0"/>
              <w:spacing w:after="0" w:line="360" w:lineRule="auto"/>
              <w:ind w:firstLine="480" w:firstLineChars="200"/>
              <w:jc w:val="both"/>
              <w:rPr>
                <w:rFonts w:ascii="宋体" w:hAnsi="宋体" w:eastAsia="宋体"/>
                <w:bCs/>
                <w:color w:val="000000"/>
                <w:sz w:val="24"/>
              </w:rPr>
            </w:pPr>
            <w:r>
              <w:rPr>
                <w:rFonts w:hint="eastAsia" w:ascii="宋体" w:hAnsi="宋体" w:eastAsia="宋体"/>
                <w:bCs/>
                <w:color w:val="000000"/>
                <w:sz w:val="24"/>
              </w:rPr>
              <w:t>生活用水：本项目新增劳动定员17人，用水量按100L/人·d计算，则职工生活用水量为1.7m</w:t>
            </w:r>
            <w:r>
              <w:rPr>
                <w:rFonts w:hint="eastAsia" w:ascii="宋体" w:hAnsi="宋体" w:eastAsia="宋体"/>
                <w:bCs/>
                <w:color w:val="000000"/>
                <w:sz w:val="24"/>
                <w:vertAlign w:val="superscript"/>
              </w:rPr>
              <w:t>3</w:t>
            </w:r>
            <w:r>
              <w:rPr>
                <w:rFonts w:hint="eastAsia" w:ascii="宋体" w:hAnsi="宋体" w:eastAsia="宋体"/>
                <w:bCs/>
                <w:color w:val="000000"/>
                <w:sz w:val="24"/>
              </w:rPr>
              <w:t>/d，年用水量为620.5m</w:t>
            </w:r>
            <w:r>
              <w:rPr>
                <w:rFonts w:hint="eastAsia" w:ascii="宋体" w:hAnsi="宋体" w:eastAsia="宋体"/>
                <w:bCs/>
                <w:color w:val="000000"/>
                <w:sz w:val="24"/>
                <w:vertAlign w:val="superscript"/>
              </w:rPr>
              <w:t>3</w:t>
            </w:r>
            <w:r>
              <w:rPr>
                <w:rFonts w:hint="eastAsia" w:ascii="宋体" w:hAnsi="宋体" w:eastAsia="宋体"/>
                <w:bCs/>
                <w:color w:val="000000"/>
                <w:sz w:val="24"/>
              </w:rPr>
              <w:t>。生活污水产生量按用量的80%计算，则生活污水产生量为496.4m</w:t>
            </w:r>
            <w:r>
              <w:rPr>
                <w:rFonts w:hint="eastAsia" w:ascii="宋体" w:hAnsi="宋体" w:eastAsia="宋体"/>
                <w:bCs/>
                <w:color w:val="000000"/>
                <w:sz w:val="24"/>
                <w:vertAlign w:val="superscript"/>
              </w:rPr>
              <w:t>3</w:t>
            </w:r>
            <w:r>
              <w:rPr>
                <w:rFonts w:hint="eastAsia" w:ascii="宋体" w:hAnsi="宋体" w:eastAsia="宋体"/>
                <w:bCs/>
                <w:color w:val="000000"/>
                <w:sz w:val="24"/>
              </w:rPr>
              <w:t>/a。生活污水进入太钢厂区生活污水管网送至生活污水处理设施处理后，再经膜处理后回用于太钢的生产系统。</w:t>
            </w:r>
          </w:p>
          <w:p>
            <w:pPr>
              <w:autoSpaceDE w:val="0"/>
              <w:autoSpaceDN w:val="0"/>
              <w:spacing w:after="0" w:line="360" w:lineRule="auto"/>
              <w:ind w:firstLine="480" w:firstLineChars="200"/>
              <w:jc w:val="both"/>
              <w:rPr>
                <w:rFonts w:ascii="宋体" w:hAnsi="宋体" w:eastAsia="宋体"/>
                <w:bCs/>
                <w:color w:val="000000"/>
                <w:sz w:val="24"/>
              </w:rPr>
            </w:pPr>
            <w:r>
              <w:rPr>
                <w:rFonts w:hint="eastAsia" w:ascii="宋体" w:hAnsi="宋体" w:eastAsia="宋体"/>
                <w:bCs/>
                <w:color w:val="000000"/>
                <w:sz w:val="24"/>
              </w:rPr>
              <w:t>绿化用水：本项目绿化面积约1425m</w:t>
            </w:r>
            <w:r>
              <w:rPr>
                <w:rFonts w:hint="eastAsia" w:ascii="宋体" w:hAnsi="宋体" w:eastAsia="宋体"/>
                <w:bCs/>
                <w:color w:val="000000"/>
                <w:sz w:val="24"/>
                <w:vertAlign w:val="superscript"/>
              </w:rPr>
              <w:t>2</w:t>
            </w:r>
            <w:r>
              <w:rPr>
                <w:rFonts w:hint="eastAsia" w:ascii="宋体" w:hAnsi="宋体" w:eastAsia="宋体"/>
                <w:bCs/>
                <w:color w:val="000000"/>
                <w:sz w:val="24"/>
              </w:rPr>
              <w:t>，绿化用水按1.5L/m</w:t>
            </w:r>
            <w:r>
              <w:rPr>
                <w:rFonts w:hint="eastAsia" w:ascii="宋体" w:hAnsi="宋体" w:eastAsia="宋体"/>
                <w:bCs/>
                <w:color w:val="000000"/>
                <w:sz w:val="24"/>
                <w:vertAlign w:val="superscript"/>
              </w:rPr>
              <w:t>2</w:t>
            </w:r>
            <w:r>
              <w:rPr>
                <w:rFonts w:hint="eastAsia" w:ascii="宋体" w:hAnsi="宋体" w:eastAsia="宋体"/>
                <w:bCs/>
                <w:color w:val="000000"/>
                <w:sz w:val="24"/>
              </w:rPr>
              <w:t>·次计算，则本项目绿化用水量为2.14m</w:t>
            </w:r>
            <w:r>
              <w:rPr>
                <w:rFonts w:hint="eastAsia" w:ascii="宋体" w:hAnsi="宋体" w:eastAsia="宋体"/>
                <w:bCs/>
                <w:color w:val="000000"/>
                <w:sz w:val="24"/>
                <w:vertAlign w:val="superscript"/>
              </w:rPr>
              <w:t>3</w:t>
            </w:r>
            <w:r>
              <w:rPr>
                <w:rFonts w:hint="eastAsia" w:ascii="宋体" w:hAnsi="宋体" w:eastAsia="宋体"/>
                <w:bCs/>
                <w:color w:val="000000"/>
                <w:sz w:val="24"/>
              </w:rPr>
              <w:t>/d。</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本项目用排水情况见下表，水平衡图见图1。</w:t>
            </w:r>
          </w:p>
          <w:p>
            <w:pPr>
              <w:autoSpaceDE w:val="0"/>
              <w:autoSpaceDN w:val="0"/>
              <w:spacing w:after="0" w:line="360" w:lineRule="auto"/>
              <w:ind w:firstLine="480" w:firstLineChars="200"/>
              <w:jc w:val="center"/>
              <w:rPr>
                <w:rFonts w:ascii="宋体" w:hAnsi="宋体" w:eastAsia="宋体"/>
                <w:bCs/>
                <w:color w:val="000000"/>
                <w:sz w:val="24"/>
              </w:rPr>
            </w:pPr>
            <w:r>
              <w:rPr>
                <w:rFonts w:hint="eastAsia" w:ascii="宋体" w:hAnsi="宋体" w:eastAsia="宋体"/>
                <w:bCs/>
                <w:color w:val="000000"/>
                <w:sz w:val="24"/>
              </w:rPr>
              <w:t>表2</w:t>
            </w:r>
            <w:r>
              <w:rPr>
                <w:rFonts w:ascii="宋体" w:hAnsi="宋体" w:eastAsia="宋体"/>
                <w:bCs/>
                <w:color w:val="000000"/>
                <w:sz w:val="24"/>
              </w:rPr>
              <w:t>-5</w:t>
            </w:r>
            <w:r>
              <w:rPr>
                <w:rFonts w:hint="eastAsia" w:ascii="宋体" w:hAnsi="宋体" w:eastAsia="宋体"/>
                <w:bCs/>
                <w:color w:val="000000"/>
                <w:sz w:val="24"/>
              </w:rPr>
              <w:t xml:space="preserve">  项目用排水情况一览表</w:t>
            </w:r>
          </w:p>
          <w:tbl>
            <w:tblPr>
              <w:tblStyle w:val="43"/>
              <w:tblW w:w="835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535"/>
              <w:gridCol w:w="1269"/>
              <w:gridCol w:w="1147"/>
              <w:gridCol w:w="1145"/>
              <w:gridCol w:w="923"/>
              <w:gridCol w:w="923"/>
              <w:gridCol w:w="834"/>
              <w:gridCol w:w="15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487" w:hRule="atLeast"/>
                <w:jc w:val="center"/>
              </w:trPr>
              <w:tc>
                <w:tcPr>
                  <w:tcW w:w="535" w:type="dxa"/>
                  <w:tcMar>
                    <w:left w:w="0" w:type="dxa"/>
                    <w:right w:w="0" w:type="dxa"/>
                  </w:tcMar>
                  <w:vAlign w:val="center"/>
                </w:tcPr>
                <w:p>
                  <w:pPr>
                    <w:pStyle w:val="64"/>
                    <w:rPr>
                      <w:color w:val="000000"/>
                    </w:rPr>
                  </w:pPr>
                  <w:r>
                    <w:rPr>
                      <w:color w:val="000000"/>
                    </w:rPr>
                    <w:t>序号</w:t>
                  </w:r>
                </w:p>
              </w:tc>
              <w:tc>
                <w:tcPr>
                  <w:tcW w:w="1269" w:type="dxa"/>
                  <w:tcMar>
                    <w:left w:w="0" w:type="dxa"/>
                    <w:right w:w="0" w:type="dxa"/>
                  </w:tcMar>
                  <w:vAlign w:val="center"/>
                </w:tcPr>
                <w:p>
                  <w:pPr>
                    <w:pStyle w:val="64"/>
                    <w:rPr>
                      <w:color w:val="000000"/>
                    </w:rPr>
                  </w:pPr>
                  <w:r>
                    <w:rPr>
                      <w:color w:val="000000"/>
                    </w:rPr>
                    <w:t>用水项目</w:t>
                  </w:r>
                </w:p>
              </w:tc>
              <w:tc>
                <w:tcPr>
                  <w:tcW w:w="1147" w:type="dxa"/>
                  <w:tcMar>
                    <w:left w:w="0" w:type="dxa"/>
                    <w:right w:w="0" w:type="dxa"/>
                  </w:tcMar>
                  <w:vAlign w:val="center"/>
                </w:tcPr>
                <w:p>
                  <w:pPr>
                    <w:pStyle w:val="64"/>
                    <w:rPr>
                      <w:color w:val="000000"/>
                    </w:rPr>
                  </w:pPr>
                  <w:r>
                    <w:rPr>
                      <w:color w:val="000000"/>
                    </w:rPr>
                    <w:t>用水标</w:t>
                  </w:r>
                </w:p>
              </w:tc>
              <w:tc>
                <w:tcPr>
                  <w:tcW w:w="1145" w:type="dxa"/>
                  <w:vAlign w:val="center"/>
                </w:tcPr>
                <w:p>
                  <w:pPr>
                    <w:pStyle w:val="64"/>
                    <w:rPr>
                      <w:color w:val="000000"/>
                    </w:rPr>
                  </w:pPr>
                  <w:r>
                    <w:rPr>
                      <w:color w:val="000000"/>
                    </w:rPr>
                    <w:t>数量</w:t>
                  </w:r>
                </w:p>
              </w:tc>
              <w:tc>
                <w:tcPr>
                  <w:tcW w:w="923" w:type="dxa"/>
                  <w:vAlign w:val="center"/>
                </w:tcPr>
                <w:p>
                  <w:pPr>
                    <w:pStyle w:val="64"/>
                    <w:rPr>
                      <w:color w:val="000000"/>
                    </w:rPr>
                  </w:pPr>
                  <w:r>
                    <w:rPr>
                      <w:color w:val="000000"/>
                    </w:rPr>
                    <w:t>用水量（m</w:t>
                  </w:r>
                  <w:r>
                    <w:rPr>
                      <w:color w:val="000000"/>
                      <w:vertAlign w:val="superscript"/>
                    </w:rPr>
                    <w:t>3</w:t>
                  </w:r>
                  <w:r>
                    <w:rPr>
                      <w:color w:val="000000"/>
                    </w:rPr>
                    <w:t>/d）</w:t>
                  </w:r>
                </w:p>
              </w:tc>
              <w:tc>
                <w:tcPr>
                  <w:tcW w:w="923" w:type="dxa"/>
                  <w:vAlign w:val="center"/>
                </w:tcPr>
                <w:p>
                  <w:pPr>
                    <w:pStyle w:val="64"/>
                    <w:rPr>
                      <w:color w:val="000000"/>
                    </w:rPr>
                  </w:pPr>
                  <w:r>
                    <w:rPr>
                      <w:color w:val="000000"/>
                    </w:rPr>
                    <w:t>消耗量（m</w:t>
                  </w:r>
                  <w:r>
                    <w:rPr>
                      <w:color w:val="000000"/>
                      <w:vertAlign w:val="superscript"/>
                    </w:rPr>
                    <w:t>3</w:t>
                  </w:r>
                  <w:r>
                    <w:rPr>
                      <w:color w:val="000000"/>
                    </w:rPr>
                    <w:t>/d）</w:t>
                  </w:r>
                </w:p>
              </w:tc>
              <w:tc>
                <w:tcPr>
                  <w:tcW w:w="834" w:type="dxa"/>
                  <w:vAlign w:val="center"/>
                </w:tcPr>
                <w:p>
                  <w:pPr>
                    <w:pStyle w:val="64"/>
                    <w:rPr>
                      <w:color w:val="000000"/>
                    </w:rPr>
                  </w:pPr>
                  <w:r>
                    <w:rPr>
                      <w:color w:val="000000"/>
                    </w:rPr>
                    <w:t>排水量（m</w:t>
                  </w:r>
                  <w:r>
                    <w:rPr>
                      <w:color w:val="000000"/>
                      <w:vertAlign w:val="superscript"/>
                    </w:rPr>
                    <w:t>3</w:t>
                  </w:r>
                  <w:r>
                    <w:rPr>
                      <w:color w:val="000000"/>
                    </w:rPr>
                    <w:t>/d）</w:t>
                  </w:r>
                </w:p>
              </w:tc>
              <w:tc>
                <w:tcPr>
                  <w:tcW w:w="1581" w:type="dxa"/>
                  <w:tcMar>
                    <w:left w:w="0" w:type="dxa"/>
                    <w:right w:w="0" w:type="dxa"/>
                  </w:tcMar>
                  <w:vAlign w:val="center"/>
                </w:tcPr>
                <w:p>
                  <w:pPr>
                    <w:pStyle w:val="64"/>
                    <w:rPr>
                      <w:color w:val="000000"/>
                    </w:rPr>
                  </w:pPr>
                  <w:r>
                    <w:rPr>
                      <w:color w:val="000000"/>
                    </w:rPr>
                    <w:t>备 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292" w:hRule="atLeast"/>
                <w:jc w:val="center"/>
              </w:trPr>
              <w:tc>
                <w:tcPr>
                  <w:tcW w:w="535" w:type="dxa"/>
                  <w:tcMar>
                    <w:left w:w="0" w:type="dxa"/>
                    <w:right w:w="0" w:type="dxa"/>
                  </w:tcMar>
                  <w:vAlign w:val="center"/>
                </w:tcPr>
                <w:p>
                  <w:pPr>
                    <w:pStyle w:val="64"/>
                    <w:rPr>
                      <w:color w:val="000000"/>
                    </w:rPr>
                  </w:pPr>
                  <w:r>
                    <w:rPr>
                      <w:color w:val="000000"/>
                    </w:rPr>
                    <w:t>1</w:t>
                  </w:r>
                </w:p>
              </w:tc>
              <w:tc>
                <w:tcPr>
                  <w:tcW w:w="1269" w:type="dxa"/>
                  <w:tcMar>
                    <w:left w:w="0" w:type="dxa"/>
                    <w:right w:w="0" w:type="dxa"/>
                  </w:tcMar>
                  <w:vAlign w:val="center"/>
                </w:tcPr>
                <w:p>
                  <w:pPr>
                    <w:pStyle w:val="64"/>
                    <w:rPr>
                      <w:color w:val="000000"/>
                    </w:rPr>
                  </w:pPr>
                  <w:r>
                    <w:rPr>
                      <w:color w:val="000000"/>
                    </w:rPr>
                    <w:t>职工生活用水</w:t>
                  </w:r>
                </w:p>
              </w:tc>
              <w:tc>
                <w:tcPr>
                  <w:tcW w:w="1147" w:type="dxa"/>
                  <w:tcMar>
                    <w:left w:w="0" w:type="dxa"/>
                    <w:right w:w="0" w:type="dxa"/>
                  </w:tcMar>
                  <w:vAlign w:val="center"/>
                </w:tcPr>
                <w:p>
                  <w:pPr>
                    <w:pStyle w:val="64"/>
                    <w:rPr>
                      <w:color w:val="000000"/>
                    </w:rPr>
                  </w:pPr>
                  <w:r>
                    <w:rPr>
                      <w:color w:val="000000"/>
                    </w:rPr>
                    <w:t>100L/人·d</w:t>
                  </w:r>
                </w:p>
              </w:tc>
              <w:tc>
                <w:tcPr>
                  <w:tcW w:w="1145" w:type="dxa"/>
                  <w:tcMar>
                    <w:left w:w="0" w:type="dxa"/>
                    <w:right w:w="0" w:type="dxa"/>
                  </w:tcMar>
                  <w:vAlign w:val="center"/>
                </w:tcPr>
                <w:p>
                  <w:pPr>
                    <w:pStyle w:val="64"/>
                    <w:rPr>
                      <w:color w:val="000000"/>
                    </w:rPr>
                  </w:pPr>
                  <w:r>
                    <w:rPr>
                      <w:color w:val="000000"/>
                    </w:rPr>
                    <w:t>17人</w:t>
                  </w:r>
                </w:p>
              </w:tc>
              <w:tc>
                <w:tcPr>
                  <w:tcW w:w="923" w:type="dxa"/>
                  <w:tcMar>
                    <w:left w:w="0" w:type="dxa"/>
                    <w:right w:w="0" w:type="dxa"/>
                  </w:tcMar>
                  <w:vAlign w:val="center"/>
                </w:tcPr>
                <w:p>
                  <w:pPr>
                    <w:pStyle w:val="64"/>
                    <w:rPr>
                      <w:color w:val="000000"/>
                    </w:rPr>
                  </w:pPr>
                  <w:r>
                    <w:rPr>
                      <w:color w:val="000000"/>
                    </w:rPr>
                    <w:t>1.7</w:t>
                  </w:r>
                </w:p>
              </w:tc>
              <w:tc>
                <w:tcPr>
                  <w:tcW w:w="923" w:type="dxa"/>
                  <w:tcMar>
                    <w:left w:w="0" w:type="dxa"/>
                    <w:right w:w="0" w:type="dxa"/>
                  </w:tcMar>
                  <w:vAlign w:val="center"/>
                </w:tcPr>
                <w:p>
                  <w:pPr>
                    <w:pStyle w:val="64"/>
                    <w:rPr>
                      <w:color w:val="000000"/>
                    </w:rPr>
                  </w:pPr>
                  <w:r>
                    <w:rPr>
                      <w:color w:val="000000"/>
                    </w:rPr>
                    <w:t>0.34</w:t>
                  </w:r>
                </w:p>
              </w:tc>
              <w:tc>
                <w:tcPr>
                  <w:tcW w:w="834" w:type="dxa"/>
                  <w:tcMar>
                    <w:left w:w="0" w:type="dxa"/>
                    <w:right w:w="0" w:type="dxa"/>
                  </w:tcMar>
                  <w:vAlign w:val="center"/>
                </w:tcPr>
                <w:p>
                  <w:pPr>
                    <w:pStyle w:val="64"/>
                    <w:rPr>
                      <w:color w:val="000000"/>
                    </w:rPr>
                  </w:pPr>
                  <w:r>
                    <w:rPr>
                      <w:color w:val="000000"/>
                    </w:rPr>
                    <w:t>1.36</w:t>
                  </w:r>
                </w:p>
              </w:tc>
              <w:tc>
                <w:tcPr>
                  <w:tcW w:w="1581" w:type="dxa"/>
                  <w:tcMar>
                    <w:left w:w="0" w:type="dxa"/>
                    <w:right w:w="0" w:type="dxa"/>
                  </w:tcMar>
                  <w:vAlign w:val="center"/>
                </w:tcPr>
                <w:p>
                  <w:pPr>
                    <w:pStyle w:val="64"/>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292" w:hRule="atLeast"/>
                <w:jc w:val="center"/>
              </w:trPr>
              <w:tc>
                <w:tcPr>
                  <w:tcW w:w="535" w:type="dxa"/>
                  <w:tcMar>
                    <w:left w:w="0" w:type="dxa"/>
                    <w:right w:w="0" w:type="dxa"/>
                  </w:tcMar>
                  <w:vAlign w:val="center"/>
                </w:tcPr>
                <w:p>
                  <w:pPr>
                    <w:pStyle w:val="64"/>
                    <w:rPr>
                      <w:color w:val="000000"/>
                    </w:rPr>
                  </w:pPr>
                  <w:r>
                    <w:rPr>
                      <w:color w:val="000000"/>
                    </w:rPr>
                    <w:t>2</w:t>
                  </w:r>
                </w:p>
              </w:tc>
              <w:tc>
                <w:tcPr>
                  <w:tcW w:w="1269" w:type="dxa"/>
                  <w:tcMar>
                    <w:left w:w="0" w:type="dxa"/>
                    <w:right w:w="0" w:type="dxa"/>
                  </w:tcMar>
                  <w:vAlign w:val="center"/>
                </w:tcPr>
                <w:p>
                  <w:pPr>
                    <w:pStyle w:val="64"/>
                    <w:rPr>
                      <w:color w:val="000000"/>
                    </w:rPr>
                  </w:pPr>
                  <w:r>
                    <w:rPr>
                      <w:color w:val="000000"/>
                    </w:rPr>
                    <w:t>绿化用水</w:t>
                  </w:r>
                </w:p>
              </w:tc>
              <w:tc>
                <w:tcPr>
                  <w:tcW w:w="1147" w:type="dxa"/>
                  <w:tcMar>
                    <w:left w:w="0" w:type="dxa"/>
                    <w:right w:w="0" w:type="dxa"/>
                  </w:tcMar>
                  <w:vAlign w:val="center"/>
                </w:tcPr>
                <w:p>
                  <w:pPr>
                    <w:pStyle w:val="64"/>
                    <w:rPr>
                      <w:color w:val="000000"/>
                    </w:rPr>
                  </w:pPr>
                  <w:r>
                    <w:rPr>
                      <w:color w:val="000000"/>
                    </w:rPr>
                    <w:t>1.5L/m</w:t>
                  </w:r>
                  <w:r>
                    <w:rPr>
                      <w:color w:val="000000"/>
                      <w:vertAlign w:val="superscript"/>
                    </w:rPr>
                    <w:t>2</w:t>
                  </w:r>
                  <w:r>
                    <w:rPr>
                      <w:color w:val="000000"/>
                    </w:rPr>
                    <w:t>·次</w:t>
                  </w:r>
                </w:p>
              </w:tc>
              <w:tc>
                <w:tcPr>
                  <w:tcW w:w="1145" w:type="dxa"/>
                  <w:tcMar>
                    <w:left w:w="0" w:type="dxa"/>
                    <w:right w:w="0" w:type="dxa"/>
                  </w:tcMar>
                  <w:vAlign w:val="center"/>
                </w:tcPr>
                <w:p>
                  <w:pPr>
                    <w:pStyle w:val="64"/>
                    <w:rPr>
                      <w:color w:val="000000"/>
                    </w:rPr>
                  </w:pPr>
                  <w:r>
                    <w:rPr>
                      <w:color w:val="000000"/>
                    </w:rPr>
                    <w:t>1425m</w:t>
                  </w:r>
                  <w:r>
                    <w:rPr>
                      <w:color w:val="000000"/>
                      <w:vertAlign w:val="superscript"/>
                    </w:rPr>
                    <w:t>2</w:t>
                  </w:r>
                </w:p>
              </w:tc>
              <w:tc>
                <w:tcPr>
                  <w:tcW w:w="923" w:type="dxa"/>
                  <w:tcMar>
                    <w:left w:w="0" w:type="dxa"/>
                    <w:right w:w="0" w:type="dxa"/>
                  </w:tcMar>
                  <w:vAlign w:val="center"/>
                </w:tcPr>
                <w:p>
                  <w:pPr>
                    <w:pStyle w:val="64"/>
                    <w:rPr>
                      <w:color w:val="000000"/>
                    </w:rPr>
                  </w:pPr>
                  <w:r>
                    <w:rPr>
                      <w:color w:val="000000"/>
                    </w:rPr>
                    <w:t>2.14</w:t>
                  </w:r>
                </w:p>
              </w:tc>
              <w:tc>
                <w:tcPr>
                  <w:tcW w:w="923" w:type="dxa"/>
                  <w:tcMar>
                    <w:left w:w="0" w:type="dxa"/>
                    <w:right w:w="0" w:type="dxa"/>
                  </w:tcMar>
                  <w:vAlign w:val="center"/>
                </w:tcPr>
                <w:p>
                  <w:pPr>
                    <w:pStyle w:val="64"/>
                    <w:rPr>
                      <w:color w:val="000000"/>
                    </w:rPr>
                  </w:pPr>
                  <w:r>
                    <w:rPr>
                      <w:color w:val="000000"/>
                    </w:rPr>
                    <w:t>2.14</w:t>
                  </w:r>
                </w:p>
              </w:tc>
              <w:tc>
                <w:tcPr>
                  <w:tcW w:w="834" w:type="dxa"/>
                  <w:tcMar>
                    <w:left w:w="0" w:type="dxa"/>
                    <w:right w:w="0" w:type="dxa"/>
                  </w:tcMar>
                  <w:vAlign w:val="center"/>
                </w:tcPr>
                <w:p>
                  <w:pPr>
                    <w:pStyle w:val="64"/>
                    <w:rPr>
                      <w:color w:val="000000"/>
                    </w:rPr>
                  </w:pPr>
                  <w:r>
                    <w:rPr>
                      <w:color w:val="000000"/>
                    </w:rPr>
                    <w:t>0</w:t>
                  </w:r>
                </w:p>
              </w:tc>
              <w:tc>
                <w:tcPr>
                  <w:tcW w:w="1581" w:type="dxa"/>
                  <w:tcMar>
                    <w:left w:w="0" w:type="dxa"/>
                    <w:right w:w="0" w:type="dxa"/>
                  </w:tcMar>
                  <w:vAlign w:val="center"/>
                </w:tcPr>
                <w:p>
                  <w:pPr>
                    <w:pStyle w:val="64"/>
                    <w:rPr>
                      <w:color w:val="000000"/>
                    </w:rPr>
                  </w:pPr>
                  <w:r>
                    <w:rPr>
                      <w:color w:val="000000"/>
                    </w:rPr>
                    <w:t>非采暖期，每天一次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292" w:hRule="atLeast"/>
                <w:jc w:val="center"/>
              </w:trPr>
              <w:tc>
                <w:tcPr>
                  <w:tcW w:w="535" w:type="dxa"/>
                  <w:tcBorders>
                    <w:bottom w:val="single" w:color="auto" w:sz="4" w:space="0"/>
                  </w:tcBorders>
                  <w:tcMar>
                    <w:left w:w="0" w:type="dxa"/>
                    <w:right w:w="0" w:type="dxa"/>
                  </w:tcMar>
                  <w:vAlign w:val="center"/>
                </w:tcPr>
                <w:p>
                  <w:pPr>
                    <w:pStyle w:val="64"/>
                    <w:rPr>
                      <w:color w:val="000000"/>
                    </w:rPr>
                  </w:pPr>
                  <w:r>
                    <w:rPr>
                      <w:color w:val="000000"/>
                    </w:rPr>
                    <w:t>3</w:t>
                  </w:r>
                </w:p>
              </w:tc>
              <w:tc>
                <w:tcPr>
                  <w:tcW w:w="1269" w:type="dxa"/>
                  <w:tcBorders>
                    <w:bottom w:val="single" w:color="auto" w:sz="4" w:space="0"/>
                  </w:tcBorders>
                  <w:tcMar>
                    <w:left w:w="0" w:type="dxa"/>
                    <w:right w:w="0" w:type="dxa"/>
                  </w:tcMar>
                  <w:vAlign w:val="center"/>
                </w:tcPr>
                <w:p>
                  <w:pPr>
                    <w:pStyle w:val="64"/>
                    <w:rPr>
                      <w:color w:val="000000"/>
                    </w:rPr>
                  </w:pPr>
                  <w:r>
                    <w:rPr>
                      <w:color w:val="000000"/>
                    </w:rPr>
                    <w:t>合计</w:t>
                  </w:r>
                </w:p>
              </w:tc>
              <w:tc>
                <w:tcPr>
                  <w:tcW w:w="1147" w:type="dxa"/>
                  <w:tcMar>
                    <w:left w:w="0" w:type="dxa"/>
                    <w:right w:w="0" w:type="dxa"/>
                  </w:tcMar>
                  <w:vAlign w:val="center"/>
                </w:tcPr>
                <w:p>
                  <w:pPr>
                    <w:pStyle w:val="64"/>
                    <w:rPr>
                      <w:color w:val="000000"/>
                    </w:rPr>
                  </w:pPr>
                  <w:r>
                    <w:rPr>
                      <w:color w:val="000000"/>
                    </w:rPr>
                    <w:t>--</w:t>
                  </w:r>
                </w:p>
              </w:tc>
              <w:tc>
                <w:tcPr>
                  <w:tcW w:w="1145" w:type="dxa"/>
                  <w:tcMar>
                    <w:left w:w="0" w:type="dxa"/>
                    <w:right w:w="0" w:type="dxa"/>
                  </w:tcMar>
                  <w:vAlign w:val="center"/>
                </w:tcPr>
                <w:p>
                  <w:pPr>
                    <w:pStyle w:val="64"/>
                    <w:rPr>
                      <w:color w:val="000000"/>
                    </w:rPr>
                  </w:pPr>
                  <w:r>
                    <w:rPr>
                      <w:color w:val="000000"/>
                    </w:rPr>
                    <w:cr/>
                  </w:r>
                  <w:r>
                    <w:rPr>
                      <w:color w:val="000000"/>
                    </w:rPr>
                    <w:t>--</w:t>
                  </w:r>
                </w:p>
              </w:tc>
              <w:tc>
                <w:tcPr>
                  <w:tcW w:w="923" w:type="dxa"/>
                  <w:tcMar>
                    <w:left w:w="0" w:type="dxa"/>
                    <w:right w:w="0" w:type="dxa"/>
                  </w:tcMar>
                  <w:vAlign w:val="center"/>
                </w:tcPr>
                <w:p>
                  <w:pPr>
                    <w:pStyle w:val="64"/>
                    <w:rPr>
                      <w:color w:val="000000"/>
                    </w:rPr>
                  </w:pPr>
                  <w:r>
                    <w:rPr>
                      <w:color w:val="000000"/>
                    </w:rPr>
                    <w:t>3.84</w:t>
                  </w:r>
                </w:p>
              </w:tc>
              <w:tc>
                <w:tcPr>
                  <w:tcW w:w="923" w:type="dxa"/>
                  <w:tcMar>
                    <w:left w:w="0" w:type="dxa"/>
                    <w:right w:w="0" w:type="dxa"/>
                  </w:tcMar>
                  <w:vAlign w:val="center"/>
                </w:tcPr>
                <w:p>
                  <w:pPr>
                    <w:pStyle w:val="64"/>
                    <w:rPr>
                      <w:color w:val="000000"/>
                    </w:rPr>
                  </w:pPr>
                  <w:r>
                    <w:rPr>
                      <w:color w:val="000000"/>
                    </w:rPr>
                    <w:t>2.48</w:t>
                  </w:r>
                </w:p>
              </w:tc>
              <w:tc>
                <w:tcPr>
                  <w:tcW w:w="834" w:type="dxa"/>
                  <w:tcMar>
                    <w:left w:w="0" w:type="dxa"/>
                    <w:right w:w="0" w:type="dxa"/>
                  </w:tcMar>
                  <w:vAlign w:val="center"/>
                </w:tcPr>
                <w:p>
                  <w:pPr>
                    <w:pStyle w:val="64"/>
                    <w:rPr>
                      <w:color w:val="000000"/>
                    </w:rPr>
                  </w:pPr>
                  <w:r>
                    <w:rPr>
                      <w:color w:val="000000"/>
                    </w:rPr>
                    <w:t>1.36</w:t>
                  </w:r>
                </w:p>
              </w:tc>
              <w:tc>
                <w:tcPr>
                  <w:tcW w:w="1581" w:type="dxa"/>
                  <w:tcMar>
                    <w:left w:w="0" w:type="dxa"/>
                    <w:right w:w="0" w:type="dxa"/>
                  </w:tcMar>
                  <w:vAlign w:val="center"/>
                </w:tcPr>
                <w:p>
                  <w:pPr>
                    <w:pStyle w:val="64"/>
                    <w:rPr>
                      <w:color w:val="000000"/>
                    </w:rPr>
                  </w:pPr>
                </w:p>
              </w:tc>
            </w:tr>
          </w:tbl>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3</w:t>
            </w:r>
            <w:r>
              <w:rPr>
                <w:rFonts w:hint="eastAsia" w:ascii="宋体" w:hAnsi="宋体" w:eastAsia="宋体"/>
                <w:color w:val="000000"/>
                <w:sz w:val="24"/>
              </w:rPr>
              <w:t>）供电</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新增变压器2台，均为1600 kVA。10kV电源引自附近10kV架空线铁塔，通过转换金具转换成电缆并下引后直埋进新增环网柜用于给新增变压器供电。</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4</w:t>
            </w:r>
            <w:r>
              <w:rPr>
                <w:rFonts w:hint="eastAsia" w:ascii="宋体" w:hAnsi="宋体" w:eastAsia="宋体"/>
                <w:color w:val="000000"/>
                <w:sz w:val="24"/>
              </w:rPr>
              <w:t>）供暖：项目采暖使用太钢厂区内供热管网供暖。</w:t>
            </w:r>
          </w:p>
          <w:p>
            <w:pPr>
              <w:pStyle w:val="50"/>
              <w:spacing w:line="360" w:lineRule="auto"/>
              <w:jc w:val="left"/>
              <w:rPr>
                <w:rFonts w:ascii="宋体" w:hAnsi="宋体" w:eastAsia="宋体" w:cs="Times New Roman"/>
                <w:b w:val="0"/>
                <w:color w:val="000000"/>
                <w:sz w:val="24"/>
                <w:szCs w:val="22"/>
              </w:rPr>
            </w:pPr>
            <w:r>
              <w:rPr>
                <w:rFonts w:hint="eastAsia" w:ascii="宋体" w:hAnsi="宋体" w:eastAsia="宋体" w:cs="Times New Roman"/>
                <w:b w:val="0"/>
                <w:color w:val="000000"/>
                <w:sz w:val="24"/>
                <w:szCs w:val="22"/>
              </w:rPr>
              <w:t>主要工艺流程及产污环节</w:t>
            </w:r>
          </w:p>
          <w:p>
            <w:pPr>
              <w:spacing w:line="440" w:lineRule="exact"/>
              <w:rPr>
                <w:rFonts w:ascii="宋体" w:hAnsi="宋体" w:eastAsia="宋体"/>
                <w:color w:val="000000"/>
                <w:sz w:val="24"/>
              </w:rPr>
            </w:pPr>
            <w:r>
              <w:rPr>
                <w:rFonts w:hint="eastAsia" w:ascii="宋体" w:hAnsi="宋体" w:eastAsia="宋体"/>
                <w:color w:val="000000"/>
                <w:sz w:val="24"/>
              </w:rPr>
              <w:t>1. 技改前工艺流程简述：</w:t>
            </w:r>
          </w:p>
          <w:p>
            <w:pPr>
              <w:spacing w:line="440" w:lineRule="exact"/>
              <w:ind w:firstLine="480" w:firstLineChars="200"/>
              <w:rPr>
                <w:rFonts w:ascii="宋体" w:hAnsi="宋体" w:eastAsia="宋体"/>
                <w:color w:val="000000"/>
                <w:sz w:val="24"/>
              </w:rPr>
            </w:pPr>
            <w:r>
              <w:rPr>
                <w:rFonts w:ascii="宋体" w:hAnsi="宋体" w:eastAsia="宋体" w:cs="Times New Roman"/>
                <w:color w:val="000000"/>
                <w:sz w:val="24"/>
                <w:szCs w:val="22"/>
                <w:lang w:val="en-US" w:eastAsia="zh-CN" w:bidi="ar-SA"/>
              </w:rPr>
              <w:pict>
                <v:shape id="图片 14" o:spid="_x0000_s1037" type="#_x0000_t75" style="position:absolute;left:0;margin-left:6.9pt;margin-top:107.75pt;height:118.75pt;width:418.9pt;mso-wrap-distance-bottom:0pt;mso-wrap-distance-top:0pt;rotation:0f;z-index:251659264;" o:ole="f" fillcolor="#FFFFFF" filled="f" o:preferrelative="t" stroked="f" coordorigin="0,0" coordsize="21600,21600">
                  <v:fill on="f" color2="#FFFFFF" focus="0%"/>
                  <v:imagedata cropleft="8086f" croptop="11988f" cropright="7861f" cropbottom="41817f" gain="65536f" blacklevel="0f" gamma="0" o:title="" r:id="rId24"/>
                  <o:lock v:ext="edit" position="f" selection="f" grouping="f" rotation="f" cropping="f" text="f" aspectratio="t"/>
                  <w10:wrap type="topAndBottom"/>
                </v:shape>
              </w:pict>
            </w:r>
            <w:r>
              <w:rPr>
                <w:rFonts w:hint="eastAsia" w:ascii="宋体" w:hAnsi="宋体" w:eastAsia="宋体"/>
                <w:color w:val="000000"/>
                <w:sz w:val="24"/>
              </w:rPr>
              <w:t>各企业产生含酸废水经管道输送到中和站调节池，水质调节后加石灰乳进行中和，中和后pH为7.38-8.00，中和处理后的废水加入絮凝剂、混凝剂进行絮凝、混凝，絮凝、混凝完成后进入沉淀池沉淀，沉淀后出水排入太钢五期水处理系统处理后由总排口排放，污泥经污泥浓缩池浓缩、压滤机脱水后送固废处置场填埋处置：</w:t>
            </w:r>
          </w:p>
          <w:p>
            <w:pPr>
              <w:jc w:val="center"/>
              <w:rPr>
                <w:rFonts w:ascii="宋体" w:hAnsi="宋体" w:eastAsia="宋体"/>
                <w:color w:val="000000"/>
                <w:sz w:val="24"/>
              </w:rPr>
            </w:pPr>
            <w:r>
              <w:rPr>
                <w:rFonts w:hint="eastAsia" w:ascii="宋体" w:hAnsi="宋体" w:eastAsia="宋体"/>
                <w:color w:val="000000"/>
                <w:sz w:val="24"/>
              </w:rPr>
              <w:t>图2</w:t>
            </w:r>
            <w:r>
              <w:rPr>
                <w:rFonts w:ascii="宋体" w:hAnsi="宋体" w:eastAsia="宋体"/>
                <w:color w:val="000000"/>
                <w:sz w:val="24"/>
              </w:rPr>
              <w:t>-1</w:t>
            </w:r>
            <w:r>
              <w:rPr>
                <w:rFonts w:hint="eastAsia" w:ascii="宋体" w:hAnsi="宋体" w:eastAsia="宋体"/>
                <w:color w:val="000000"/>
                <w:sz w:val="24"/>
              </w:rPr>
              <w:t xml:space="preserve">  技改前废水处理工艺流程</w:t>
            </w:r>
          </w:p>
          <w:p>
            <w:pPr>
              <w:spacing w:line="440" w:lineRule="exact"/>
              <w:rPr>
                <w:rFonts w:ascii="宋体" w:hAnsi="宋体" w:eastAsia="宋体"/>
                <w:color w:val="000000"/>
                <w:sz w:val="24"/>
              </w:rPr>
            </w:pPr>
            <w:r>
              <w:rPr>
                <w:rFonts w:ascii="宋体" w:hAnsi="宋体" w:eastAsia="宋体"/>
                <w:color w:val="000000"/>
                <w:sz w:val="24"/>
              </w:rPr>
              <w:t>2</w:t>
            </w:r>
            <w:r>
              <w:rPr>
                <w:rFonts w:hint="eastAsia" w:ascii="宋体" w:hAnsi="宋体" w:eastAsia="宋体"/>
                <w:color w:val="000000"/>
                <w:sz w:val="24"/>
              </w:rPr>
              <w:t>. 本项目技改后工艺流程：</w:t>
            </w:r>
          </w:p>
          <w:p>
            <w:pPr>
              <w:tabs>
                <w:tab w:val="left" w:pos="4752"/>
              </w:tabs>
              <w:spacing w:line="440" w:lineRule="exact"/>
              <w:ind w:firstLine="480" w:firstLineChars="200"/>
              <w:rPr>
                <w:rFonts w:ascii="宋体" w:hAnsi="宋体" w:eastAsia="宋体"/>
                <w:color w:val="000000"/>
                <w:sz w:val="24"/>
              </w:rPr>
            </w:pPr>
            <w:r>
              <w:rPr>
                <w:rFonts w:ascii="宋体" w:hAnsi="宋体" w:eastAsia="宋体"/>
                <w:color w:val="000000"/>
                <w:sz w:val="24"/>
              </w:rPr>
              <w:t>（1）</w:t>
            </w:r>
            <w:r>
              <w:rPr>
                <w:rFonts w:hint="eastAsia" w:ascii="宋体" w:hAnsi="宋体" w:eastAsia="宋体"/>
                <w:color w:val="000000"/>
                <w:sz w:val="24"/>
              </w:rPr>
              <w:t>中和站酸废水沉淀池出水和酸废水压滤机滤液一起进入PH调整池，对PH进行精确调节满足脱氮工艺需求后进入中和站出水调节池均质后用泵送入高架的脱氮废水调节池。脱氮废水调节池和厌氧、好氧池为架空式，沉淀池设置在地下；</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（2）脱氮废水调节池自流入脱氮池（厌氧池），进入脱氮池前和甲醇、磷酸进行混合，并有沉淀池污泥回流，利用池中的细菌将NO</w:t>
            </w:r>
            <w:r>
              <w:rPr>
                <w:rFonts w:hint="eastAsia" w:ascii="宋体" w:hAnsi="宋体" w:eastAsia="宋体"/>
                <w:color w:val="000000"/>
                <w:sz w:val="24"/>
                <w:vertAlign w:val="subscript"/>
              </w:rPr>
              <w:t>3</w:t>
            </w:r>
            <w:r>
              <w:rPr>
                <w:rFonts w:hint="eastAsia" w:ascii="宋体" w:hAnsi="宋体" w:eastAsia="宋体"/>
                <w:color w:val="000000"/>
                <w:sz w:val="24"/>
              </w:rPr>
              <w:t>-转化为N</w:t>
            </w:r>
            <w:r>
              <w:rPr>
                <w:rFonts w:hint="eastAsia" w:ascii="宋体" w:hAnsi="宋体" w:eastAsia="宋体"/>
                <w:color w:val="000000"/>
                <w:sz w:val="24"/>
                <w:vertAlign w:val="subscript"/>
              </w:rPr>
              <w:t>2</w:t>
            </w:r>
            <w:r>
              <w:rPr>
                <w:rFonts w:hint="eastAsia" w:ascii="宋体" w:hAnsi="宋体" w:eastAsia="宋体"/>
                <w:color w:val="000000"/>
                <w:sz w:val="24"/>
              </w:rPr>
              <w:t>，从而达到去除NO</w:t>
            </w:r>
            <w:r>
              <w:rPr>
                <w:rFonts w:hint="eastAsia" w:ascii="宋体" w:hAnsi="宋体" w:eastAsia="宋体"/>
                <w:color w:val="000000"/>
                <w:sz w:val="24"/>
                <w:vertAlign w:val="subscript"/>
              </w:rPr>
              <w:t>3</w:t>
            </w:r>
            <w:r>
              <w:rPr>
                <w:rFonts w:hint="eastAsia" w:ascii="宋体" w:hAnsi="宋体" w:eastAsia="宋体"/>
                <w:color w:val="000000"/>
                <w:sz w:val="24"/>
              </w:rPr>
              <w:t>-的目的。由于脱氮反应池中投加有富裕甲醇，其出水COD略高，需去除COD；</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3）脱氮池出水进入好氧池，通过细菌降低水中COD，并将水中的部分氨氮转化为硝态氮，好氧池通过鼓风机进行曝气用于好氧生化反应，好氧反应池出水进入沉淀池，沉淀物从废水中分离，沉积到沉淀池的泥斗中，沉淀池的出水进入排放水池，沉淀池污泥通过回流泵提升至脱氮池，另一部分通过渣浆泵输送至污泥浓缩池经浓缩处理后使用压滤机进行压滤脱水后送山西太钢不锈钢股份有限公司工业废水处理系统升级改造工程节水减排改造项目污泥处置设施制型煤，最终进入太钢150万吨不锈钢工程配套2×300兆瓦自备电厂焚烧。</w:t>
            </w:r>
          </w:p>
          <w:p>
            <w:pPr>
              <w:tabs>
                <w:tab w:val="left" w:pos="4752"/>
              </w:tabs>
              <w:spacing w:line="440" w:lineRule="exact"/>
              <w:ind w:firstLine="480" w:firstLineChars="200"/>
              <w:rPr>
                <w:rFonts w:ascii="宋体" w:hAnsi="宋体" w:eastAsia="宋体"/>
                <w:color w:val="000000"/>
                <w:sz w:val="24"/>
              </w:rPr>
            </w:pPr>
            <w:r>
              <w:rPr>
                <w:rFonts w:hint="eastAsia" w:ascii="宋体" w:hAnsi="宋体" w:eastAsia="宋体"/>
                <w:color w:val="000000"/>
                <w:sz w:val="24"/>
              </w:rPr>
              <w:t>（4）根据排放水池的出水水质合格水经泵提升至太钢全厂污水总排口深度处理站进一步处理，不合格水回流至脱氮调节池进一步脱氮。</w:t>
            </w:r>
          </w:p>
          <w:p>
            <w:pPr>
              <w:tabs>
                <w:tab w:val="left" w:pos="4752"/>
              </w:tabs>
              <w:spacing w:line="440" w:lineRule="exact"/>
              <w:ind w:firstLine="482" w:firstLineChars="200"/>
              <w:rPr>
                <w:rFonts w:ascii="宋体" w:hAnsi="宋体" w:eastAsia="宋体"/>
                <w:color w:val="000000"/>
                <w:sz w:val="24"/>
              </w:rPr>
            </w:pPr>
            <w:r>
              <w:rPr>
                <w:rFonts w:ascii="宋体" w:hAnsi="宋体" w:eastAsia="宋体" w:cs="Times New Roman"/>
                <w:b/>
                <w:color w:val="000000"/>
                <w:sz w:val="24"/>
                <w:szCs w:val="22"/>
                <w:lang w:val="en-US" w:eastAsia="zh-CN" w:bidi="ar-SA"/>
              </w:rPr>
              <w:pict>
                <v:shape id="图片 15" o:spid="_x0000_s1038" type="#_x0000_t75" style="position:absolute;left:0;margin-left:6.95pt;margin-top:43.65pt;height:318.9pt;width:415.3pt;mso-wrap-distance-bottom:0pt;mso-wrap-distance-top:0pt;rotation:0f;z-index:251660288;" o:ole="f" fillcolor="#FFFFFF" filled="f" o:preferrelative="t" stroked="f" coordorigin="0,0" coordsize="21600,21600">
                  <v:fill on="f" color2="#FFFFFF" focus="0%"/>
                  <v:imagedata cropleft="3457f" croptop="5455f" cropright="6549f" cropbottom="24523f" gain="65536f" blacklevel="0f" gamma="0" o:title="" r:id="rId25"/>
                  <o:lock v:ext="edit" position="f" selection="f" grouping="f" rotation="f" cropping="f" text="f" aspectratio="t"/>
                  <w10:wrap type="topAndBottom"/>
                </v:shape>
              </w:pict>
            </w:r>
            <w:r>
              <w:rPr>
                <w:rFonts w:hint="eastAsia" w:ascii="宋体" w:hAnsi="宋体" w:eastAsia="宋体"/>
                <w:color w:val="000000"/>
                <w:sz w:val="24"/>
              </w:rPr>
              <w:t>本项目采用A/O处理工艺，项目工艺流程及产污环节见下图：</w:t>
            </w:r>
          </w:p>
          <w:p>
            <w:pPr>
              <w:pStyle w:val="93"/>
              <w:adjustRightInd/>
              <w:spacing w:before="0" w:after="0" w:line="460" w:lineRule="exact"/>
              <w:textAlignment w:val="auto"/>
              <w:rPr>
                <w:rFonts w:ascii="宋体" w:hAnsi="宋体"/>
                <w:b w:val="0"/>
                <w:color w:val="000000"/>
                <w:szCs w:val="22"/>
              </w:rPr>
            </w:pPr>
            <w:r>
              <w:rPr>
                <w:rFonts w:ascii="宋体" w:hAnsi="宋体"/>
                <w:b w:val="0"/>
                <w:color w:val="000000"/>
                <w:szCs w:val="22"/>
              </w:rPr>
              <w:t>图</w:t>
            </w:r>
            <w:r>
              <w:rPr>
                <w:rFonts w:hint="eastAsia" w:ascii="宋体" w:hAnsi="宋体"/>
                <w:b w:val="0"/>
                <w:color w:val="000000"/>
                <w:szCs w:val="22"/>
              </w:rPr>
              <w:t>2</w:t>
            </w:r>
            <w:r>
              <w:rPr>
                <w:rFonts w:ascii="宋体" w:hAnsi="宋体"/>
                <w:b w:val="0"/>
                <w:color w:val="000000"/>
                <w:szCs w:val="22"/>
              </w:rPr>
              <w:t xml:space="preserve">-2  </w:t>
            </w:r>
            <w:r>
              <w:rPr>
                <w:rFonts w:hint="eastAsia" w:ascii="宋体" w:hAnsi="宋体"/>
                <w:b w:val="0"/>
                <w:color w:val="000000"/>
                <w:szCs w:val="22"/>
              </w:rPr>
              <w:t>技改后</w:t>
            </w:r>
            <w:r>
              <w:rPr>
                <w:rFonts w:ascii="宋体" w:hAnsi="宋体"/>
                <w:b w:val="0"/>
                <w:color w:val="000000"/>
                <w:szCs w:val="22"/>
              </w:rPr>
              <w:t>工艺流程图</w:t>
            </w:r>
            <w:r>
              <w:rPr>
                <w:rFonts w:hint="eastAsia" w:ascii="宋体" w:hAnsi="宋体"/>
                <w:b w:val="0"/>
                <w:color w:val="000000"/>
                <w:szCs w:val="22"/>
              </w:rPr>
              <w:t>及产污环节</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产污环节：</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（1）大气污染源</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本项目产生的污染气体主要是含有氨和硫化氢的恶臭，项目可能产生恶臭的有厌氧池、好氧池、污泥浓缩池、污泥压滤间等；</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（2）水污染源</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本项目运营期废水主要是职工生活污水，职工生活污水通过生活污水管网进入太钢生活污水处理站处理；</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（3）噪声</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本项目主要噪声是运转设备的噪声，主要噪声源有污泥压滤机、水泵、污泥泵、鼓风机等。</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（4）固体废物</w:t>
            </w:r>
          </w:p>
          <w:p>
            <w:pPr>
              <w:spacing w:line="440" w:lineRule="exact"/>
              <w:ind w:firstLine="480" w:firstLineChars="200"/>
              <w:rPr>
                <w:rFonts w:ascii="宋体" w:hAnsi="宋体" w:eastAsia="宋体"/>
                <w:color w:val="000000"/>
                <w:sz w:val="24"/>
              </w:rPr>
            </w:pPr>
            <w:r>
              <w:rPr>
                <w:rFonts w:hint="eastAsia" w:ascii="宋体" w:hAnsi="宋体" w:eastAsia="宋体"/>
                <w:color w:val="000000"/>
                <w:sz w:val="24"/>
              </w:rPr>
              <w:t>固体废物包括职工生活垃圾、污泥。</w:t>
            </w:r>
          </w:p>
          <w:p>
            <w:pPr>
              <w:widowControl w:val="0"/>
              <w:adjustRightInd/>
              <w:snapToGrid/>
              <w:spacing w:after="0" w:line="440" w:lineRule="exact"/>
              <w:ind w:firstLine="480" w:firstLineChars="200"/>
              <w:jc w:val="both"/>
              <w:rPr>
                <w:rFonts w:ascii="宋体" w:hAnsi="宋体" w:eastAsia="宋体"/>
                <w:color w:val="000000"/>
                <w:sz w:val="24"/>
              </w:rPr>
            </w:pPr>
          </w:p>
        </w:tc>
      </w:tr>
    </w:tbl>
    <w:p>
      <w:pPr>
        <w:pStyle w:val="56"/>
        <w:numPr>
          <w:ilvl w:val="0"/>
          <w:numId w:val="0"/>
        </w:numPr>
        <w:tabs>
          <w:tab w:val="left" w:pos="2760"/>
        </w:tabs>
        <w:spacing w:line="360" w:lineRule="auto"/>
        <w:jc w:val="both"/>
        <w:rPr>
          <w:rFonts w:ascii="仿宋" w:hAnsi="仿宋" w:eastAsia="仿宋" w:cs="宋体"/>
          <w:color w:val="000000"/>
          <w:sz w:val="24"/>
          <w:szCs w:val="24"/>
        </w:rPr>
      </w:pPr>
      <w:bookmarkStart w:id="3" w:name="_Toc17999551"/>
      <w:r>
        <w:rPr>
          <w:rFonts w:hint="eastAsia" w:ascii="仿宋" w:hAnsi="仿宋" w:eastAsia="仿宋" w:cs="宋体"/>
          <w:color w:val="000000"/>
          <w:sz w:val="24"/>
          <w:szCs w:val="24"/>
        </w:rPr>
        <w:t>表三  主要污染源及污染物处理排放情况</w:t>
      </w:r>
      <w:bookmarkEnd w:id="3"/>
    </w:p>
    <w:tbl>
      <w:tblPr>
        <w:tblStyle w:val="43"/>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421" w:hRule="atLeast"/>
        </w:trPr>
        <w:tc>
          <w:tcPr>
            <w:tcW w:w="8522" w:type="dxa"/>
            <w:vAlign w:val="top"/>
          </w:tcPr>
          <w:p>
            <w:pPr>
              <w:spacing w:before="240" w:beforeLines="100" w:after="0" w:line="360" w:lineRule="auto"/>
              <w:rPr>
                <w:rFonts w:ascii="Times New Roman" w:hAnsi="Times New Roman" w:eastAsia="宋体"/>
                <w:b/>
                <w:color w:val="000000"/>
                <w:sz w:val="24"/>
                <w:szCs w:val="24"/>
              </w:rPr>
            </w:pPr>
            <w:r>
              <w:rPr>
                <w:rFonts w:hint="eastAsia" w:ascii="宋体" w:hAnsi="宋体" w:eastAsia="宋体"/>
                <w:b/>
                <w:color w:val="000000"/>
                <w:sz w:val="24"/>
                <w:szCs w:val="24"/>
              </w:rPr>
              <w:t>1、</w:t>
            </w:r>
            <w:r>
              <w:rPr>
                <w:rFonts w:ascii="宋体" w:hAnsi="宋体" w:eastAsia="宋体"/>
                <w:b/>
                <w:color w:val="000000"/>
                <w:sz w:val="24"/>
                <w:szCs w:val="24"/>
              </w:rPr>
              <w:t>废</w:t>
            </w:r>
            <w:r>
              <w:rPr>
                <w:rFonts w:hint="eastAsia" w:ascii="宋体" w:hAnsi="宋体" w:eastAsia="宋体"/>
                <w:b/>
                <w:color w:val="000000"/>
                <w:sz w:val="24"/>
                <w:szCs w:val="24"/>
              </w:rPr>
              <w:t>气来源及处</w:t>
            </w:r>
            <w:r>
              <w:rPr>
                <w:rFonts w:ascii="宋体" w:hAnsi="宋体" w:eastAsia="宋体"/>
                <w:b/>
                <w:color w:val="000000"/>
                <w:sz w:val="24"/>
                <w:szCs w:val="24"/>
              </w:rPr>
              <w:t>理</w:t>
            </w:r>
            <w:r>
              <w:rPr>
                <w:rFonts w:hint="eastAsia" w:ascii="宋体" w:hAnsi="宋体" w:eastAsia="宋体"/>
                <w:b/>
                <w:color w:val="000000"/>
                <w:sz w:val="24"/>
                <w:szCs w:val="24"/>
              </w:rPr>
              <w:t>情况</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生化反应池恶臭主要来自于厌氧池厌氧反应产生的恶臭气体。污泥产生的恶臭主要有污泥浓缩池和污泥处理系统。污泥池是硫化氢散发浓度最高的处理构筑物。</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本项目厌氧池、污泥脱水间、污泥浓缩池产生恶臭，本项目处理的废水主要是太钢能源动力总厂中和后的工业水，废水中有机物含量极少且中和站出水PH值为中性，恶臭产生量极少可忽略不计。恶臭废气均为无组织排放。</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在生化反应池、污泥浓缩池上方设置植物液喷雾除臭装置定期喷洒植物液进行除臭。厌氧池加盖进行密闭措施。</w:t>
            </w:r>
          </w:p>
          <w:p>
            <w:pPr>
              <w:spacing w:before="240" w:beforeLines="100" w:after="0" w:line="360" w:lineRule="auto"/>
              <w:rPr>
                <w:rFonts w:ascii="宋体" w:hAnsi="宋体" w:eastAsia="宋体"/>
                <w:b/>
                <w:color w:val="000000"/>
                <w:sz w:val="24"/>
                <w:szCs w:val="24"/>
              </w:rPr>
            </w:pPr>
            <w:r>
              <w:rPr>
                <w:rFonts w:hint="eastAsia" w:ascii="宋体" w:hAnsi="宋体" w:eastAsia="宋体"/>
                <w:b/>
                <w:color w:val="000000"/>
                <w:sz w:val="24"/>
                <w:szCs w:val="24"/>
              </w:rPr>
              <w:t>2、废水处理情况</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本项目污泥压滤机压滤废水收集后返回污水处理设施脱氮处理，污水处理设施处理后尾水排至太钢总排口深度处理站处理，项目出水水质满足太钢总排口污水处理厂出水水质要求，项目处理污水经太钢总排口污水处理设施处理后达标排放，对地表水环境影响较小。项目技改前后废水排放量不变。</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生活污水进入太钢厂区生活污水管网送至生活污水处理设施处理后，再经膜处理后回用于太钢的生产系统。</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本项目废水主要为职工日常生活产生的生活污水。生活污水主要为日常办公食堂污水，产生量为1.6m</w:t>
            </w:r>
            <w:r>
              <w:rPr>
                <w:rFonts w:ascii="Times New Roman" w:hAnsi="Times New Roman"/>
                <w:color w:val="000000"/>
                <w:vertAlign w:val="superscript"/>
              </w:rPr>
              <w:t>3</w:t>
            </w:r>
            <w:r>
              <w:rPr>
                <w:rFonts w:hint="eastAsia" w:ascii="Times New Roman" w:hAnsi="宋体" w:eastAsia="宋体"/>
                <w:color w:val="000000"/>
                <w:spacing w:val="4"/>
                <w:kern w:val="2"/>
                <w:sz w:val="24"/>
                <w:szCs w:val="24"/>
              </w:rPr>
              <w:t>/d。职工生活污水经生活污水管网收集后送太钢生活污水处理设施处理。</w:t>
            </w:r>
          </w:p>
          <w:p>
            <w:pPr>
              <w:spacing w:before="240" w:beforeLines="100" w:after="0" w:line="360" w:lineRule="auto"/>
              <w:rPr>
                <w:rFonts w:ascii="宋体" w:hAnsi="宋体" w:eastAsia="宋体"/>
                <w:b/>
                <w:color w:val="000000"/>
                <w:sz w:val="24"/>
                <w:szCs w:val="24"/>
              </w:rPr>
            </w:pPr>
            <w:r>
              <w:rPr>
                <w:rFonts w:hint="eastAsia" w:ascii="宋体" w:hAnsi="宋体" w:eastAsia="宋体"/>
                <w:b/>
                <w:color w:val="000000"/>
                <w:sz w:val="24"/>
                <w:szCs w:val="24"/>
              </w:rPr>
              <w:t>3、</w:t>
            </w:r>
            <w:r>
              <w:rPr>
                <w:rFonts w:ascii="宋体" w:hAnsi="宋体" w:eastAsia="宋体"/>
                <w:b/>
                <w:color w:val="000000"/>
                <w:sz w:val="24"/>
                <w:szCs w:val="24"/>
              </w:rPr>
              <w:t>固体废物</w:t>
            </w:r>
            <w:r>
              <w:rPr>
                <w:rFonts w:hint="eastAsia" w:ascii="宋体" w:hAnsi="宋体" w:eastAsia="宋体"/>
                <w:b/>
                <w:color w:val="000000"/>
                <w:sz w:val="24"/>
                <w:szCs w:val="24"/>
              </w:rPr>
              <w:t>来源及处</w:t>
            </w:r>
            <w:r>
              <w:rPr>
                <w:rFonts w:ascii="宋体" w:hAnsi="宋体" w:eastAsia="宋体"/>
                <w:b/>
                <w:color w:val="000000"/>
                <w:sz w:val="24"/>
                <w:szCs w:val="24"/>
              </w:rPr>
              <w:t>理</w:t>
            </w:r>
            <w:r>
              <w:rPr>
                <w:rFonts w:hint="eastAsia" w:ascii="宋体" w:hAnsi="宋体" w:eastAsia="宋体"/>
                <w:b/>
                <w:color w:val="000000"/>
                <w:sz w:val="24"/>
                <w:szCs w:val="24"/>
              </w:rPr>
              <w:t>情况</w:t>
            </w:r>
          </w:p>
          <w:p>
            <w:pPr>
              <w:spacing w:after="0" w:line="360" w:lineRule="auto"/>
              <w:ind w:firstLine="480"/>
              <w:rPr>
                <w:rFonts w:ascii="宋体" w:hAnsi="宋体" w:eastAsia="宋体"/>
                <w:color w:val="000000"/>
                <w:sz w:val="24"/>
                <w:szCs w:val="24"/>
              </w:rPr>
            </w:pPr>
            <w:r>
              <w:rPr>
                <w:rFonts w:hint="eastAsia" w:ascii="宋体" w:hAnsi="宋体" w:eastAsia="宋体"/>
                <w:color w:val="000000"/>
                <w:sz w:val="24"/>
                <w:szCs w:val="24"/>
              </w:rPr>
              <w:t>（1）固体废物的产生量</w:t>
            </w:r>
          </w:p>
          <w:p>
            <w:pPr>
              <w:spacing w:after="0" w:line="360" w:lineRule="auto"/>
              <w:ind w:firstLine="600" w:firstLineChars="250"/>
              <w:rPr>
                <w:rFonts w:ascii="宋体" w:hAnsi="宋体" w:eastAsia="宋体"/>
                <w:color w:val="000000"/>
                <w:sz w:val="24"/>
                <w:szCs w:val="24"/>
              </w:rPr>
            </w:pPr>
            <w:r>
              <w:rPr>
                <w:rFonts w:hint="eastAsia" w:ascii="宋体" w:hAnsi="宋体" w:eastAsia="宋体"/>
                <w:color w:val="000000"/>
                <w:sz w:val="24"/>
                <w:szCs w:val="24"/>
              </w:rPr>
              <w:t>本项目对中和站处理污水脱氮处理，脱氮处理过程中产生的固体废物主要是沉淀池污泥，产生量约为0.</w:t>
            </w:r>
            <w:r>
              <w:rPr>
                <w:rFonts w:ascii="宋体" w:hAnsi="宋体" w:eastAsia="宋体"/>
                <w:color w:val="000000"/>
                <w:sz w:val="24"/>
                <w:szCs w:val="24"/>
              </w:rPr>
              <w:t>9</w:t>
            </w:r>
            <w:r>
              <w:rPr>
                <w:rFonts w:hint="eastAsia" w:ascii="宋体" w:hAnsi="宋体" w:eastAsia="宋体"/>
                <w:color w:val="000000"/>
                <w:sz w:val="24"/>
                <w:szCs w:val="24"/>
              </w:rPr>
              <w:t>万t/a。</w:t>
            </w:r>
          </w:p>
          <w:p>
            <w:pPr>
              <w:spacing w:after="0" w:line="360" w:lineRule="auto"/>
              <w:ind w:firstLine="600" w:firstLineChars="250"/>
              <w:rPr>
                <w:rFonts w:ascii="宋体" w:hAnsi="宋体" w:eastAsia="宋体"/>
                <w:color w:val="000000"/>
                <w:sz w:val="24"/>
                <w:szCs w:val="24"/>
              </w:rPr>
            </w:pPr>
            <w:r>
              <w:rPr>
                <w:rFonts w:hint="eastAsia" w:ascii="宋体" w:hAnsi="宋体" w:eastAsia="宋体"/>
                <w:color w:val="000000"/>
                <w:sz w:val="24"/>
                <w:szCs w:val="24"/>
              </w:rPr>
              <w:t>职工生活垃圾产生量约为0.5kg/人·d，项目新增劳动定员17人。则生活垃圾产生量为</w:t>
            </w:r>
            <w:r>
              <w:rPr>
                <w:rFonts w:ascii="宋体" w:hAnsi="宋体" w:eastAsia="宋体"/>
                <w:color w:val="000000"/>
                <w:sz w:val="24"/>
                <w:szCs w:val="24"/>
              </w:rPr>
              <w:t>2.8</w:t>
            </w:r>
            <w:r>
              <w:rPr>
                <w:rFonts w:hint="eastAsia" w:ascii="宋体" w:hAnsi="宋体" w:eastAsia="宋体"/>
                <w:color w:val="000000"/>
                <w:sz w:val="24"/>
                <w:szCs w:val="24"/>
              </w:rPr>
              <w:t>t/a。生活垃圾主要成分为废纸屑、废办公用品、果皮等。</w:t>
            </w:r>
          </w:p>
          <w:p>
            <w:pPr>
              <w:spacing w:after="0" w:line="360" w:lineRule="auto"/>
              <w:ind w:firstLine="480"/>
              <w:rPr>
                <w:rFonts w:ascii="宋体" w:hAnsi="宋体" w:eastAsia="宋体"/>
                <w:color w:val="000000"/>
                <w:sz w:val="24"/>
                <w:szCs w:val="24"/>
              </w:rPr>
            </w:pPr>
            <w:r>
              <w:rPr>
                <w:rFonts w:hint="eastAsia" w:ascii="宋体" w:hAnsi="宋体" w:eastAsia="宋体"/>
                <w:color w:val="000000"/>
                <w:sz w:val="24"/>
                <w:szCs w:val="24"/>
              </w:rPr>
              <w:t>（2）固体废物处置方式</w:t>
            </w:r>
          </w:p>
          <w:p>
            <w:pPr>
              <w:spacing w:after="0" w:line="360" w:lineRule="auto"/>
              <w:ind w:firstLine="480"/>
              <w:rPr>
                <w:rFonts w:ascii="宋体" w:hAnsi="宋体" w:eastAsia="宋体"/>
                <w:color w:val="000000"/>
                <w:sz w:val="24"/>
                <w:szCs w:val="24"/>
              </w:rPr>
            </w:pPr>
            <w:r>
              <w:rPr>
                <w:rFonts w:hint="eastAsia" w:ascii="宋体" w:hAnsi="宋体" w:eastAsia="宋体"/>
                <w:color w:val="000000"/>
                <w:sz w:val="24"/>
                <w:szCs w:val="24"/>
              </w:rPr>
              <w:t>本项目污泥首先排至污泥浓缩池进行浓缩以降低污泥含水率及体积便于后续污泥处理。浓缩后污泥送至污泥压滤间使用板框压滤机进行压滤脱水。压滤后泥饼每天进行清运送</w:t>
            </w:r>
            <w:r>
              <w:rPr>
                <w:rFonts w:hint="eastAsia" w:ascii="宋体" w:hAnsi="宋体" w:eastAsia="宋体"/>
                <w:bCs/>
                <w:color w:val="000000"/>
                <w:sz w:val="24"/>
                <w:szCs w:val="24"/>
              </w:rPr>
              <w:t>“</w:t>
            </w:r>
            <w:r>
              <w:rPr>
                <w:rFonts w:hint="eastAsia" w:ascii="宋体" w:hAnsi="宋体" w:eastAsia="宋体"/>
                <w:color w:val="000000"/>
                <w:sz w:val="24"/>
                <w:szCs w:val="24"/>
              </w:rPr>
              <w:t>山西太钢不锈钢股份有限公司工业废水处理系统升级改造工程节水减排改造项目</w:t>
            </w:r>
            <w:r>
              <w:rPr>
                <w:rFonts w:hint="eastAsia" w:ascii="宋体" w:hAnsi="宋体" w:eastAsia="宋体"/>
                <w:bCs/>
                <w:color w:val="000000"/>
                <w:sz w:val="24"/>
                <w:szCs w:val="24"/>
              </w:rPr>
              <w:t>”</w:t>
            </w:r>
            <w:r>
              <w:rPr>
                <w:rFonts w:hint="eastAsia" w:ascii="宋体" w:hAnsi="宋体" w:eastAsia="宋体"/>
                <w:color w:val="000000"/>
                <w:sz w:val="24"/>
                <w:szCs w:val="24"/>
              </w:rPr>
              <w:t>污泥处理设施制型煤后送太钢2</w:t>
            </w:r>
            <w:r>
              <w:rPr>
                <w:rFonts w:ascii="Times New Roman" w:hAnsi="Times New Roman" w:eastAsia="宋体"/>
                <w:color w:val="000000"/>
                <w:sz w:val="24"/>
                <w:szCs w:val="24"/>
              </w:rPr>
              <w:t>×</w:t>
            </w:r>
            <w:r>
              <w:rPr>
                <w:rFonts w:hint="eastAsia" w:ascii="宋体" w:hAnsi="宋体" w:eastAsia="宋体"/>
                <w:color w:val="000000"/>
                <w:sz w:val="24"/>
                <w:szCs w:val="24"/>
              </w:rPr>
              <w:t>300MW燃煤机组混入电煤进行焚烧处理。压滤废水经压滤废水收集池收集后返回污水处理系统处理。</w:t>
            </w:r>
          </w:p>
          <w:p>
            <w:pPr>
              <w:spacing w:after="0" w:line="360" w:lineRule="auto"/>
              <w:rPr>
                <w:rFonts w:ascii="宋体" w:hAnsi="宋体" w:eastAsia="宋体"/>
                <w:b/>
                <w:color w:val="000000"/>
                <w:sz w:val="24"/>
                <w:szCs w:val="24"/>
              </w:rPr>
            </w:pPr>
            <w:r>
              <w:rPr>
                <w:rFonts w:hint="eastAsia" w:ascii="宋体" w:hAnsi="宋体" w:eastAsia="宋体"/>
                <w:b/>
                <w:color w:val="000000"/>
                <w:sz w:val="24"/>
                <w:szCs w:val="24"/>
              </w:rPr>
              <w:t>4、</w:t>
            </w:r>
            <w:r>
              <w:rPr>
                <w:rFonts w:ascii="宋体" w:hAnsi="宋体" w:eastAsia="宋体"/>
                <w:b/>
                <w:color w:val="000000"/>
                <w:sz w:val="24"/>
                <w:szCs w:val="24"/>
              </w:rPr>
              <w:t>噪声</w:t>
            </w:r>
            <w:r>
              <w:rPr>
                <w:rFonts w:hint="eastAsia" w:ascii="宋体" w:hAnsi="宋体" w:eastAsia="宋体"/>
                <w:b/>
                <w:color w:val="000000"/>
                <w:sz w:val="24"/>
                <w:szCs w:val="24"/>
              </w:rPr>
              <w:t>来源及治理情况</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(1)噪声源强</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本项目高噪声设备主要为污水处理厂鼓风机、污泥压滤机、搅拌机、各种泵类以及污水提升泵站提升泵等，噪声源强在75－100dB(A)之间，其噪声源强及防治措施见表21。经采取减振、隔声等措施后，预测各厂界噪声符合《工业企业厂界环境噪声排放标准》（GB12348－2008）3类标准要求。</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（2）噪声防治措施</w:t>
            </w:r>
          </w:p>
          <w:p>
            <w:pPr>
              <w:spacing w:after="0" w:line="360" w:lineRule="auto"/>
              <w:ind w:firstLine="470" w:firstLineChars="196"/>
              <w:rPr>
                <w:rFonts w:ascii="宋体" w:hAnsi="宋体" w:eastAsia="宋体"/>
                <w:color w:val="000000"/>
                <w:sz w:val="24"/>
                <w:szCs w:val="24"/>
              </w:rPr>
            </w:pPr>
            <w:r>
              <w:rPr>
                <w:rFonts w:hint="eastAsia" w:ascii="宋体" w:hAnsi="宋体" w:eastAsia="宋体"/>
                <w:bCs/>
                <w:color w:val="000000"/>
                <w:sz w:val="24"/>
                <w:szCs w:val="24"/>
              </w:rPr>
              <w:t>污水处理厂内噪声较大的设备如污水泵、污泥泵、空气压缩机等均设在室内，经墙体隔声后，传播到外环境的噪声有所衰减，本项目位于太钢厂区</w:t>
            </w:r>
            <w:r>
              <w:rPr>
                <w:rFonts w:hint="eastAsia" w:ascii="宋体" w:hAnsi="宋体" w:eastAsia="宋体"/>
                <w:color w:val="000000"/>
                <w:sz w:val="24"/>
                <w:szCs w:val="24"/>
              </w:rPr>
              <w:t>内，周围敏感目标均在300m以外，经过建筑隔声以及基础减震等措施后工程运行期噪声对周围环境影响较小。</w:t>
            </w:r>
          </w:p>
          <w:p>
            <w:pPr>
              <w:jc w:val="center"/>
              <w:rPr>
                <w:rFonts w:ascii="宋体" w:hAnsi="宋体" w:eastAsia="宋体"/>
                <w:color w:val="000000"/>
              </w:rPr>
            </w:pPr>
            <w:r>
              <w:rPr>
                <w:rFonts w:hint="eastAsia" w:ascii="宋体" w:hAnsi="宋体" w:eastAsia="宋体"/>
                <w:color w:val="000000"/>
              </w:rPr>
              <w:t>表3</w:t>
            </w:r>
            <w:r>
              <w:rPr>
                <w:rFonts w:ascii="宋体" w:hAnsi="宋体" w:eastAsia="宋体"/>
                <w:color w:val="000000"/>
              </w:rPr>
              <w:t xml:space="preserve">-1 </w:t>
            </w:r>
            <w:r>
              <w:rPr>
                <w:rFonts w:hint="eastAsia" w:ascii="宋体" w:hAnsi="宋体" w:eastAsia="宋体"/>
                <w:color w:val="000000"/>
              </w:rPr>
              <w:t xml:space="preserve"> 设备噪声及放置措施</w:t>
            </w:r>
          </w:p>
          <w:tbl>
            <w:tblPr>
              <w:tblStyle w:val="43"/>
              <w:tblW w:w="7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1687"/>
              <w:gridCol w:w="1741"/>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主要噪声设备</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治理前dB(A)</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治理后dB(A)</w:t>
                  </w:r>
                </w:p>
              </w:tc>
              <w:tc>
                <w:tcPr>
                  <w:tcW w:w="2792"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轴流风机</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80</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65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安装在室内并安装减振设施，风机房设置隔音门窗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潜污泵</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95-100</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75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安装防震和消声罩，并安装在室内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鼓风机</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90-95</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75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安装在室内，基础减震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污泥搅拌机</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75-80</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65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墙体隔声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污泥压滤机</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80-85</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65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6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空气压缩机</w:t>
                  </w:r>
                </w:p>
              </w:tc>
              <w:tc>
                <w:tcPr>
                  <w:tcW w:w="1687"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85</w:t>
                  </w:r>
                </w:p>
              </w:tc>
              <w:tc>
                <w:tcPr>
                  <w:tcW w:w="1741" w:type="dxa"/>
                  <w:vAlign w:val="center"/>
                </w:tcPr>
                <w:p>
                  <w:pPr>
                    <w:spacing w:after="0" w:line="360" w:lineRule="auto"/>
                    <w:jc w:val="center"/>
                    <w:rPr>
                      <w:rFonts w:ascii="Times New Roman" w:hAnsi="Times New Roman" w:eastAsia="宋体"/>
                      <w:bCs/>
                      <w:color w:val="000000"/>
                      <w:sz w:val="24"/>
                      <w:szCs w:val="24"/>
                    </w:rPr>
                  </w:pPr>
                  <w:r>
                    <w:rPr>
                      <w:rFonts w:ascii="Times New Roman" w:hAnsi="Times New Roman" w:eastAsia="宋体"/>
                      <w:bCs/>
                      <w:color w:val="000000"/>
                      <w:sz w:val="24"/>
                      <w:szCs w:val="24"/>
                    </w:rPr>
                    <w:t>65</w:t>
                  </w:r>
                </w:p>
              </w:tc>
              <w:tc>
                <w:tcPr>
                  <w:tcW w:w="2792" w:type="dxa"/>
                  <w:vAlign w:val="center"/>
                </w:tcPr>
                <w:p>
                  <w:pPr>
                    <w:spacing w:after="0"/>
                    <w:jc w:val="center"/>
                    <w:rPr>
                      <w:rFonts w:ascii="Times New Roman" w:hAnsi="Times New Roman" w:eastAsia="宋体"/>
                      <w:bCs/>
                      <w:color w:val="000000"/>
                      <w:sz w:val="24"/>
                      <w:szCs w:val="24"/>
                    </w:rPr>
                  </w:pPr>
                  <w:r>
                    <w:rPr>
                      <w:rFonts w:ascii="Times New Roman" w:hAnsi="Times New Roman" w:eastAsia="宋体"/>
                      <w:bCs/>
                      <w:color w:val="000000"/>
                      <w:sz w:val="24"/>
                      <w:szCs w:val="24"/>
                    </w:rPr>
                    <w:t>厂房隔声、基础减震</w:t>
                  </w:r>
                </w:p>
              </w:tc>
            </w:tr>
          </w:tbl>
          <w:p>
            <w:pPr>
              <w:rPr>
                <w:rFonts w:ascii="宋体" w:hAnsi="宋体" w:eastAsia="宋体"/>
                <w:color w:val="000000"/>
              </w:rPr>
            </w:pPr>
          </w:p>
          <w:p>
            <w:pPr>
              <w:spacing w:after="0" w:line="360" w:lineRule="auto"/>
              <w:rPr>
                <w:rFonts w:ascii="宋体" w:hAnsi="宋体" w:eastAsia="宋体"/>
                <w:b/>
                <w:color w:val="000000"/>
                <w:sz w:val="24"/>
                <w:szCs w:val="24"/>
              </w:rPr>
            </w:pPr>
            <w:r>
              <w:rPr>
                <w:rFonts w:ascii="宋体" w:hAnsi="宋体" w:eastAsia="宋体"/>
                <w:b/>
                <w:color w:val="000000"/>
                <w:sz w:val="24"/>
                <w:szCs w:val="24"/>
              </w:rPr>
              <w:t>5</w:t>
            </w:r>
            <w:r>
              <w:rPr>
                <w:rFonts w:hint="eastAsia" w:ascii="宋体" w:hAnsi="宋体" w:eastAsia="宋体"/>
                <w:b/>
                <w:color w:val="000000"/>
                <w:sz w:val="24"/>
                <w:szCs w:val="24"/>
              </w:rPr>
              <w:t>、防渗控制措施</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做好分区防渗工作，采取分区防渗的原则，将各个场地划分为重点防渗区、一般防渗区、简单防渗区，并采取相应的防渗措施，达到规定的防渗技术要求。</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①重点防渗区</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根据《环境影响评价技术导则地下水环境》（HJ610-2016），重点防渗区防渗层的防渗性能应等效黏土防渗层Mb≥6.0m，K&lt;10</w:t>
            </w:r>
            <w:r>
              <w:rPr>
                <w:rFonts w:hint="eastAsia" w:ascii="宋体" w:hAnsi="宋体" w:eastAsia="宋体"/>
                <w:bCs/>
                <w:color w:val="000000"/>
                <w:sz w:val="24"/>
                <w:szCs w:val="24"/>
                <w:vertAlign w:val="superscript"/>
              </w:rPr>
              <w:t>-7</w:t>
            </w:r>
            <w:r>
              <w:rPr>
                <w:rFonts w:hint="eastAsia" w:ascii="宋体" w:hAnsi="宋体" w:eastAsia="宋体"/>
                <w:bCs/>
                <w:color w:val="000000"/>
                <w:sz w:val="24"/>
                <w:szCs w:val="24"/>
              </w:rPr>
              <w:t>cm/s的防渗性能。</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本项目混凝土池体及储罐区围堰采用防渗钢筋混凝土，池体及围堰内表面涂刷水泥基渗透结晶型防水涂料（渗透系数不大于1.0×10</w:t>
            </w:r>
            <w:r>
              <w:rPr>
                <w:rFonts w:hint="eastAsia" w:ascii="宋体" w:hAnsi="宋体" w:eastAsia="宋体"/>
                <w:bCs/>
                <w:color w:val="000000"/>
                <w:sz w:val="24"/>
                <w:szCs w:val="24"/>
                <w:vertAlign w:val="superscript"/>
              </w:rPr>
              <w:t>-7</w:t>
            </w:r>
            <w:r>
              <w:rPr>
                <w:rFonts w:hint="eastAsia" w:ascii="宋体" w:hAnsi="宋体" w:eastAsia="宋体"/>
                <w:bCs/>
                <w:color w:val="000000"/>
                <w:sz w:val="24"/>
                <w:szCs w:val="24"/>
              </w:rPr>
              <w:t>cm/s)，池底及药剂储罐区基础采用“抗渗钢筋混凝土整体基础+素混凝土垫层+长丝无纺土工布+原土夯实”。</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混凝土强度等级为</w:t>
            </w:r>
            <w:r>
              <w:rPr>
                <w:rFonts w:ascii="宋体" w:hAnsi="宋体" w:eastAsia="宋体"/>
                <w:bCs/>
                <w:color w:val="000000"/>
                <w:sz w:val="24"/>
                <w:szCs w:val="24"/>
              </w:rPr>
              <w:t>C30</w:t>
            </w:r>
            <w:r>
              <w:rPr>
                <w:rFonts w:hint="eastAsia" w:ascii="宋体" w:hAnsi="宋体" w:eastAsia="宋体"/>
                <w:bCs/>
                <w:color w:val="000000"/>
                <w:sz w:val="24"/>
                <w:szCs w:val="24"/>
              </w:rPr>
              <w:t>，结构厚度</w:t>
            </w:r>
            <w:r>
              <w:rPr>
                <w:rFonts w:ascii="宋体" w:hAnsi="宋体" w:eastAsia="宋体"/>
                <w:bCs/>
                <w:color w:val="000000"/>
                <w:sz w:val="24"/>
                <w:szCs w:val="24"/>
              </w:rPr>
              <w:t>250mm</w:t>
            </w:r>
            <w:r>
              <w:rPr>
                <w:rFonts w:hint="eastAsia" w:ascii="宋体" w:hAnsi="宋体" w:eastAsia="宋体"/>
                <w:bCs/>
                <w:color w:val="000000"/>
                <w:sz w:val="24"/>
                <w:szCs w:val="24"/>
              </w:rPr>
              <w:t>，混凝土的抗渗等级不低于</w:t>
            </w:r>
            <w:r>
              <w:rPr>
                <w:rFonts w:ascii="宋体" w:hAnsi="宋体" w:eastAsia="宋体"/>
                <w:bCs/>
                <w:color w:val="000000"/>
                <w:sz w:val="24"/>
                <w:szCs w:val="24"/>
              </w:rPr>
              <w:t>P8</w:t>
            </w:r>
            <w:r>
              <w:rPr>
                <w:rFonts w:hint="eastAsia" w:ascii="宋体" w:hAnsi="宋体" w:eastAsia="宋体"/>
                <w:bCs/>
                <w:color w:val="000000"/>
                <w:sz w:val="24"/>
                <w:szCs w:val="24"/>
              </w:rPr>
              <w:t>，水泥基渗透结晶型防水涂料厚度为</w:t>
            </w:r>
            <w:r>
              <w:rPr>
                <w:rFonts w:ascii="宋体" w:hAnsi="宋体" w:eastAsia="宋体"/>
                <w:bCs/>
                <w:color w:val="000000"/>
                <w:sz w:val="24"/>
                <w:szCs w:val="24"/>
              </w:rPr>
              <w:t>1.0mm</w:t>
            </w:r>
            <w:r>
              <w:rPr>
                <w:rFonts w:hint="eastAsia" w:ascii="宋体" w:hAnsi="宋体" w:eastAsia="宋体"/>
                <w:bCs/>
                <w:color w:val="000000"/>
                <w:sz w:val="24"/>
                <w:szCs w:val="24"/>
              </w:rPr>
              <w:t>，水泥基渗透结晶型防水剂掺量为胶凝材料总量的</w:t>
            </w:r>
            <w:r>
              <w:rPr>
                <w:rFonts w:ascii="宋体" w:hAnsi="宋体" w:eastAsia="宋体"/>
                <w:bCs/>
                <w:color w:val="000000"/>
                <w:sz w:val="24"/>
                <w:szCs w:val="24"/>
              </w:rPr>
              <w:t>1%</w:t>
            </w:r>
            <w:r>
              <w:rPr>
                <w:rFonts w:hint="eastAsia" w:ascii="微软雅黑" w:hAnsi="微软雅黑" w:cs="微软雅黑"/>
                <w:bCs/>
                <w:color w:val="000000"/>
                <w:sz w:val="24"/>
                <w:szCs w:val="24"/>
              </w:rPr>
              <w:t>〜</w:t>
            </w:r>
            <w:r>
              <w:rPr>
                <w:rFonts w:ascii="宋体" w:hAnsi="宋体" w:eastAsia="宋体"/>
                <w:bCs/>
                <w:color w:val="000000"/>
                <w:sz w:val="24"/>
                <w:szCs w:val="24"/>
              </w:rPr>
              <w:t>2%</w:t>
            </w:r>
            <w:r>
              <w:rPr>
                <w:rFonts w:hint="eastAsia" w:ascii="宋体" w:hAnsi="宋体" w:eastAsia="宋体"/>
                <w:bCs/>
                <w:color w:val="000000"/>
                <w:sz w:val="24"/>
                <w:szCs w:val="24"/>
              </w:rPr>
              <w:t>。</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设计在涂刷防水涂料之前，水池进行满水试验，并进行隐蔽工程检查。</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水池及围堰的所有缝均设止水带，止水带采用氯丁橡胶止水带，施工缝采用镀伴钢板止水带。</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②一般防渗区</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根据《环境影响评价技术导则地下水环境》（HJ610-2016），一般防渗区防渗层的防渗性能应等效等效黏土防渗层Mb≥1.5m，K&lt;10</w:t>
            </w:r>
            <w:r>
              <w:rPr>
                <w:rFonts w:hint="eastAsia" w:ascii="宋体" w:hAnsi="宋体" w:eastAsia="宋体"/>
                <w:bCs/>
                <w:color w:val="000000"/>
                <w:sz w:val="24"/>
                <w:szCs w:val="24"/>
                <w:vertAlign w:val="superscript"/>
              </w:rPr>
              <w:t>-7</w:t>
            </w:r>
            <w:r>
              <w:rPr>
                <w:rFonts w:hint="eastAsia" w:ascii="宋体" w:hAnsi="宋体" w:eastAsia="宋体"/>
                <w:bCs/>
                <w:color w:val="000000"/>
                <w:sz w:val="24"/>
                <w:szCs w:val="24"/>
              </w:rPr>
              <w:t>cm/s的防渗性能。</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通过在抗渗混凝土面层（包括钢筋混凝土、钢纤维混凝土）中掺水泥基渗透结晶型防水剂，其下铺砌砂石基层，原土夯实达到防渗的目的。对于混凝土中间的伸缩缝和实体基础的缝隙，通过填充柔性材料达到防渗目的，渗透系数不大于1.0×</w:t>
            </w:r>
            <w:r>
              <w:rPr>
                <w:rFonts w:ascii="宋体" w:hAnsi="宋体" w:eastAsia="宋体"/>
                <w:bCs/>
                <w:color w:val="000000"/>
                <w:sz w:val="24"/>
                <w:szCs w:val="24"/>
              </w:rPr>
              <w:t>10</w:t>
            </w:r>
            <w:r>
              <w:rPr>
                <w:rFonts w:hint="eastAsia" w:ascii="宋体" w:hAnsi="宋体" w:eastAsia="宋体"/>
                <w:bCs/>
                <w:color w:val="000000"/>
                <w:sz w:val="24"/>
                <w:szCs w:val="24"/>
                <w:vertAlign w:val="superscript"/>
              </w:rPr>
              <w:t>-7</w:t>
            </w:r>
            <w:r>
              <w:rPr>
                <w:rFonts w:hint="eastAsia" w:ascii="宋体" w:hAnsi="宋体" w:eastAsia="宋体"/>
                <w:bCs/>
                <w:color w:val="000000"/>
                <w:sz w:val="24"/>
                <w:szCs w:val="24"/>
              </w:rPr>
              <w:t>cm/s；一般污染防治区抗渗混凝土的抗渗等级不低于P8，其厚度为100mm。</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排放水池结构厚度为250mm，混凝土的抗渗等级不低于P8。</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③简单防渗区</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运输道路、电气室、操作室等一般防渗区采取一般地面硬化措施。</w:t>
            </w:r>
          </w:p>
          <w:p>
            <w:pPr>
              <w:spacing w:after="0" w:line="360" w:lineRule="auto"/>
              <w:ind w:firstLine="470" w:firstLineChars="196"/>
              <w:rPr>
                <w:rFonts w:ascii="宋体" w:hAnsi="宋体" w:eastAsia="宋体"/>
                <w:bCs/>
                <w:color w:val="000000"/>
                <w:sz w:val="24"/>
                <w:szCs w:val="24"/>
              </w:rPr>
            </w:pPr>
            <w:r>
              <w:rPr>
                <w:rFonts w:hint="eastAsia" w:ascii="宋体" w:hAnsi="宋体" w:eastAsia="宋体"/>
                <w:bCs/>
                <w:color w:val="000000"/>
                <w:sz w:val="24"/>
                <w:szCs w:val="24"/>
              </w:rPr>
              <w:t>除重点污染防治区和一般污染防治区以外的其它建筑区，防渗技术要求需做一般地面硬化。项目分区防渗具体见下表：</w:t>
            </w:r>
          </w:p>
          <w:p>
            <w:pPr>
              <w:spacing w:after="0" w:line="360" w:lineRule="auto"/>
              <w:ind w:firstLine="470" w:firstLineChars="196"/>
              <w:jc w:val="center"/>
              <w:rPr>
                <w:rFonts w:ascii="宋体" w:hAnsi="宋体" w:eastAsia="宋体"/>
                <w:bCs/>
                <w:color w:val="000000"/>
                <w:sz w:val="24"/>
                <w:szCs w:val="24"/>
              </w:rPr>
            </w:pPr>
          </w:p>
          <w:p>
            <w:pPr>
              <w:spacing w:after="0" w:line="360" w:lineRule="auto"/>
              <w:ind w:firstLine="470" w:firstLineChars="196"/>
              <w:jc w:val="center"/>
              <w:rPr>
                <w:rFonts w:ascii="宋体" w:hAnsi="宋体" w:eastAsia="宋体"/>
                <w:bCs/>
                <w:color w:val="000000"/>
                <w:sz w:val="24"/>
                <w:szCs w:val="24"/>
              </w:rPr>
            </w:pPr>
          </w:p>
          <w:p>
            <w:pPr>
              <w:spacing w:after="0" w:line="360" w:lineRule="auto"/>
              <w:ind w:firstLine="470" w:firstLineChars="196"/>
              <w:jc w:val="center"/>
              <w:rPr>
                <w:rFonts w:ascii="宋体" w:hAnsi="宋体" w:eastAsia="宋体"/>
                <w:bCs/>
                <w:color w:val="000000"/>
                <w:sz w:val="24"/>
                <w:szCs w:val="24"/>
              </w:rPr>
            </w:pPr>
          </w:p>
          <w:p>
            <w:pPr>
              <w:spacing w:after="0" w:line="360" w:lineRule="auto"/>
              <w:ind w:firstLine="470" w:firstLineChars="196"/>
              <w:jc w:val="center"/>
              <w:rPr>
                <w:rFonts w:ascii="宋体" w:hAnsi="宋体" w:eastAsia="宋体"/>
                <w:bCs/>
                <w:color w:val="000000"/>
                <w:sz w:val="24"/>
                <w:szCs w:val="24"/>
              </w:rPr>
            </w:pPr>
            <w:r>
              <w:rPr>
                <w:rFonts w:hint="eastAsia" w:ascii="宋体" w:hAnsi="宋体" w:eastAsia="宋体"/>
                <w:bCs/>
                <w:color w:val="000000"/>
                <w:sz w:val="24"/>
                <w:szCs w:val="24"/>
              </w:rPr>
              <w:t>表</w:t>
            </w:r>
            <w:r>
              <w:rPr>
                <w:rFonts w:ascii="宋体" w:hAnsi="宋体" w:eastAsia="宋体"/>
                <w:bCs/>
                <w:color w:val="000000"/>
                <w:sz w:val="24"/>
                <w:szCs w:val="24"/>
              </w:rPr>
              <w:t>3-2</w:t>
            </w:r>
            <w:r>
              <w:rPr>
                <w:rFonts w:hint="eastAsia" w:ascii="宋体" w:hAnsi="宋体" w:eastAsia="宋体"/>
                <w:bCs/>
                <w:color w:val="000000"/>
                <w:sz w:val="24"/>
                <w:szCs w:val="24"/>
              </w:rPr>
              <w:t xml:space="preserve">  </w:t>
            </w:r>
            <w:r>
              <w:rPr>
                <w:rFonts w:ascii="宋体" w:hAnsi="宋体" w:eastAsia="宋体"/>
                <w:bCs/>
                <w:color w:val="000000"/>
                <w:sz w:val="24"/>
                <w:szCs w:val="24"/>
              </w:rPr>
              <w:t xml:space="preserve"> </w:t>
            </w:r>
            <w:r>
              <w:rPr>
                <w:rFonts w:hint="eastAsia" w:ascii="宋体" w:hAnsi="宋体" w:eastAsia="宋体"/>
                <w:bCs/>
                <w:color w:val="000000"/>
                <w:sz w:val="24"/>
                <w:szCs w:val="24"/>
              </w:rPr>
              <w:t>本项目地下水污染防渗分区表</w:t>
            </w:r>
          </w:p>
          <w:tbl>
            <w:tblPr>
              <w:tblStyle w:val="43"/>
              <w:tblW w:w="82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959"/>
              <w:gridCol w:w="4447"/>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8" w:type="dxa"/>
                  <w:vAlign w:val="center"/>
                </w:tcPr>
                <w:p>
                  <w:pPr>
                    <w:pStyle w:val="96"/>
                    <w:rPr>
                      <w:rFonts w:ascii="Times New Roman" w:hAnsi="Times New Roman" w:cs="Times New Roman"/>
                      <w:color w:val="000000"/>
                    </w:rPr>
                  </w:pPr>
                  <w:bookmarkStart w:id="4" w:name="_Toc17999555"/>
                  <w:r>
                    <w:rPr>
                      <w:rFonts w:ascii="Times New Roman" w:hAnsi="Times New Roman" w:cs="Times New Roman"/>
                      <w:color w:val="000000"/>
                    </w:rPr>
                    <w:t>序号</w:t>
                  </w:r>
                </w:p>
              </w:tc>
              <w:tc>
                <w:tcPr>
                  <w:tcW w:w="959" w:type="dxa"/>
                  <w:vAlign w:val="center"/>
                </w:tcPr>
                <w:p>
                  <w:pPr>
                    <w:pStyle w:val="96"/>
                    <w:rPr>
                      <w:rFonts w:ascii="Times New Roman" w:hAnsi="Times New Roman" w:cs="Times New Roman"/>
                      <w:color w:val="000000"/>
                    </w:rPr>
                  </w:pPr>
                  <w:r>
                    <w:rPr>
                      <w:rFonts w:ascii="Times New Roman" w:hAnsi="Times New Roman" w:cs="Times New Roman"/>
                      <w:color w:val="000000"/>
                    </w:rPr>
                    <w:t>防渗</w:t>
                  </w:r>
                </w:p>
                <w:p>
                  <w:pPr>
                    <w:pStyle w:val="96"/>
                    <w:rPr>
                      <w:rFonts w:ascii="Times New Roman" w:hAnsi="Times New Roman" w:cs="Times New Roman"/>
                      <w:color w:val="000000"/>
                    </w:rPr>
                  </w:pPr>
                  <w:r>
                    <w:rPr>
                      <w:rFonts w:ascii="Times New Roman" w:hAnsi="Times New Roman" w:cs="Times New Roman"/>
                      <w:color w:val="000000"/>
                    </w:rPr>
                    <w:t>分区</w:t>
                  </w:r>
                </w:p>
              </w:tc>
              <w:tc>
                <w:tcPr>
                  <w:tcW w:w="4447" w:type="dxa"/>
                  <w:vAlign w:val="center"/>
                </w:tcPr>
                <w:p>
                  <w:pPr>
                    <w:pStyle w:val="96"/>
                    <w:rPr>
                      <w:rFonts w:ascii="Times New Roman" w:hAnsi="Times New Roman" w:cs="Times New Roman"/>
                      <w:color w:val="000000"/>
                    </w:rPr>
                  </w:pPr>
                  <w:r>
                    <w:rPr>
                      <w:rFonts w:ascii="Times New Roman" w:hAnsi="Times New Roman" w:cs="Times New Roman"/>
                      <w:color w:val="000000"/>
                    </w:rPr>
                    <w:t>区内建构筑物</w:t>
                  </w:r>
                </w:p>
              </w:tc>
              <w:tc>
                <w:tcPr>
                  <w:tcW w:w="2212" w:type="dxa"/>
                  <w:vAlign w:val="center"/>
                </w:tcPr>
                <w:p>
                  <w:pPr>
                    <w:pStyle w:val="96"/>
                    <w:rPr>
                      <w:rFonts w:ascii="Times New Roman" w:hAnsi="Times New Roman" w:cs="Times New Roman"/>
                      <w:color w:val="000000"/>
                    </w:rPr>
                  </w:pPr>
                  <w:r>
                    <w:rPr>
                      <w:rFonts w:ascii="Times New Roman" w:hAnsi="Times New Roman" w:cs="Times New Roman"/>
                      <w:color w:val="000000"/>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8" w:type="dxa"/>
                  <w:vAlign w:val="center"/>
                </w:tcPr>
                <w:p>
                  <w:pPr>
                    <w:pStyle w:val="96"/>
                    <w:rPr>
                      <w:rFonts w:ascii="Times New Roman" w:hAnsi="Times New Roman" w:cs="Times New Roman"/>
                      <w:color w:val="000000"/>
                    </w:rPr>
                  </w:pPr>
                  <w:r>
                    <w:rPr>
                      <w:rFonts w:ascii="Times New Roman" w:hAnsi="Times New Roman" w:cs="Times New Roman"/>
                      <w:color w:val="000000"/>
                    </w:rPr>
                    <w:t>1</w:t>
                  </w:r>
                </w:p>
              </w:tc>
              <w:tc>
                <w:tcPr>
                  <w:tcW w:w="959" w:type="dxa"/>
                  <w:vAlign w:val="center"/>
                </w:tcPr>
                <w:p>
                  <w:pPr>
                    <w:pStyle w:val="96"/>
                    <w:rPr>
                      <w:rFonts w:ascii="Times New Roman" w:hAnsi="Times New Roman" w:cs="Times New Roman"/>
                      <w:color w:val="000000"/>
                    </w:rPr>
                  </w:pPr>
                  <w:r>
                    <w:rPr>
                      <w:rFonts w:ascii="Times New Roman" w:hAnsi="Times New Roman" w:cs="Times New Roman"/>
                      <w:color w:val="000000"/>
                    </w:rPr>
                    <w:t>重点</w:t>
                  </w:r>
                </w:p>
                <w:p>
                  <w:pPr>
                    <w:pStyle w:val="96"/>
                    <w:rPr>
                      <w:rFonts w:ascii="Times New Roman" w:hAnsi="Times New Roman" w:cs="Times New Roman"/>
                      <w:color w:val="000000"/>
                    </w:rPr>
                  </w:pPr>
                  <w:r>
                    <w:rPr>
                      <w:rFonts w:ascii="Times New Roman" w:hAnsi="Times New Roman" w:cs="Times New Roman"/>
                      <w:color w:val="000000"/>
                    </w:rPr>
                    <w:t>防渗区</w:t>
                  </w:r>
                </w:p>
              </w:tc>
              <w:tc>
                <w:tcPr>
                  <w:tcW w:w="4447" w:type="dxa"/>
                  <w:vAlign w:val="center"/>
                </w:tcPr>
                <w:p>
                  <w:pPr>
                    <w:pStyle w:val="96"/>
                    <w:rPr>
                      <w:rFonts w:ascii="Times New Roman" w:hAnsi="Times New Roman" w:cs="Times New Roman"/>
                      <w:color w:val="000000"/>
                    </w:rPr>
                  </w:pPr>
                  <w:r>
                    <w:rPr>
                      <w:rFonts w:ascii="Times New Roman" w:hAnsi="Times New Roman" w:cs="Times New Roman"/>
                      <w:color w:val="000000"/>
                    </w:rPr>
                    <w:t>主要是中和站出水PH调节池、中和站出水调节池、脱氮调节水池、脱氮反应池、好氧反应池、生化沉淀池、排放水池、污泥浓缩池、污泥压滤间、压滤机滤液收集池、泵房、药剂储罐区、输水管道基础</w:t>
                  </w:r>
                </w:p>
              </w:tc>
              <w:tc>
                <w:tcPr>
                  <w:tcW w:w="2212" w:type="dxa"/>
                  <w:vAlign w:val="center"/>
                </w:tcPr>
                <w:p>
                  <w:pPr>
                    <w:pStyle w:val="96"/>
                    <w:rPr>
                      <w:rFonts w:ascii="Times New Roman" w:hAnsi="Times New Roman" w:cs="Times New Roman"/>
                      <w:color w:val="000000"/>
                    </w:rPr>
                  </w:pPr>
                  <w:r>
                    <w:rPr>
                      <w:rFonts w:ascii="Times New Roman" w:hAnsi="Times New Roman" w:cs="Times New Roman"/>
                      <w:color w:val="000000"/>
                    </w:rPr>
                    <w:t>等效黏土防渗层Mb≥6.0m，K&lt;10</w:t>
                  </w:r>
                  <w:r>
                    <w:rPr>
                      <w:rFonts w:ascii="Times New Roman" w:hAnsi="Times New Roman" w:cs="Times New Roman"/>
                      <w:color w:val="000000"/>
                      <w:vertAlign w:val="superscript"/>
                    </w:rPr>
                    <w:t>-7</w:t>
                  </w:r>
                  <w:r>
                    <w:rPr>
                      <w:rFonts w:ascii="Times New Roman" w:hAnsi="Times New Roman" w:cs="Times New Roman"/>
                      <w:color w:val="000000"/>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8" w:type="dxa"/>
                  <w:vAlign w:val="center"/>
                </w:tcPr>
                <w:p>
                  <w:pPr>
                    <w:pStyle w:val="96"/>
                    <w:rPr>
                      <w:rFonts w:ascii="Times New Roman" w:hAnsi="Times New Roman" w:cs="Times New Roman"/>
                      <w:color w:val="000000"/>
                    </w:rPr>
                  </w:pPr>
                  <w:r>
                    <w:rPr>
                      <w:rFonts w:ascii="Times New Roman" w:hAnsi="Times New Roman" w:cs="Times New Roman"/>
                      <w:color w:val="000000"/>
                    </w:rPr>
                    <w:t>2</w:t>
                  </w:r>
                </w:p>
              </w:tc>
              <w:tc>
                <w:tcPr>
                  <w:tcW w:w="959" w:type="dxa"/>
                  <w:vAlign w:val="center"/>
                </w:tcPr>
                <w:p>
                  <w:pPr>
                    <w:pStyle w:val="96"/>
                    <w:rPr>
                      <w:rFonts w:ascii="Times New Roman" w:hAnsi="Times New Roman" w:cs="Times New Roman"/>
                      <w:color w:val="000000"/>
                    </w:rPr>
                  </w:pPr>
                  <w:r>
                    <w:rPr>
                      <w:rFonts w:ascii="Times New Roman" w:hAnsi="Times New Roman" w:cs="Times New Roman"/>
                      <w:color w:val="000000"/>
                    </w:rPr>
                    <w:t>一般</w:t>
                  </w:r>
                </w:p>
                <w:p>
                  <w:pPr>
                    <w:pStyle w:val="96"/>
                    <w:rPr>
                      <w:rFonts w:ascii="Times New Roman" w:hAnsi="Times New Roman" w:cs="Times New Roman"/>
                      <w:color w:val="000000"/>
                    </w:rPr>
                  </w:pPr>
                  <w:r>
                    <w:rPr>
                      <w:rFonts w:ascii="Times New Roman" w:hAnsi="Times New Roman" w:cs="Times New Roman"/>
                      <w:color w:val="000000"/>
                    </w:rPr>
                    <w:t>防渗区</w:t>
                  </w:r>
                </w:p>
              </w:tc>
              <w:tc>
                <w:tcPr>
                  <w:tcW w:w="4447" w:type="dxa"/>
                  <w:vAlign w:val="center"/>
                </w:tcPr>
                <w:p>
                  <w:pPr>
                    <w:pStyle w:val="96"/>
                    <w:rPr>
                      <w:rFonts w:ascii="Times New Roman" w:hAnsi="Times New Roman" w:cs="Times New Roman"/>
                      <w:color w:val="000000"/>
                    </w:rPr>
                  </w:pPr>
                  <w:r>
                    <w:rPr>
                      <w:rFonts w:ascii="Times New Roman" w:hAnsi="Times New Roman" w:cs="Times New Roman"/>
                      <w:color w:val="000000"/>
                    </w:rPr>
                    <w:t>主要是排放水池等</w:t>
                  </w:r>
                </w:p>
              </w:tc>
              <w:tc>
                <w:tcPr>
                  <w:tcW w:w="2212" w:type="dxa"/>
                  <w:vAlign w:val="center"/>
                </w:tcPr>
                <w:p>
                  <w:pPr>
                    <w:pStyle w:val="96"/>
                    <w:rPr>
                      <w:rFonts w:ascii="Times New Roman" w:hAnsi="Times New Roman" w:cs="Times New Roman"/>
                      <w:color w:val="000000"/>
                    </w:rPr>
                  </w:pPr>
                  <w:r>
                    <w:rPr>
                      <w:rFonts w:ascii="Times New Roman" w:hAnsi="Times New Roman" w:cs="Times New Roman"/>
                      <w:color w:val="000000"/>
                    </w:rPr>
                    <w:t>等效黏土防渗层Mb≥1.5m，K&lt;10</w:t>
                  </w:r>
                  <w:r>
                    <w:rPr>
                      <w:rFonts w:ascii="Times New Roman" w:hAnsi="Times New Roman" w:cs="Times New Roman"/>
                      <w:color w:val="000000"/>
                      <w:vertAlign w:val="superscript"/>
                    </w:rPr>
                    <w:t>-7</w:t>
                  </w:r>
                  <w:r>
                    <w:rPr>
                      <w:rFonts w:ascii="Times New Roman" w:hAnsi="Times New Roman" w:cs="Times New Roman"/>
                      <w:color w:val="000000"/>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8" w:type="dxa"/>
                  <w:vAlign w:val="center"/>
                </w:tcPr>
                <w:p>
                  <w:pPr>
                    <w:pStyle w:val="96"/>
                    <w:rPr>
                      <w:rFonts w:ascii="Times New Roman" w:hAnsi="Times New Roman" w:cs="Times New Roman"/>
                      <w:color w:val="000000"/>
                    </w:rPr>
                  </w:pPr>
                  <w:r>
                    <w:rPr>
                      <w:rFonts w:ascii="Times New Roman" w:hAnsi="Times New Roman" w:cs="Times New Roman"/>
                      <w:color w:val="000000"/>
                    </w:rPr>
                    <w:t>3</w:t>
                  </w:r>
                </w:p>
              </w:tc>
              <w:tc>
                <w:tcPr>
                  <w:tcW w:w="959" w:type="dxa"/>
                  <w:vAlign w:val="center"/>
                </w:tcPr>
                <w:p>
                  <w:pPr>
                    <w:pStyle w:val="96"/>
                    <w:rPr>
                      <w:rFonts w:ascii="Times New Roman" w:hAnsi="Times New Roman" w:cs="Times New Roman"/>
                      <w:color w:val="000000"/>
                    </w:rPr>
                  </w:pPr>
                  <w:r>
                    <w:rPr>
                      <w:rFonts w:ascii="Times New Roman" w:hAnsi="Times New Roman" w:cs="Times New Roman"/>
                      <w:color w:val="000000"/>
                    </w:rPr>
                    <w:t>简单</w:t>
                  </w:r>
                </w:p>
                <w:p>
                  <w:pPr>
                    <w:pStyle w:val="96"/>
                    <w:rPr>
                      <w:rFonts w:ascii="Times New Roman" w:hAnsi="Times New Roman" w:cs="Times New Roman"/>
                      <w:color w:val="000000"/>
                    </w:rPr>
                  </w:pPr>
                  <w:r>
                    <w:rPr>
                      <w:rFonts w:ascii="Times New Roman" w:hAnsi="Times New Roman" w:cs="Times New Roman"/>
                      <w:color w:val="000000"/>
                    </w:rPr>
                    <w:t>防渗区</w:t>
                  </w:r>
                </w:p>
              </w:tc>
              <w:tc>
                <w:tcPr>
                  <w:tcW w:w="4447" w:type="dxa"/>
                  <w:vAlign w:val="center"/>
                </w:tcPr>
                <w:p>
                  <w:pPr>
                    <w:pStyle w:val="96"/>
                    <w:rPr>
                      <w:rFonts w:ascii="Times New Roman" w:hAnsi="Times New Roman" w:cs="Times New Roman"/>
                      <w:color w:val="000000"/>
                    </w:rPr>
                  </w:pPr>
                  <w:r>
                    <w:rPr>
                      <w:rFonts w:ascii="Times New Roman" w:hAnsi="Times New Roman" w:cs="Times New Roman"/>
                      <w:color w:val="000000"/>
                    </w:rPr>
                    <w:t>运输道路、电气室、操作室</w:t>
                  </w:r>
                </w:p>
              </w:tc>
              <w:tc>
                <w:tcPr>
                  <w:tcW w:w="2212" w:type="dxa"/>
                  <w:vAlign w:val="center"/>
                </w:tcPr>
                <w:p>
                  <w:pPr>
                    <w:pStyle w:val="96"/>
                    <w:rPr>
                      <w:rFonts w:ascii="Times New Roman" w:hAnsi="Times New Roman" w:cs="Times New Roman"/>
                      <w:color w:val="000000"/>
                    </w:rPr>
                  </w:pPr>
                  <w:r>
                    <w:rPr>
                      <w:rFonts w:ascii="Times New Roman" w:hAnsi="Times New Roman" w:cs="Times New Roman"/>
                      <w:color w:val="000000"/>
                    </w:rPr>
                    <w:t>一般地面硬化</w:t>
                  </w:r>
                </w:p>
              </w:tc>
            </w:tr>
          </w:tbl>
          <w:p>
            <w:pPr>
              <w:pStyle w:val="56"/>
              <w:numPr>
                <w:ilvl w:val="0"/>
                <w:numId w:val="0"/>
              </w:numPr>
              <w:tabs>
                <w:tab w:val="left" w:pos="2760"/>
              </w:tabs>
              <w:spacing w:line="360" w:lineRule="auto"/>
              <w:ind w:left="284"/>
              <w:jc w:val="both"/>
              <w:rPr>
                <w:rFonts w:ascii="宋体" w:hAnsi="宋体" w:eastAsia="宋体" w:cs="Times New Roman"/>
                <w:color w:val="000000"/>
                <w:kern w:val="0"/>
                <w:sz w:val="24"/>
                <w:szCs w:val="24"/>
              </w:rPr>
            </w:pPr>
          </w:p>
          <w:bookmarkEnd w:id="4"/>
          <w:p>
            <w:pPr>
              <w:pStyle w:val="2"/>
              <w:spacing w:before="120"/>
              <w:rPr>
                <w:color w:val="000000"/>
              </w:rPr>
            </w:pPr>
          </w:p>
          <w:p>
            <w:pPr>
              <w:pStyle w:val="2"/>
              <w:spacing w:before="120"/>
              <w:rPr>
                <w:color w:val="000000"/>
              </w:rPr>
            </w:pPr>
          </w:p>
          <w:p>
            <w:pPr>
              <w:pStyle w:val="2"/>
              <w:spacing w:before="120"/>
              <w:rPr>
                <w:color w:val="000000"/>
              </w:rPr>
            </w:pPr>
          </w:p>
          <w:p>
            <w:pPr>
              <w:pStyle w:val="2"/>
              <w:spacing w:before="120"/>
              <w:rPr>
                <w:rFonts w:ascii="仿宋" w:hAnsi="仿宋" w:eastAsia="仿宋" w:cs="宋体"/>
                <w:color w:val="000000"/>
                <w:sz w:val="24"/>
                <w:szCs w:val="24"/>
              </w:rPr>
            </w:pPr>
          </w:p>
        </w:tc>
      </w:tr>
    </w:tbl>
    <w:p>
      <w:pPr>
        <w:pStyle w:val="56"/>
        <w:numPr>
          <w:ilvl w:val="0"/>
          <w:numId w:val="0"/>
        </w:numPr>
        <w:tabs>
          <w:tab w:val="left" w:pos="2760"/>
        </w:tabs>
        <w:spacing w:line="360" w:lineRule="auto"/>
        <w:jc w:val="both"/>
        <w:rPr>
          <w:rFonts w:ascii="仿宋" w:hAnsi="仿宋" w:eastAsia="仿宋" w:cs="宋体"/>
          <w:color w:val="000000"/>
          <w:sz w:val="24"/>
          <w:szCs w:val="24"/>
        </w:rPr>
      </w:pPr>
      <w:bookmarkStart w:id="5" w:name="_Toc17999556"/>
      <w:r>
        <w:rPr>
          <w:rFonts w:hint="eastAsia" w:ascii="仿宋" w:hAnsi="仿宋" w:eastAsia="仿宋" w:cs="宋体"/>
          <w:color w:val="000000"/>
          <w:sz w:val="24"/>
          <w:szCs w:val="24"/>
        </w:rPr>
        <w:t>表四  建设项目环境影响报告表主要结论及审批部门审批决定</w:t>
      </w:r>
      <w:bookmarkEnd w:id="5"/>
    </w:p>
    <w:tbl>
      <w:tblPr>
        <w:tblStyle w:val="43"/>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06" w:hRule="atLeast"/>
        </w:trPr>
        <w:tc>
          <w:tcPr>
            <w:tcW w:w="8522" w:type="dxa"/>
            <w:vAlign w:val="top"/>
          </w:tcPr>
          <w:p>
            <w:pPr>
              <w:spacing w:before="240" w:beforeLines="100" w:after="0" w:line="360" w:lineRule="auto"/>
              <w:rPr>
                <w:rFonts w:ascii="宋体" w:hAnsi="宋体" w:eastAsia="宋体"/>
                <w:b/>
                <w:color w:val="000000"/>
                <w:sz w:val="24"/>
                <w:szCs w:val="24"/>
              </w:rPr>
            </w:pPr>
            <w:r>
              <w:rPr>
                <w:rFonts w:hint="eastAsia" w:ascii="宋体" w:hAnsi="宋体" w:eastAsia="宋体"/>
                <w:b/>
                <w:color w:val="000000"/>
                <w:sz w:val="24"/>
                <w:szCs w:val="24"/>
              </w:rPr>
              <w:t>一</w:t>
            </w:r>
            <w:r>
              <w:rPr>
                <w:rFonts w:ascii="宋体" w:hAnsi="宋体" w:eastAsia="宋体"/>
                <w:b/>
                <w:color w:val="000000"/>
                <w:sz w:val="24"/>
                <w:szCs w:val="24"/>
              </w:rPr>
              <w:t>、环境影响报告</w:t>
            </w:r>
            <w:r>
              <w:rPr>
                <w:rFonts w:hint="eastAsia" w:ascii="宋体" w:hAnsi="宋体" w:eastAsia="宋体"/>
                <w:b/>
                <w:color w:val="000000"/>
                <w:sz w:val="24"/>
                <w:szCs w:val="24"/>
              </w:rPr>
              <w:t>表主要</w:t>
            </w:r>
            <w:r>
              <w:rPr>
                <w:rFonts w:ascii="宋体" w:hAnsi="宋体" w:eastAsia="宋体"/>
                <w:b/>
                <w:color w:val="000000"/>
                <w:sz w:val="24"/>
                <w:szCs w:val="24"/>
              </w:rPr>
              <w:t>结论</w:t>
            </w:r>
            <w:r>
              <w:rPr>
                <w:rFonts w:hint="eastAsia" w:ascii="宋体" w:hAnsi="宋体" w:eastAsia="宋体"/>
                <w:b/>
                <w:color w:val="000000"/>
                <w:sz w:val="24"/>
                <w:szCs w:val="24"/>
              </w:rPr>
              <w:t>与建议</w:t>
            </w:r>
          </w:p>
          <w:p>
            <w:pPr>
              <w:spacing w:after="0" w:line="36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山西太原不锈钢股份有限公司不锈钢产品结构升级改造配套水处理改造项目位于太钢厂区内现有能源动力总厂酸水作业区以北、三五轧路以西、冷轧路以南的空地处。项目主要处理太钢厂区内现有中和站出水，对中和站出水进行脱氮处理进一步改善中和站出水水质，有积极的环境效益。</w:t>
            </w:r>
          </w:p>
          <w:p>
            <w:pPr>
              <w:widowControl w:val="0"/>
              <w:adjustRightInd/>
              <w:snapToGrid/>
              <w:spacing w:after="0" w:line="360" w:lineRule="auto"/>
              <w:ind w:firstLine="480" w:firstLineChars="200"/>
              <w:jc w:val="both"/>
              <w:rPr>
                <w:rFonts w:ascii="Times New Roman" w:hAnsi="Times New Roman" w:eastAsia="宋体" w:cs="宋体"/>
                <w:color w:val="000000"/>
                <w:kern w:val="2"/>
                <w:sz w:val="24"/>
                <w:szCs w:val="24"/>
              </w:rPr>
            </w:pPr>
            <w:r>
              <w:rPr>
                <w:rFonts w:hint="eastAsia" w:ascii="Times New Roman" w:hAnsi="Times New Roman" w:eastAsia="宋体" w:cs="宋体"/>
                <w:color w:val="000000"/>
                <w:kern w:val="2"/>
                <w:sz w:val="24"/>
                <w:szCs w:val="24"/>
              </w:rPr>
              <w:t>（</w:t>
            </w:r>
            <w:r>
              <w:rPr>
                <w:rFonts w:ascii="Times New Roman" w:hAnsi="Times New Roman" w:eastAsia="宋体"/>
                <w:color w:val="000000"/>
                <w:kern w:val="2"/>
                <w:sz w:val="24"/>
                <w:szCs w:val="24"/>
              </w:rPr>
              <w:t>1</w:t>
            </w:r>
            <w:r>
              <w:rPr>
                <w:rFonts w:hint="eastAsia" w:ascii="Times New Roman" w:hAnsi="Times New Roman" w:eastAsia="宋体" w:cs="宋体"/>
                <w:color w:val="000000"/>
                <w:kern w:val="2"/>
                <w:sz w:val="24"/>
                <w:szCs w:val="24"/>
              </w:rPr>
              <w:t>）结论中主要环境影响及环保措施要求</w:t>
            </w:r>
          </w:p>
          <w:p>
            <w:pPr>
              <w:widowControl w:val="0"/>
              <w:adjustRightInd/>
              <w:snapToGrid/>
              <w:spacing w:after="0" w:line="360" w:lineRule="auto"/>
              <w:ind w:firstLine="480" w:firstLineChars="200"/>
              <w:jc w:val="center"/>
              <w:rPr>
                <w:rFonts w:ascii="宋体" w:hAnsi="宋体" w:eastAsia="宋体"/>
                <w:color w:val="000000"/>
                <w:sz w:val="24"/>
                <w:szCs w:val="24"/>
              </w:rPr>
            </w:pPr>
            <w:r>
              <w:rPr>
                <w:rFonts w:hint="eastAsia" w:ascii="宋体" w:hAnsi="宋体" w:eastAsia="宋体"/>
                <w:color w:val="000000"/>
                <w:sz w:val="24"/>
                <w:szCs w:val="24"/>
              </w:rPr>
              <w:t>表4</w:t>
            </w:r>
            <w:r>
              <w:rPr>
                <w:rFonts w:ascii="宋体" w:hAnsi="宋体" w:eastAsia="宋体"/>
                <w:color w:val="000000"/>
                <w:sz w:val="24"/>
                <w:szCs w:val="24"/>
              </w:rPr>
              <w:t xml:space="preserve">-1  </w:t>
            </w:r>
            <w:r>
              <w:rPr>
                <w:rFonts w:hint="eastAsia" w:ascii="宋体" w:hAnsi="宋体" w:eastAsia="宋体"/>
                <w:color w:val="000000"/>
                <w:sz w:val="24"/>
                <w:szCs w:val="24"/>
              </w:rPr>
              <w:t>环评影响报告表的主要环保措施要求</w:t>
            </w:r>
          </w:p>
          <w:tbl>
            <w:tblPr>
              <w:tblStyle w:val="43"/>
              <w:tblpPr w:leftFromText="180" w:rightFromText="180" w:vertAnchor="text" w:tblpXSpec="center" w:tblpY="1"/>
              <w:tblOverlap w:val="never"/>
              <w:tblW w:w="8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984"/>
              <w:gridCol w:w="320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color w:val="000000"/>
                      <w:sz w:val="21"/>
                      <w:szCs w:val="21"/>
                    </w:rPr>
                  </w:pPr>
                  <w:r>
                    <w:rPr>
                      <w:rFonts w:hint="eastAsia" w:ascii="Times New Roman" w:hAnsi="Times New Roman" w:eastAsia="宋体" w:cs="宋体"/>
                      <w:b/>
                      <w:bCs/>
                      <w:color w:val="000000"/>
                      <w:sz w:val="21"/>
                      <w:szCs w:val="21"/>
                    </w:rPr>
                    <w:t>污染类型</w:t>
                  </w:r>
                </w:p>
              </w:tc>
              <w:tc>
                <w:tcPr>
                  <w:tcW w:w="1984"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color w:val="000000"/>
                      <w:sz w:val="21"/>
                      <w:szCs w:val="21"/>
                    </w:rPr>
                  </w:pPr>
                  <w:r>
                    <w:rPr>
                      <w:rFonts w:hint="eastAsia" w:ascii="Times New Roman" w:hAnsi="Times New Roman" w:eastAsia="宋体" w:cs="宋体"/>
                      <w:b/>
                      <w:bCs/>
                      <w:color w:val="000000"/>
                      <w:sz w:val="21"/>
                      <w:szCs w:val="21"/>
                    </w:rPr>
                    <w:t>排放源</w:t>
                  </w:r>
                  <w:r>
                    <w:rPr>
                      <w:rFonts w:ascii="Times New Roman" w:hAnsi="Times New Roman" w:eastAsia="宋体"/>
                      <w:b/>
                      <w:bCs/>
                      <w:color w:val="000000"/>
                      <w:sz w:val="21"/>
                      <w:szCs w:val="21"/>
                    </w:rPr>
                    <w:t>/</w:t>
                  </w:r>
                  <w:r>
                    <w:rPr>
                      <w:rFonts w:hint="eastAsia" w:ascii="Times New Roman" w:hAnsi="Times New Roman" w:eastAsia="宋体" w:cs="宋体"/>
                      <w:b/>
                      <w:bCs/>
                      <w:color w:val="000000"/>
                      <w:sz w:val="21"/>
                      <w:szCs w:val="21"/>
                    </w:rPr>
                    <w:t>污染物名称</w:t>
                  </w:r>
                </w:p>
              </w:tc>
              <w:tc>
                <w:tcPr>
                  <w:tcW w:w="3203"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color w:val="000000"/>
                      <w:sz w:val="21"/>
                      <w:szCs w:val="21"/>
                    </w:rPr>
                  </w:pPr>
                  <w:r>
                    <w:rPr>
                      <w:rFonts w:hint="eastAsia" w:ascii="Times New Roman" w:hAnsi="Times New Roman" w:eastAsia="宋体" w:cs="宋体"/>
                      <w:b/>
                      <w:bCs/>
                      <w:color w:val="000000"/>
                      <w:sz w:val="21"/>
                      <w:szCs w:val="21"/>
                    </w:rPr>
                    <w:t>防治措施</w:t>
                  </w:r>
                </w:p>
              </w:tc>
              <w:tc>
                <w:tcPr>
                  <w:tcW w:w="1701" w:type="dxa"/>
                  <w:tcBorders>
                    <w:top w:val="single" w:color="auto" w:sz="4" w:space="0"/>
                    <w:left w:val="single" w:color="auto" w:sz="4" w:space="0"/>
                    <w:bottom w:val="single" w:color="auto" w:sz="4" w:space="0"/>
                    <w:right w:val="single" w:color="auto" w:sz="4" w:space="0"/>
                  </w:tcBorders>
                  <w:vAlign w:val="center"/>
                </w:tcPr>
                <w:p>
                  <w:pPr>
                    <w:spacing w:after="0" w:line="276" w:lineRule="auto"/>
                    <w:ind w:right="37" w:rightChars="17"/>
                    <w:jc w:val="center"/>
                    <w:rPr>
                      <w:rFonts w:ascii="Times New Roman" w:hAnsi="Times New Roman" w:eastAsia="宋体"/>
                      <w:b/>
                      <w:bCs/>
                      <w:color w:val="000000"/>
                      <w:sz w:val="21"/>
                      <w:szCs w:val="21"/>
                    </w:rPr>
                  </w:pPr>
                  <w:r>
                    <w:rPr>
                      <w:rFonts w:hint="eastAsia" w:ascii="Times New Roman" w:hAnsi="Times New Roman" w:eastAsia="宋体" w:cs="宋体"/>
                      <w:b/>
                      <w:bCs/>
                      <w:color w:val="000000"/>
                      <w:sz w:val="21"/>
                      <w:szCs w:val="21"/>
                    </w:rPr>
                    <w:t>要求治理效果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color w:val="000000"/>
                      <w:sz w:val="21"/>
                      <w:szCs w:val="21"/>
                    </w:rPr>
                  </w:pPr>
                  <w:r>
                    <w:rPr>
                      <w:rFonts w:hint="eastAsia" w:ascii="Times New Roman" w:hAnsi="Times New Roman" w:eastAsia="宋体" w:cs="宋体"/>
                      <w:color w:val="000000"/>
                      <w:sz w:val="21"/>
                      <w:szCs w:val="21"/>
                    </w:rPr>
                    <w:t>大气污染物</w:t>
                  </w:r>
                </w:p>
              </w:tc>
              <w:tc>
                <w:tcPr>
                  <w:tcW w:w="1984"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color w:val="000000"/>
                    </w:rPr>
                  </w:pPr>
                  <w:r>
                    <w:rPr>
                      <w:rFonts w:hint="eastAsia" w:ascii="Times New Roman" w:hAnsi="Times New Roman" w:eastAsia="宋体" w:cs="宋体"/>
                      <w:color w:val="000000"/>
                      <w:sz w:val="21"/>
                      <w:szCs w:val="21"/>
                    </w:rPr>
                    <w:t>大气污染主要来自污水处理设施、污泥处理设施恶臭及恶臭气体。</w:t>
                  </w:r>
                </w:p>
              </w:tc>
              <w:tc>
                <w:tcPr>
                  <w:tcW w:w="3203"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rPr>
                      <w:rFonts w:ascii="Times New Roman" w:hAnsi="Times New Roman" w:eastAsia="宋体"/>
                      <w:color w:val="000000"/>
                      <w:sz w:val="21"/>
                      <w:szCs w:val="21"/>
                    </w:rPr>
                  </w:pPr>
                  <w:r>
                    <w:rPr>
                      <w:rFonts w:hint="eastAsia" w:ascii="Times New Roman" w:hAnsi="Times New Roman" w:eastAsia="宋体" w:cs="宋体"/>
                      <w:color w:val="000000"/>
                      <w:sz w:val="21"/>
                      <w:szCs w:val="21"/>
                    </w:rPr>
                    <w:t>产臭设施采取喷洒植物液除臭，加强绿化等措施后恶臭及恶臭气体排放量较小均为无组织排放对周围环境影响较小。</w:t>
                  </w:r>
                </w:p>
              </w:tc>
              <w:tc>
                <w:tcPr>
                  <w:tcW w:w="1701" w:type="dxa"/>
                  <w:tcBorders>
                    <w:top w:val="single" w:color="auto" w:sz="4" w:space="0"/>
                    <w:left w:val="single" w:color="auto" w:sz="4" w:space="0"/>
                    <w:bottom w:val="single" w:color="auto" w:sz="4" w:space="0"/>
                    <w:right w:val="single" w:color="auto" w:sz="4" w:space="0"/>
                  </w:tcBorders>
                  <w:vAlign w:val="center"/>
                </w:tcPr>
                <w:p>
                  <w:pPr>
                    <w:spacing w:after="0" w:line="276" w:lineRule="auto"/>
                    <w:ind w:right="37" w:rightChars="17"/>
                    <w:jc w:val="center"/>
                    <w:rPr>
                      <w:rFonts w:ascii="Times New Roman" w:hAnsi="Times New Roman" w:eastAsia="宋体"/>
                      <w:color w:val="000000"/>
                      <w:sz w:val="21"/>
                      <w:szCs w:val="21"/>
                    </w:rPr>
                  </w:pPr>
                  <w:r>
                    <w:rPr>
                      <w:rFonts w:hint="eastAsia" w:ascii="Times New Roman" w:hAnsi="Times New Roman" w:eastAsia="宋体" w:cs="宋体"/>
                      <w:color w:val="000000"/>
                      <w:sz w:val="21"/>
                      <w:szCs w:val="21"/>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4" w:hRule="atLeast"/>
                <w:jc w:val="center"/>
              </w:trPr>
              <w:tc>
                <w:tcPr>
                  <w:tcW w:w="1361" w:type="dxa"/>
                  <w:vMerge w:val="restart"/>
                  <w:tcBorders>
                    <w:top w:val="single" w:color="auto" w:sz="4" w:space="0"/>
                    <w:left w:val="single" w:color="auto" w:sz="4" w:space="0"/>
                    <w:right w:val="single" w:color="auto" w:sz="4" w:space="0"/>
                  </w:tcBorders>
                  <w:vAlign w:val="center"/>
                </w:tcPr>
                <w:p>
                  <w:pPr>
                    <w:spacing w:after="0" w:line="276" w:lineRule="auto"/>
                    <w:jc w:val="center"/>
                    <w:rPr>
                      <w:rFonts w:ascii="Times New Roman" w:hAnsi="Times New Roman" w:eastAsia="宋体" w:cs="宋体"/>
                      <w:color w:val="000000"/>
                      <w:sz w:val="21"/>
                      <w:szCs w:val="21"/>
                    </w:rPr>
                  </w:pPr>
                  <w:r>
                    <w:rPr>
                      <w:rFonts w:ascii="Times New Roman" w:hAnsi="Times New Roman" w:eastAsia="宋体" w:cs="宋体"/>
                      <w:color w:val="000000"/>
                      <w:sz w:val="21"/>
                      <w:szCs w:val="21"/>
                    </w:rPr>
                    <w:t>水污染物</w:t>
                  </w:r>
                </w:p>
              </w:tc>
              <w:tc>
                <w:tcPr>
                  <w:tcW w:w="1984" w:type="dxa"/>
                  <w:tcBorders>
                    <w:top w:val="single" w:color="auto" w:sz="4" w:space="0"/>
                    <w:left w:val="single" w:color="auto" w:sz="4" w:space="0"/>
                    <w:right w:val="single" w:color="auto" w:sz="4" w:space="0"/>
                  </w:tcBorders>
                  <w:vAlign w:val="center"/>
                </w:tcPr>
                <w:p>
                  <w:pPr>
                    <w:spacing w:after="0" w:line="276" w:lineRule="auto"/>
                    <w:jc w:val="center"/>
                    <w:rPr>
                      <w:rFonts w:ascii="Times New Roman" w:hAnsi="Times New Roman" w:eastAsia="宋体" w:cs="宋体"/>
                      <w:color w:val="000000"/>
                      <w:sz w:val="21"/>
                      <w:szCs w:val="21"/>
                    </w:rPr>
                  </w:pPr>
                  <w:r>
                    <w:rPr>
                      <w:rFonts w:hint="eastAsia" w:ascii="Times New Roman" w:hAnsi="Times New Roman" w:eastAsia="宋体"/>
                      <w:bCs/>
                      <w:color w:val="000000"/>
                      <w:kern w:val="2"/>
                      <w:sz w:val="21"/>
                      <w:szCs w:val="21"/>
                    </w:rPr>
                    <w:t>污水防渗要求，</w:t>
                  </w:r>
                </w:p>
              </w:tc>
              <w:tc>
                <w:tcPr>
                  <w:tcW w:w="3203" w:type="dxa"/>
                  <w:tcBorders>
                    <w:top w:val="single" w:color="auto" w:sz="4" w:space="0"/>
                    <w:left w:val="single" w:color="auto" w:sz="4" w:space="0"/>
                    <w:right w:val="single" w:color="auto" w:sz="4" w:space="0"/>
                  </w:tcBorders>
                  <w:vAlign w:val="top"/>
                </w:tcPr>
                <w:p>
                  <w:pPr>
                    <w:adjustRightInd/>
                    <w:spacing w:after="0" w:line="276" w:lineRule="auto"/>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项目场地内采取分区防渗措施，重点防渗区等效黏土防渗层Mb≥6.0m，K&lt;10</w:t>
                  </w:r>
                  <w:r>
                    <w:rPr>
                      <w:rFonts w:hint="eastAsia" w:ascii="Times New Roman" w:hAnsi="Times New Roman" w:eastAsia="宋体" w:cs="宋体"/>
                      <w:color w:val="000000"/>
                      <w:sz w:val="21"/>
                      <w:szCs w:val="21"/>
                      <w:vertAlign w:val="superscript"/>
                    </w:rPr>
                    <w:t>-7</w:t>
                  </w:r>
                  <w:r>
                    <w:rPr>
                      <w:rFonts w:hint="eastAsia" w:ascii="Times New Roman" w:hAnsi="Times New Roman" w:eastAsia="宋体" w:cs="宋体"/>
                      <w:color w:val="000000"/>
                      <w:sz w:val="21"/>
                      <w:szCs w:val="21"/>
                    </w:rPr>
                    <w:t>cm/s，一般防渗区等效黏土防渗层Mb≥1.5m，K&lt;10</w:t>
                  </w:r>
                  <w:r>
                    <w:rPr>
                      <w:rFonts w:hint="eastAsia" w:ascii="Times New Roman" w:hAnsi="Times New Roman" w:eastAsia="宋体" w:cs="宋体"/>
                      <w:color w:val="000000"/>
                      <w:sz w:val="21"/>
                      <w:szCs w:val="21"/>
                      <w:vertAlign w:val="superscript"/>
                    </w:rPr>
                    <w:t>-7</w:t>
                  </w:r>
                  <w:r>
                    <w:rPr>
                      <w:rFonts w:hint="eastAsia" w:ascii="Times New Roman" w:hAnsi="Times New Roman" w:eastAsia="宋体" w:cs="宋体"/>
                      <w:color w:val="000000"/>
                      <w:sz w:val="21"/>
                      <w:szCs w:val="21"/>
                    </w:rPr>
                    <w:t>cm/s，简单防渗区要求进行一般地面硬化要求，监理跟踪监测计划。</w:t>
                  </w:r>
                </w:p>
              </w:tc>
              <w:tc>
                <w:tcPr>
                  <w:tcW w:w="1701" w:type="dxa"/>
                  <w:tcBorders>
                    <w:top w:val="single" w:color="auto" w:sz="4" w:space="0"/>
                    <w:left w:val="single" w:color="auto" w:sz="4" w:space="0"/>
                    <w:right w:val="single" w:color="auto" w:sz="4" w:space="0"/>
                  </w:tcBorders>
                  <w:vAlign w:val="center"/>
                </w:tcPr>
                <w:p>
                  <w:pPr>
                    <w:adjustRightInd/>
                    <w:spacing w:after="0" w:line="276" w:lineRule="auto"/>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满达到《环境影响评价技术导则地下水环境》中11.2表7中防渗技术要求，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361" w:type="dxa"/>
                  <w:vMerge w:val="continue"/>
                  <w:tcBorders>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cs="宋体"/>
                      <w:color w:val="000000"/>
                      <w:sz w:val="21"/>
                      <w:szCs w:val="21"/>
                    </w:rPr>
                  </w:pPr>
                </w:p>
              </w:tc>
              <w:tc>
                <w:tcPr>
                  <w:tcW w:w="1984" w:type="dxa"/>
                  <w:tcBorders>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职工生活</w:t>
                  </w:r>
                </w:p>
                <w:p>
                  <w:pPr>
                    <w:adjustRightInd/>
                    <w:spacing w:after="0" w:line="276" w:lineRule="auto"/>
                    <w:jc w:val="center"/>
                    <w:rPr>
                      <w:rFonts w:ascii="Times New Roman" w:hAnsi="Times New Roman" w:eastAsia="宋体" w:cs="宋体"/>
                      <w:color w:val="000000"/>
                      <w:szCs w:val="21"/>
                    </w:rPr>
                  </w:pPr>
                  <w:r>
                    <w:rPr>
                      <w:rFonts w:hint="eastAsia" w:ascii="Times New Roman" w:hAnsi="Times New Roman" w:eastAsia="宋体" w:cs="宋体"/>
                      <w:color w:val="000000"/>
                      <w:sz w:val="21"/>
                      <w:szCs w:val="21"/>
                    </w:rPr>
                    <w:t>生活污水</w:t>
                  </w:r>
                </w:p>
              </w:tc>
              <w:tc>
                <w:tcPr>
                  <w:tcW w:w="3203" w:type="dxa"/>
                  <w:tcBorders>
                    <w:top w:val="single" w:color="auto" w:sz="4" w:space="0"/>
                    <w:left w:val="single" w:color="auto" w:sz="4" w:space="0"/>
                    <w:bottom w:val="single" w:color="auto" w:sz="4" w:space="0"/>
                    <w:right w:val="single" w:color="auto" w:sz="4" w:space="0"/>
                  </w:tcBorders>
                  <w:vAlign w:val="center"/>
                </w:tcPr>
                <w:p>
                  <w:pPr>
                    <w:adjustRightInd/>
                    <w:spacing w:line="300" w:lineRule="exact"/>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依托太钢生活污水处理设施处理</w:t>
                  </w:r>
                </w:p>
              </w:tc>
              <w:tc>
                <w:tcPr>
                  <w:tcW w:w="1701" w:type="dxa"/>
                  <w:tcBorders>
                    <w:left w:val="single" w:color="auto" w:sz="4" w:space="0"/>
                    <w:bottom w:val="single" w:color="auto" w:sz="4" w:space="0"/>
                    <w:right w:val="single" w:color="auto" w:sz="4" w:space="0"/>
                  </w:tcBorders>
                  <w:vAlign w:val="center"/>
                </w:tcPr>
                <w:p>
                  <w:pPr>
                    <w:adjustRightInd/>
                    <w:spacing w:line="320" w:lineRule="exact"/>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噪声</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鼓风机、泵类、压滤机</w:t>
                  </w:r>
                </w:p>
              </w:tc>
              <w:tc>
                <w:tcPr>
                  <w:tcW w:w="3203" w:type="dxa"/>
                  <w:tcBorders>
                    <w:top w:val="single" w:color="auto" w:sz="4" w:space="0"/>
                    <w:left w:val="single" w:color="auto" w:sz="4" w:space="0"/>
                    <w:bottom w:val="single" w:color="auto" w:sz="4" w:space="0"/>
                    <w:right w:val="single" w:color="auto" w:sz="4" w:space="0"/>
                  </w:tcBorders>
                  <w:vAlign w:val="center"/>
                </w:tcPr>
                <w:p>
                  <w:pPr>
                    <w:pStyle w:val="64"/>
                    <w:widowControl/>
                    <w:rPr>
                      <w:rFonts w:cs="宋体"/>
                      <w:color w:val="000000"/>
                      <w:kern w:val="0"/>
                    </w:rPr>
                  </w:pPr>
                  <w:r>
                    <w:rPr>
                      <w:rFonts w:hint="eastAsia" w:cs="宋体"/>
                      <w:color w:val="000000"/>
                      <w:kern w:val="0"/>
                    </w:rPr>
                    <w:t>建筑隔声、减震垫、消声器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满足《工业企业厂界环境噪声排放标准》3类标准要求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361" w:type="dxa"/>
                  <w:vMerge w:val="restart"/>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固体废物</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污泥</w:t>
                  </w:r>
                </w:p>
              </w:tc>
              <w:tc>
                <w:tcPr>
                  <w:tcW w:w="32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浓缩压滤脱水后含水率小于60%，与原项目中和站污泥一并处理</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1" w:type="dxa"/>
                  <w:vMerge w:val="continue"/>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color w:val="000000"/>
                      <w:sz w:val="21"/>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生活垃圾</w:t>
                  </w:r>
                </w:p>
              </w:tc>
              <w:tc>
                <w:tcPr>
                  <w:tcW w:w="32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太钢厂区环卫部门统一处理</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1"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环境风险</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开展突发环境事件应急预案的编制、评估、备案和实施等，应急预案应与相关部门及周边企业应急预案衔接</w:t>
                  </w:r>
                </w:p>
              </w:tc>
              <w:tc>
                <w:tcPr>
                  <w:tcW w:w="32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建设单位按照环评要求建设并完善了日常和应急监测系统，编制日常和应急监测方案；建立完善的环境信息平台，定期向社会公布企业环境信息，接受公众监督；；将突发环境事件应急预案演练和应急物资管理作为日常工作任务。</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宋体"/>
                      <w:color w:val="000000"/>
                      <w:sz w:val="21"/>
                      <w:szCs w:val="21"/>
                    </w:rPr>
                  </w:pPr>
                  <w:r>
                    <w:rPr>
                      <w:rFonts w:hint="eastAsia" w:ascii="Times New Roman" w:hAnsi="Times New Roman" w:eastAsia="宋体" w:cs="宋体"/>
                      <w:color w:val="000000"/>
                      <w:sz w:val="21"/>
                      <w:szCs w:val="21"/>
                    </w:rPr>
                    <w:t>《突发环境事件应急预案管理暂行办法》（环发[2010]113号）</w:t>
                  </w:r>
                </w:p>
              </w:tc>
            </w:tr>
          </w:tbl>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w:t>
            </w:r>
            <w:r>
              <w:rPr>
                <w:rFonts w:ascii="Times New Roman" w:hAnsi="Times New Roman" w:eastAsia="宋体"/>
                <w:color w:val="000000"/>
                <w:szCs w:val="24"/>
              </w:rPr>
              <w:t>2</w:t>
            </w:r>
            <w:r>
              <w:rPr>
                <w:rFonts w:hint="eastAsia" w:ascii="Times New Roman" w:hAnsi="Times New Roman" w:eastAsia="宋体"/>
                <w:color w:val="000000"/>
                <w:szCs w:val="24"/>
              </w:rPr>
              <w:t>）建议</w:t>
            </w: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加强管理，保证污染防治设施的正常运行，最大限度地减少污染排放给环境造成的影响；通过宣传、学习，增强职工的环保意识，将生产管理和环保管理有机结合起来；加强环保设施日常管理和维护保养，保证其长期稳定运行。</w:t>
            </w:r>
          </w:p>
          <w:p>
            <w:pPr>
              <w:pStyle w:val="52"/>
              <w:spacing w:after="0" w:line="360" w:lineRule="auto"/>
              <w:ind w:firstLine="0" w:firstLineChars="0"/>
              <w:rPr>
                <w:rFonts w:ascii="Times New Roman" w:hAnsi="Times New Roman" w:eastAsia="宋体"/>
                <w:b/>
                <w:bCs/>
                <w:color w:val="000000"/>
                <w:szCs w:val="24"/>
              </w:rPr>
            </w:pPr>
            <w:r>
              <w:rPr>
                <w:rFonts w:ascii="Times New Roman" w:hAnsi="Times New Roman" w:eastAsia="宋体"/>
                <w:b/>
                <w:bCs/>
                <w:color w:val="000000"/>
                <w:szCs w:val="24"/>
              </w:rPr>
              <w:t>2</w:t>
            </w:r>
            <w:r>
              <w:rPr>
                <w:rFonts w:hint="eastAsia" w:ascii="Times New Roman" w:hAnsi="Times New Roman" w:eastAsia="宋体"/>
                <w:b/>
                <w:bCs/>
                <w:color w:val="000000"/>
                <w:szCs w:val="24"/>
              </w:rPr>
              <w:t>、审批部门审批决定</w:t>
            </w:r>
          </w:p>
          <w:p>
            <w:pPr>
              <w:pStyle w:val="52"/>
              <w:spacing w:after="0" w:line="360" w:lineRule="auto"/>
              <w:ind w:firstLine="480"/>
              <w:rPr>
                <w:rFonts w:ascii="Times New Roman" w:hAnsi="Times New Roman" w:eastAsia="宋体" w:cs="Tahoma"/>
                <w:color w:val="000000"/>
                <w:kern w:val="2"/>
                <w:szCs w:val="24"/>
              </w:rPr>
            </w:pPr>
            <w:r>
              <w:rPr>
                <w:rFonts w:hint="eastAsia" w:ascii="Times New Roman" w:hAnsi="Times New Roman" w:eastAsia="宋体"/>
                <w:color w:val="000000"/>
                <w:szCs w:val="24"/>
              </w:rPr>
              <w:t>一、原则同意报告表结论和专家技术审查意见。该项目位于山西太钢不锈钢股份有限公司太钢厂区内，在现有能源动力总厂酸水中和站基础上增加酸废水脱氮脱硝处理系统。主要建设及改造内容：2座300m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PH调节池，配套1座5m</w:t>
            </w:r>
            <w:r>
              <w:rPr>
                <w:rFonts w:hint="eastAsia" w:ascii="Times New Roman" w:hAnsi="Times New Roman" w:eastAsia="宋体"/>
                <w:color w:val="000000"/>
                <w:szCs w:val="24"/>
                <w:vertAlign w:val="superscript"/>
              </w:rPr>
              <w:t>3</w:t>
            </w:r>
            <w:r>
              <w:rPr>
                <w:rFonts w:hint="eastAsia" w:ascii="Times New Roman" w:hAnsi="Times New Roman" w:eastAsia="宋体"/>
                <w:color w:val="000000"/>
                <w:szCs w:val="24"/>
              </w:rPr>
              <w:t>盐酸罐和1座3</w:t>
            </w:r>
            <w:r>
              <w:rPr>
                <w:rFonts w:ascii="Times New Roman" w:hAnsi="Times New Roman" w:eastAsia="宋体"/>
                <w:color w:val="000000"/>
                <w:szCs w:val="24"/>
              </w:rPr>
              <w:t>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NaOH储罐以及盐酸NaOH投加装置；2座300m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中和站出水调节池，配套有压缩空气搅拌装置及提升泵等2座2700</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脱氮调节水池，配套建设2座处理能力300m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/h冷却塔；1套9800m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脱氮反应池；1座2500m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好氧反应池；2座辐流式生物沉淀池，配套刮泥机、排泥泵等；2座污泥浓缩池、配套污泥泵、刮泥机等；依托现有项目压滤脱水间进行压滤脱水，建设1座360m</w:t>
            </w:r>
            <w:r>
              <w:rPr>
                <w:rFonts w:ascii="Times New Roman" w:hAnsi="Times New Roman" w:eastAsia="宋体"/>
                <w:color w:val="000000"/>
                <w:szCs w:val="24"/>
                <w:vertAlign w:val="superscript"/>
              </w:rPr>
              <w:t>3</w:t>
            </w:r>
            <w:r>
              <w:rPr>
                <w:rFonts w:hint="eastAsia" w:ascii="Times New Roman" w:hAnsi="Times New Roman" w:eastAsia="宋体"/>
                <w:color w:val="000000"/>
                <w:szCs w:val="24"/>
              </w:rPr>
              <w:t>滤液收集池。辅助工程为电气室、操作室、中和站出水提升泵房、鼓风机房、甲醇加药系统、磷酸加药系统。储运工程为甲醇储罐、磷酸储存设施、盐酸储罐、NaOH储罐。公用工程为供水、供电、供暖。依托工程为办公楼、食堂、宿舍、污泥压滤脱水间等设施。项目在认真落实报告表及其批复规定的各项环保措施的基础上,从环保角度建设可行。如改变工程建设规模、性质、地址，需另行申报</w:t>
            </w:r>
            <w:r>
              <w:rPr>
                <w:rFonts w:hint="eastAsia" w:ascii="Times New Roman" w:hAnsi="Times New Roman" w:eastAsia="宋体" w:cs="宋体"/>
                <w:color w:val="000000"/>
                <w:kern w:val="2"/>
                <w:szCs w:val="24"/>
              </w:rPr>
              <w:t>：</w:t>
            </w:r>
          </w:p>
          <w:p>
            <w:pPr>
              <w:widowControl w:val="0"/>
              <w:adjustRightInd/>
              <w:snapToGrid/>
              <w:spacing w:after="0" w:line="360" w:lineRule="auto"/>
              <w:ind w:firstLine="480" w:firstLineChars="200"/>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二、落实《报告表》规定的施工期间环境保护措施。施工过程要严格按照《关于进一步加强建筑施工工地环境保护管理的通知》（并环发</w:t>
            </w:r>
            <w:r>
              <w:rPr>
                <w:rFonts w:ascii="Times New Roman" w:hAnsi="Times New Roman" w:eastAsia="宋体"/>
                <w:color w:val="000000"/>
                <w:kern w:val="2"/>
                <w:sz w:val="24"/>
                <w:szCs w:val="24"/>
              </w:rPr>
              <w:t>[2010]18</w:t>
            </w:r>
            <w:r>
              <w:rPr>
                <w:rFonts w:hint="eastAsia" w:ascii="Times New Roman" w:hAnsi="Times New Roman" w:eastAsia="宋体" w:cs="宋体"/>
                <w:color w:val="000000"/>
                <w:kern w:val="2"/>
                <w:sz w:val="24"/>
                <w:szCs w:val="24"/>
              </w:rPr>
              <w:t>号）和《防治城市扬尘污染技术规范》（</w:t>
            </w:r>
            <w:r>
              <w:rPr>
                <w:rFonts w:ascii="Times New Roman" w:hAnsi="Times New Roman" w:eastAsia="宋体"/>
                <w:color w:val="000000"/>
                <w:kern w:val="2"/>
                <w:sz w:val="24"/>
                <w:szCs w:val="24"/>
              </w:rPr>
              <w:t>HJ/T393-2007</w:t>
            </w:r>
            <w:r>
              <w:rPr>
                <w:rFonts w:hint="eastAsia" w:ascii="Times New Roman" w:hAnsi="Times New Roman" w:eastAsia="宋体" w:cs="宋体"/>
                <w:color w:val="000000"/>
                <w:kern w:val="2"/>
                <w:sz w:val="24"/>
                <w:szCs w:val="24"/>
              </w:rPr>
              <w:t>）等环境保护要求，施工期间要做好扬尘污染防治工作；施工产生废水进入太钢污水管网进入太钢污水处理系统进行处理；弃土（渣）要严格按照渣土管理部门要求进行合理处置。</w:t>
            </w:r>
          </w:p>
          <w:p>
            <w:pPr>
              <w:widowControl w:val="0"/>
              <w:adjustRightInd/>
              <w:snapToGrid/>
              <w:spacing w:after="0" w:line="360" w:lineRule="auto"/>
              <w:ind w:firstLine="480" w:firstLineChars="200"/>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三、切实落实营运期间环境保护措施，加强污染物防治措施的运行管理。</w:t>
            </w:r>
          </w:p>
          <w:p>
            <w:pPr>
              <w:widowControl w:val="0"/>
              <w:adjustRightInd/>
              <w:snapToGrid/>
              <w:spacing w:after="0" w:line="360" w:lineRule="auto"/>
              <w:ind w:firstLine="480" w:firstLineChars="200"/>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1、污水处理设施产生的恶臭设置植物液喷淋除臭装置，对产臭环节喷洒植物液除臭，无组织恶臭、H</w:t>
            </w:r>
            <w:r>
              <w:rPr>
                <w:rFonts w:hint="eastAsia" w:ascii="Times New Roman" w:hAnsi="Times New Roman" w:eastAsia="宋体"/>
                <w:color w:val="000000"/>
                <w:kern w:val="2"/>
                <w:sz w:val="24"/>
                <w:szCs w:val="24"/>
                <w:vertAlign w:val="subscript"/>
              </w:rPr>
              <w:t>2</w:t>
            </w:r>
            <w:r>
              <w:rPr>
                <w:rFonts w:hint="eastAsia" w:ascii="Times New Roman" w:hAnsi="Times New Roman" w:eastAsia="宋体"/>
                <w:color w:val="000000"/>
                <w:kern w:val="2"/>
                <w:sz w:val="24"/>
                <w:szCs w:val="24"/>
              </w:rPr>
              <w:t>S、NH</w:t>
            </w:r>
            <w:r>
              <w:rPr>
                <w:rFonts w:hint="eastAsia" w:ascii="Times New Roman" w:hAnsi="Times New Roman" w:eastAsia="宋体"/>
                <w:color w:val="000000"/>
                <w:kern w:val="2"/>
                <w:sz w:val="24"/>
                <w:szCs w:val="24"/>
                <w:vertAlign w:val="subscript"/>
              </w:rPr>
              <w:t>3</w:t>
            </w:r>
            <w:r>
              <w:rPr>
                <w:rFonts w:hint="eastAsia" w:ascii="Times New Roman" w:hAnsi="Times New Roman" w:eastAsia="宋体"/>
                <w:color w:val="000000"/>
                <w:kern w:val="2"/>
                <w:sz w:val="24"/>
                <w:szCs w:val="24"/>
              </w:rPr>
              <w:t>满足《城镇污水处理厂污染物排放标准》(GB18918-2002)表5中二级排放标准。</w:t>
            </w:r>
          </w:p>
          <w:p>
            <w:pPr>
              <w:widowControl w:val="0"/>
              <w:adjustRightInd/>
              <w:snapToGrid/>
              <w:spacing w:after="0" w:line="360" w:lineRule="auto"/>
              <w:ind w:firstLine="480" w:firstLineChars="200"/>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2、项目产生的生活污水经太钢厂区生活污水管网送至生活污水处理站处理。</w:t>
            </w:r>
          </w:p>
          <w:p>
            <w:pPr>
              <w:widowControl w:val="0"/>
              <w:adjustRightInd/>
              <w:snapToGrid/>
              <w:spacing w:after="0" w:line="360" w:lineRule="auto"/>
              <w:ind w:firstLine="480" w:firstLineChars="200"/>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3、项目空压机、搅拌机、压滤机、各种泵等产噪设施采取建筑隔声、减震垫、消声器等降噪措施,确保厂界噪声达到《工业企业厂界环境噪声排放标准》(GB12348-2008)中的厂界外3类声环境功能区标准。</w:t>
            </w:r>
          </w:p>
          <w:p>
            <w:pPr>
              <w:widowControl w:val="0"/>
              <w:adjustRightInd/>
              <w:snapToGrid/>
              <w:spacing w:after="0" w:line="360" w:lineRule="auto"/>
              <w:ind w:firstLine="480" w:firstLineChars="200"/>
              <w:jc w:val="both"/>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4、项目产生的污泥经浓缩机压滤脱水后用作制造型煤最终送太钢150万吨不锈钢工程配套2×300兆瓦自备电厂配煤掺烧。</w:t>
            </w:r>
          </w:p>
          <w:p>
            <w:pPr>
              <w:widowControl w:val="0"/>
              <w:adjustRightInd/>
              <w:snapToGrid/>
              <w:spacing w:after="0" w:line="360" w:lineRule="auto"/>
              <w:ind w:firstLine="480" w:firstLineChars="200"/>
              <w:jc w:val="both"/>
              <w:rPr>
                <w:rFonts w:ascii="Times New Roman" w:hAnsi="Times New Roman" w:eastAsia="宋体" w:cs="Tahoma"/>
                <w:color w:val="000000"/>
                <w:kern w:val="2"/>
                <w:sz w:val="24"/>
                <w:szCs w:val="24"/>
              </w:rPr>
            </w:pPr>
            <w:r>
              <w:rPr>
                <w:rFonts w:hint="eastAsia" w:ascii="Times New Roman" w:hAnsi="Times New Roman" w:eastAsia="宋体"/>
                <w:color w:val="000000"/>
                <w:kern w:val="2"/>
                <w:sz w:val="24"/>
                <w:szCs w:val="24"/>
              </w:rPr>
              <w:t>四、该项目位于兰村泉域一级保护区范围内,应按照太原市尖草坪区水务局草坪水函【2018】2号《关于太钢水系统改造项目有关事宜请示的复函》要求执行</w:t>
            </w:r>
            <w:r>
              <w:rPr>
                <w:rFonts w:hint="eastAsia" w:ascii="Times New Roman" w:hAnsi="Times New Roman" w:eastAsia="宋体" w:cs="宋体"/>
                <w:color w:val="000000"/>
                <w:kern w:val="2"/>
                <w:sz w:val="24"/>
                <w:szCs w:val="24"/>
              </w:rPr>
              <w:t>。</w:t>
            </w:r>
          </w:p>
          <w:p>
            <w:pPr>
              <w:widowControl w:val="0"/>
              <w:adjustRightInd/>
              <w:snapToGrid/>
              <w:spacing w:after="0" w:line="360" w:lineRule="auto"/>
              <w:ind w:firstLine="480" w:firstLineChars="200"/>
              <w:jc w:val="both"/>
              <w:rPr>
                <w:rFonts w:ascii="Times New Roman" w:hAnsi="Times New Roman" w:eastAsia="宋体" w:cs="Tahoma"/>
                <w:color w:val="000000"/>
                <w:kern w:val="2"/>
                <w:sz w:val="24"/>
                <w:szCs w:val="24"/>
              </w:rPr>
            </w:pPr>
            <w:r>
              <w:rPr>
                <w:rFonts w:hint="eastAsia" w:ascii="Times New Roman" w:hAnsi="Times New Roman" w:eastAsia="宋体" w:cs="宋体"/>
                <w:color w:val="000000"/>
                <w:kern w:val="2"/>
                <w:sz w:val="24"/>
                <w:szCs w:val="24"/>
              </w:rPr>
              <w:t>五、报告表和本批复规定的各项环境保护措施要逐项落实，做到污染防治设施和主体工程同时设计、同时施工、同时投入使用。项目建成后，需按照省环保厅《关于做好建设项目环境保护管理相关工作的通知》（晋环许可函</w:t>
            </w:r>
            <w:r>
              <w:rPr>
                <w:rFonts w:ascii="Times New Roman" w:hAnsi="Times New Roman" w:eastAsia="宋体"/>
                <w:color w:val="000000"/>
                <w:kern w:val="2"/>
                <w:sz w:val="24"/>
                <w:szCs w:val="24"/>
              </w:rPr>
              <w:t>[2018]39</w:t>
            </w:r>
            <w:r>
              <w:rPr>
                <w:rFonts w:hint="eastAsia" w:ascii="Times New Roman" w:hAnsi="Times New Roman" w:eastAsia="宋体" w:cs="宋体"/>
                <w:color w:val="000000"/>
                <w:kern w:val="2"/>
                <w:sz w:val="24"/>
                <w:szCs w:val="24"/>
              </w:rPr>
              <w:t>号）要求办理竣工验收事宜。我局委托市环境监察支队负责本项目的现场监察和监督管理工作。</w:t>
            </w:r>
          </w:p>
          <w:p>
            <w:pPr>
              <w:spacing w:after="0" w:line="360" w:lineRule="auto"/>
              <w:rPr>
                <w:rFonts w:ascii="宋体" w:hAnsi="宋体" w:eastAsia="宋体"/>
                <w:b/>
                <w:color w:val="000000"/>
                <w:sz w:val="24"/>
                <w:szCs w:val="24"/>
              </w:rPr>
            </w:pPr>
            <w:r>
              <w:rPr>
                <w:rFonts w:hint="eastAsia" w:ascii="宋体" w:hAnsi="宋体" w:eastAsia="宋体"/>
                <w:b/>
                <w:color w:val="000000"/>
                <w:sz w:val="24"/>
                <w:szCs w:val="24"/>
              </w:rPr>
              <w:t>3、环评批复要求的环保措施</w:t>
            </w:r>
            <w:r>
              <w:rPr>
                <w:rFonts w:ascii="宋体" w:hAnsi="宋体" w:eastAsia="宋体"/>
                <w:b/>
                <w:color w:val="000000"/>
                <w:sz w:val="24"/>
                <w:szCs w:val="24"/>
              </w:rPr>
              <w:t>及设施实际完成情况</w:t>
            </w:r>
          </w:p>
          <w:p>
            <w:pPr>
              <w:spacing w:after="0"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表</w:t>
            </w:r>
            <w:r>
              <w:rPr>
                <w:rFonts w:hint="eastAsia" w:ascii="Times New Roman" w:hAnsi="Times New Roman" w:eastAsia="宋体"/>
                <w:color w:val="000000"/>
                <w:sz w:val="24"/>
                <w:szCs w:val="24"/>
              </w:rPr>
              <w:t>4</w:t>
            </w:r>
            <w:r>
              <w:rPr>
                <w:rFonts w:ascii="Times New Roman" w:hAnsi="Times New Roman" w:eastAsia="宋体"/>
                <w:color w:val="000000"/>
                <w:sz w:val="24"/>
                <w:szCs w:val="24"/>
              </w:rPr>
              <w:t xml:space="preserve">-2  </w:t>
            </w:r>
            <w:r>
              <w:rPr>
                <w:rFonts w:hint="eastAsia" w:ascii="Times New Roman" w:hAnsi="Times New Roman" w:eastAsia="宋体"/>
                <w:color w:val="000000"/>
                <w:sz w:val="24"/>
                <w:szCs w:val="24"/>
              </w:rPr>
              <w:t>环评批复要求的环保措施及设施实际完成情况表</w:t>
            </w:r>
          </w:p>
          <w:tbl>
            <w:tblPr>
              <w:tblStyle w:val="43"/>
              <w:tblpPr w:leftFromText="180" w:rightFromText="180" w:vertAnchor="text" w:tblpXSpec="center" w:tblpY="1"/>
              <w:tblOverlap w:val="never"/>
              <w:tblW w:w="82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008"/>
              <w:gridCol w:w="3969"/>
              <w:gridCol w:w="12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3008"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环评及批复要求</w:t>
                  </w:r>
                </w:p>
              </w:tc>
              <w:tc>
                <w:tcPr>
                  <w:tcW w:w="3969" w:type="dxa"/>
                  <w:vAlign w:val="center"/>
                </w:tcPr>
                <w:p>
                  <w:pPr>
                    <w:spacing w:after="0"/>
                    <w:ind w:left="125" w:leftChars="57" w:firstLine="105" w:firstLineChars="50"/>
                    <w:jc w:val="center"/>
                    <w:rPr>
                      <w:rFonts w:ascii="Times New Roman" w:hAnsi="Times New Roman" w:eastAsia="宋体"/>
                      <w:b/>
                      <w:color w:val="000000"/>
                      <w:sz w:val="21"/>
                      <w:szCs w:val="21"/>
                    </w:rPr>
                  </w:pPr>
                  <w:r>
                    <w:rPr>
                      <w:rFonts w:ascii="Times New Roman" w:hAnsi="Times New Roman" w:eastAsia="宋体"/>
                      <w:b/>
                      <w:color w:val="000000"/>
                      <w:sz w:val="21"/>
                      <w:szCs w:val="21"/>
                    </w:rPr>
                    <w:t>实际落实情况</w:t>
                  </w:r>
                </w:p>
              </w:tc>
              <w:tc>
                <w:tcPr>
                  <w:tcW w:w="1276" w:type="dxa"/>
                  <w:vAlign w:val="top"/>
                </w:tcPr>
                <w:p>
                  <w:pPr>
                    <w:spacing w:after="0"/>
                    <w:ind w:left="125" w:leftChars="57" w:firstLine="105" w:firstLineChars="50"/>
                    <w:jc w:val="center"/>
                    <w:rPr>
                      <w:rFonts w:ascii="Times New Roman" w:hAnsi="Times New Roman" w:eastAsia="宋体"/>
                      <w:b/>
                      <w:color w:val="000000"/>
                      <w:sz w:val="21"/>
                      <w:szCs w:val="21"/>
                    </w:rPr>
                  </w:pPr>
                  <w:r>
                    <w:rPr>
                      <w:rFonts w:hint="eastAsia" w:ascii="Times New Roman" w:hAnsi="Times New Roman" w:eastAsia="宋体"/>
                      <w:b/>
                      <w:color w:val="000000"/>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875" w:hRule="atLeast"/>
                <w:jc w:val="center"/>
              </w:trPr>
              <w:tc>
                <w:tcPr>
                  <w:tcW w:w="3008" w:type="dxa"/>
                  <w:vAlign w:val="center"/>
                </w:tcPr>
                <w:p>
                  <w:pPr>
                    <w:spacing w:before="3" w:line="343" w:lineRule="exact"/>
                    <w:ind w:right="-80"/>
                    <w:rPr>
                      <w:rFonts w:ascii="Times New Roman" w:hAnsi="Times New Roman" w:eastAsia="宋体"/>
                      <w:color w:val="000000"/>
                      <w:sz w:val="21"/>
                      <w:szCs w:val="21"/>
                    </w:rPr>
                  </w:pPr>
                  <w:r>
                    <w:rPr>
                      <w:rFonts w:hint="eastAsia" w:ascii="Times New Roman" w:hAnsi="Times New Roman" w:eastAsia="宋体"/>
                      <w:color w:val="000000"/>
                      <w:sz w:val="21"/>
                      <w:szCs w:val="21"/>
                    </w:rPr>
                    <w:t>1、污水处理设施产生的恶臭设置植物液喷淋除臭装置，对产臭环节喷洒植物液除臭，无组织恶臭、H</w:t>
                  </w:r>
                  <w:r>
                    <w:rPr>
                      <w:rFonts w:hint="eastAsia" w:ascii="Times New Roman" w:hAnsi="Times New Roman" w:eastAsia="宋体"/>
                      <w:color w:val="000000"/>
                      <w:sz w:val="21"/>
                      <w:szCs w:val="21"/>
                      <w:vertAlign w:val="subscript"/>
                    </w:rPr>
                    <w:t>2</w:t>
                  </w:r>
                  <w:r>
                    <w:rPr>
                      <w:rFonts w:hint="eastAsia" w:ascii="Times New Roman" w:hAnsi="Times New Roman" w:eastAsia="宋体"/>
                      <w:color w:val="000000"/>
                      <w:sz w:val="21"/>
                      <w:szCs w:val="21"/>
                    </w:rPr>
                    <w:t>S、NH</w:t>
                  </w:r>
                  <w:r>
                    <w:rPr>
                      <w:rFonts w:hint="eastAsia" w:ascii="Times New Roman" w:hAnsi="Times New Roman" w:eastAsia="宋体"/>
                      <w:color w:val="000000"/>
                      <w:sz w:val="21"/>
                      <w:szCs w:val="21"/>
                      <w:vertAlign w:val="subscript"/>
                    </w:rPr>
                    <w:t>3</w:t>
                  </w:r>
                  <w:r>
                    <w:rPr>
                      <w:rFonts w:hint="eastAsia" w:ascii="Times New Roman" w:hAnsi="Times New Roman" w:eastAsia="宋体"/>
                      <w:color w:val="000000"/>
                      <w:sz w:val="21"/>
                      <w:szCs w:val="21"/>
                    </w:rPr>
                    <w:t>满足《城镇污水处理厂污染物排放标准》(GB18918-2002)表5中二级排放标准。</w:t>
                  </w:r>
                </w:p>
              </w:tc>
              <w:tc>
                <w:tcPr>
                  <w:tcW w:w="3969"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通过对污水的深度处理，可使水处理设施的无组织恶臭＜2</w:t>
                  </w:r>
                  <w:r>
                    <w:rPr>
                      <w:rFonts w:ascii="Times New Roman" w:hAnsi="Times New Roman" w:eastAsia="宋体"/>
                      <w:color w:val="000000"/>
                      <w:sz w:val="21"/>
                      <w:szCs w:val="21"/>
                    </w:rPr>
                    <w:t>0</w:t>
                  </w:r>
                  <w:r>
                    <w:rPr>
                      <w:rFonts w:hint="eastAsia" w:ascii="Times New Roman" w:hAnsi="Times New Roman" w:eastAsia="宋体"/>
                      <w:color w:val="000000"/>
                      <w:sz w:val="21"/>
                      <w:szCs w:val="21"/>
                    </w:rPr>
                    <w:t>、</w:t>
                  </w:r>
                  <w:r>
                    <w:rPr>
                      <w:rFonts w:hint="eastAsia" w:ascii="Times New Roman" w:hAnsi="Times New Roman" w:eastAsia="宋体"/>
                      <w:color w:val="000000"/>
                      <w:kern w:val="2"/>
                      <w:szCs w:val="24"/>
                    </w:rPr>
                    <w:t>H</w:t>
                  </w:r>
                  <w:r>
                    <w:rPr>
                      <w:rFonts w:hint="eastAsia" w:ascii="Times New Roman" w:hAnsi="Times New Roman" w:eastAsia="宋体"/>
                      <w:color w:val="000000"/>
                      <w:kern w:val="2"/>
                      <w:szCs w:val="24"/>
                      <w:vertAlign w:val="subscript"/>
                    </w:rPr>
                    <w:t>2</w:t>
                  </w:r>
                  <w:r>
                    <w:rPr>
                      <w:rFonts w:hint="eastAsia" w:ascii="Times New Roman" w:hAnsi="Times New Roman" w:eastAsia="宋体"/>
                      <w:color w:val="000000"/>
                      <w:kern w:val="2"/>
                      <w:szCs w:val="24"/>
                    </w:rPr>
                    <w:t>S</w:t>
                  </w:r>
                  <w:r>
                    <w:rPr>
                      <w:rFonts w:hint="eastAsia" w:ascii="Times New Roman" w:hAnsi="Times New Roman" w:eastAsia="宋体"/>
                      <w:color w:val="000000"/>
                      <w:sz w:val="21"/>
                      <w:szCs w:val="21"/>
                    </w:rPr>
                    <w:t>＜</w:t>
                  </w:r>
                  <w:r>
                    <w:rPr>
                      <w:rFonts w:ascii="Times New Roman" w:hAnsi="Times New Roman" w:eastAsia="宋体"/>
                      <w:color w:val="000000"/>
                      <w:kern w:val="2"/>
                      <w:sz w:val="21"/>
                      <w:szCs w:val="21"/>
                    </w:rPr>
                    <w:t>0.06mg/m</w:t>
                  </w:r>
                  <w:r>
                    <w:rPr>
                      <w:rFonts w:ascii="Times New Roman" w:hAnsi="Times New Roman" w:eastAsia="宋体"/>
                      <w:color w:val="000000"/>
                      <w:kern w:val="2"/>
                      <w:sz w:val="21"/>
                      <w:szCs w:val="21"/>
                      <w:vertAlign w:val="superscript"/>
                    </w:rPr>
                    <w:t>3</w:t>
                  </w:r>
                  <w:r>
                    <w:rPr>
                      <w:rFonts w:hint="eastAsia" w:ascii="Times New Roman" w:hAnsi="Times New Roman" w:eastAsia="宋体"/>
                      <w:color w:val="000000"/>
                      <w:kern w:val="2"/>
                      <w:szCs w:val="24"/>
                    </w:rPr>
                    <w:t>、NH</w:t>
                  </w:r>
                  <w:r>
                    <w:rPr>
                      <w:rFonts w:hint="eastAsia" w:ascii="Times New Roman" w:hAnsi="Times New Roman" w:eastAsia="宋体"/>
                      <w:color w:val="000000"/>
                      <w:kern w:val="2"/>
                      <w:szCs w:val="24"/>
                      <w:vertAlign w:val="subscript"/>
                    </w:rPr>
                    <w:t>3</w:t>
                  </w:r>
                  <w:r>
                    <w:rPr>
                      <w:rFonts w:hint="eastAsia" w:ascii="Times New Roman" w:hAnsi="Times New Roman" w:eastAsia="宋体"/>
                      <w:color w:val="000000"/>
                      <w:sz w:val="21"/>
                      <w:szCs w:val="21"/>
                    </w:rPr>
                    <w:t>＜</w:t>
                  </w:r>
                  <w:r>
                    <w:rPr>
                      <w:rFonts w:ascii="Times New Roman" w:hAnsi="Times New Roman" w:eastAsia="宋体"/>
                      <w:color w:val="000000"/>
                      <w:kern w:val="2"/>
                      <w:sz w:val="21"/>
                      <w:szCs w:val="21"/>
                    </w:rPr>
                    <w:t>15mg/m</w:t>
                  </w:r>
                  <w:r>
                    <w:rPr>
                      <w:rFonts w:ascii="Times New Roman" w:hAnsi="Times New Roman" w:eastAsia="宋体"/>
                      <w:color w:val="000000"/>
                      <w:kern w:val="2"/>
                      <w:sz w:val="21"/>
                      <w:szCs w:val="21"/>
                      <w:vertAlign w:val="superscript"/>
                    </w:rPr>
                    <w:t>3</w:t>
                  </w:r>
                  <w:r>
                    <w:rPr>
                      <w:rFonts w:hint="eastAsia" w:ascii="Times New Roman" w:hAnsi="Times New Roman" w:eastAsia="宋体"/>
                      <w:color w:val="000000"/>
                      <w:sz w:val="21"/>
                      <w:szCs w:val="21"/>
                    </w:rPr>
                    <w:t>满足《城镇污水处理厂污染物排放标准》（G</w:t>
                  </w:r>
                  <w:r>
                    <w:rPr>
                      <w:rFonts w:ascii="Times New Roman" w:hAnsi="Times New Roman" w:eastAsia="宋体"/>
                      <w:color w:val="000000"/>
                      <w:sz w:val="21"/>
                      <w:szCs w:val="21"/>
                    </w:rPr>
                    <w:t>B18918-2002</w:t>
                  </w:r>
                  <w:r>
                    <w:rPr>
                      <w:rFonts w:hint="eastAsia" w:ascii="Times New Roman" w:hAnsi="Times New Roman" w:eastAsia="宋体"/>
                      <w:color w:val="000000"/>
                      <w:sz w:val="21"/>
                      <w:szCs w:val="21"/>
                    </w:rPr>
                    <w:t>）表5中二级排放标准。</w:t>
                  </w:r>
                </w:p>
              </w:tc>
              <w:tc>
                <w:tcPr>
                  <w:tcW w:w="1276"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942" w:hRule="atLeast"/>
                <w:jc w:val="center"/>
              </w:trPr>
              <w:tc>
                <w:tcPr>
                  <w:tcW w:w="3008" w:type="dxa"/>
                  <w:vAlign w:val="center"/>
                </w:tcPr>
                <w:p>
                  <w:pPr>
                    <w:spacing w:before="29" w:line="323" w:lineRule="exact"/>
                    <w:ind w:right="-2"/>
                    <w:rPr>
                      <w:rFonts w:ascii="Times New Roman" w:hAnsi="Times New Roman" w:eastAsia="宋体"/>
                      <w:color w:val="000000"/>
                      <w:sz w:val="21"/>
                      <w:szCs w:val="21"/>
                    </w:rPr>
                  </w:pPr>
                  <w:r>
                    <w:rPr>
                      <w:rFonts w:hint="eastAsia" w:ascii="Times New Roman" w:hAnsi="Times New Roman" w:eastAsia="宋体"/>
                      <w:color w:val="000000"/>
                      <w:sz w:val="21"/>
                      <w:szCs w:val="21"/>
                    </w:rPr>
                    <w:t>2、项目产生的生活污水经太钢厂区生活污水管网送至生活污水处理站处理。</w:t>
                  </w:r>
                </w:p>
              </w:tc>
              <w:tc>
                <w:tcPr>
                  <w:tcW w:w="3969" w:type="dxa"/>
                  <w:vAlign w:val="center"/>
                </w:tcPr>
                <w:p>
                  <w:pPr>
                    <w:spacing w:line="276" w:lineRule="auto"/>
                    <w:rPr>
                      <w:rFonts w:ascii="Times New Roman" w:hAnsi="Times New Roman" w:eastAsia="宋体"/>
                      <w:color w:val="000000"/>
                      <w:szCs w:val="21"/>
                    </w:rPr>
                  </w:pPr>
                  <w:r>
                    <w:rPr>
                      <w:rFonts w:hint="eastAsia" w:ascii="Times New Roman" w:hAnsi="Times New Roman" w:eastAsia="宋体"/>
                      <w:color w:val="000000"/>
                      <w:sz w:val="21"/>
                      <w:szCs w:val="21"/>
                    </w:rPr>
                    <w:t>项目产生的生活污水经太钢厂区生活污水管网送至生活污水处理站处理。</w:t>
                  </w:r>
                </w:p>
              </w:tc>
              <w:tc>
                <w:tcPr>
                  <w:tcW w:w="1276"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jc w:val="center"/>
              </w:trPr>
              <w:tc>
                <w:tcPr>
                  <w:tcW w:w="3008" w:type="dxa"/>
                  <w:vAlign w:val="center"/>
                </w:tcPr>
                <w:p>
                  <w:pPr>
                    <w:spacing w:before="12" w:line="311" w:lineRule="exact"/>
                    <w:ind w:right="60"/>
                    <w:rPr>
                      <w:rFonts w:ascii="Times New Roman" w:hAnsi="Times New Roman" w:eastAsia="宋体"/>
                      <w:color w:val="000000"/>
                      <w:sz w:val="21"/>
                      <w:szCs w:val="21"/>
                    </w:rPr>
                  </w:pPr>
                  <w:r>
                    <w:rPr>
                      <w:rFonts w:hint="eastAsia" w:ascii="Times New Roman" w:hAnsi="Times New Roman" w:eastAsia="宋体"/>
                      <w:color w:val="000000"/>
                      <w:sz w:val="21"/>
                      <w:szCs w:val="21"/>
                    </w:rPr>
                    <w:t>3、项目空压机、搅拌机、压滤机、各种泵等产噪设施采取建筑隔声、减震垫、消声器等降噪措施,确保厂界噪声达到《工业企业厂界环境噪声排放标准》(GB12348-2008)中的厂界外3类声环境功能区标准。</w:t>
                  </w:r>
                </w:p>
              </w:tc>
              <w:tc>
                <w:tcPr>
                  <w:tcW w:w="3969"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水处理设施中产噪设备均设有减震基础、水泵单独布置在泵房，风机设置有消声器等降噪设施，监测结果测得厂界噪声达到《工业企业厂界环境噪声排放标准》（</w:t>
                  </w:r>
                  <w:r>
                    <w:rPr>
                      <w:rFonts w:ascii="Times New Roman" w:hAnsi="Times New Roman" w:eastAsia="宋体"/>
                      <w:color w:val="000000"/>
                      <w:sz w:val="21"/>
                      <w:szCs w:val="21"/>
                    </w:rPr>
                    <w:t>GB12348-2008</w:t>
                  </w:r>
                  <w:r>
                    <w:rPr>
                      <w:rFonts w:hint="eastAsia" w:ascii="Times New Roman" w:hAnsi="Times New Roman" w:eastAsia="宋体"/>
                      <w:color w:val="000000"/>
                      <w:sz w:val="21"/>
                      <w:szCs w:val="21"/>
                    </w:rPr>
                    <w:t>）中的厂界外</w:t>
                  </w:r>
                  <w:r>
                    <w:rPr>
                      <w:rFonts w:ascii="Times New Roman" w:hAnsi="Times New Roman" w:eastAsia="宋体"/>
                      <w:color w:val="000000"/>
                      <w:sz w:val="21"/>
                      <w:szCs w:val="21"/>
                    </w:rPr>
                    <w:t>3</w:t>
                  </w:r>
                  <w:r>
                    <w:rPr>
                      <w:rFonts w:hint="eastAsia" w:ascii="Times New Roman" w:hAnsi="Times New Roman" w:eastAsia="宋体"/>
                      <w:color w:val="000000"/>
                      <w:sz w:val="21"/>
                      <w:szCs w:val="21"/>
                    </w:rPr>
                    <w:t>类噪声排放限值。</w:t>
                  </w:r>
                </w:p>
              </w:tc>
              <w:tc>
                <w:tcPr>
                  <w:tcW w:w="1276"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550" w:hRule="atLeast"/>
                <w:jc w:val="center"/>
              </w:trPr>
              <w:tc>
                <w:tcPr>
                  <w:tcW w:w="3008" w:type="dxa"/>
                  <w:vAlign w:val="center"/>
                </w:tcPr>
                <w:p>
                  <w:pPr>
                    <w:spacing w:before="147"/>
                    <w:ind w:right="-95"/>
                    <w:rPr>
                      <w:rFonts w:ascii="Times New Roman" w:hAnsi="Times New Roman" w:eastAsia="宋体"/>
                      <w:color w:val="000000"/>
                      <w:sz w:val="21"/>
                      <w:szCs w:val="21"/>
                    </w:rPr>
                  </w:pPr>
                  <w:r>
                    <w:rPr>
                      <w:rFonts w:hint="eastAsia" w:ascii="Times New Roman" w:hAnsi="Times New Roman" w:eastAsia="宋体"/>
                      <w:color w:val="000000"/>
                      <w:sz w:val="21"/>
                      <w:szCs w:val="21"/>
                    </w:rPr>
                    <w:t>4、项目产生的污泥经浓缩机压滤脱水后用作制造型煤最终送太钢150万吨不锈钢工程配套2×300兆瓦自备电厂配煤掺烧。</w:t>
                  </w:r>
                </w:p>
              </w:tc>
              <w:tc>
                <w:tcPr>
                  <w:tcW w:w="3969" w:type="dxa"/>
                  <w:vAlign w:val="center"/>
                </w:tcPr>
                <w:p>
                  <w:pPr>
                    <w:spacing w:after="0" w:line="276" w:lineRule="auto"/>
                    <w:ind w:firstLine="420" w:firstLineChars="200"/>
                    <w:jc w:val="both"/>
                    <w:rPr>
                      <w:rFonts w:ascii="Times New Roman" w:hAnsi="Times New Roman" w:eastAsia="宋体"/>
                      <w:color w:val="000000"/>
                      <w:sz w:val="21"/>
                      <w:szCs w:val="21"/>
                    </w:rPr>
                  </w:pPr>
                  <w:r>
                    <w:rPr>
                      <w:rFonts w:hint="eastAsia" w:ascii="Times New Roman" w:hAnsi="Times New Roman" w:eastAsia="宋体"/>
                      <w:color w:val="000000"/>
                      <w:sz w:val="21"/>
                      <w:szCs w:val="21"/>
                    </w:rPr>
                    <w:t>水处理设施产生的污泥经浓缩机压滤脱水后用作制造型煤最终送太钢1</w:t>
                  </w:r>
                  <w:r>
                    <w:rPr>
                      <w:rFonts w:ascii="Times New Roman" w:hAnsi="Times New Roman" w:eastAsia="宋体"/>
                      <w:color w:val="000000"/>
                      <w:sz w:val="21"/>
                      <w:szCs w:val="21"/>
                    </w:rPr>
                    <w:t>50</w:t>
                  </w:r>
                  <w:r>
                    <w:rPr>
                      <w:rFonts w:hint="eastAsia" w:ascii="Times New Roman" w:hAnsi="Times New Roman" w:eastAsia="宋体"/>
                      <w:color w:val="000000"/>
                      <w:sz w:val="21"/>
                      <w:szCs w:val="21"/>
                    </w:rPr>
                    <w:t>万吨不锈钢工程配套2×</w:t>
                  </w:r>
                  <w:r>
                    <w:rPr>
                      <w:rFonts w:ascii="Times New Roman" w:hAnsi="Times New Roman" w:eastAsia="宋体"/>
                      <w:color w:val="000000"/>
                      <w:sz w:val="21"/>
                      <w:szCs w:val="21"/>
                    </w:rPr>
                    <w:t>300</w:t>
                  </w:r>
                  <w:r>
                    <w:rPr>
                      <w:rFonts w:hint="eastAsia" w:ascii="Times New Roman" w:hAnsi="Times New Roman" w:eastAsia="宋体"/>
                      <w:color w:val="000000"/>
                      <w:sz w:val="21"/>
                      <w:szCs w:val="21"/>
                    </w:rPr>
                    <w:t>兆瓦自备电厂配煤掺烧。</w:t>
                  </w:r>
                </w:p>
              </w:tc>
              <w:tc>
                <w:tcPr>
                  <w:tcW w:w="1276" w:type="dxa"/>
                  <w:vAlign w:val="center"/>
                </w:tcPr>
                <w:p>
                  <w:pPr>
                    <w:spacing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008" w:type="dxa"/>
                  <w:vAlign w:val="center"/>
                </w:tcPr>
                <w:p>
                  <w:pPr>
                    <w:spacing w:line="280" w:lineRule="atLeast"/>
                    <w:rPr>
                      <w:rFonts w:ascii="Times New Roman" w:hAnsi="Times New Roman" w:eastAsia="宋体"/>
                      <w:color w:val="000000"/>
                      <w:sz w:val="21"/>
                      <w:szCs w:val="21"/>
                    </w:rPr>
                  </w:pPr>
                  <w:r>
                    <w:rPr>
                      <w:rFonts w:hint="eastAsia" w:ascii="Times New Roman" w:hAnsi="Times New Roman" w:eastAsia="宋体"/>
                      <w:color w:val="000000"/>
                      <w:sz w:val="21"/>
                      <w:szCs w:val="21"/>
                    </w:rPr>
                    <w:t>该项目位于兰村泉域一级保护区范围内,应按照太原市尖草坪区水务局草坪水函【2018】2号《关于太钢水系统改造项目有关事宜请示的复函》要求执行，</w:t>
                  </w:r>
                </w:p>
              </w:tc>
              <w:tc>
                <w:tcPr>
                  <w:tcW w:w="3969" w:type="dxa"/>
                  <w:vAlign w:val="center"/>
                </w:tcPr>
                <w:p>
                  <w:pPr>
                    <w:spacing w:after="0"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项目按照</w:t>
                  </w:r>
                  <w:r>
                    <w:rPr>
                      <w:rFonts w:ascii="Times New Roman" w:hAnsi="Times New Roman" w:eastAsia="宋体"/>
                      <w:color w:val="000000"/>
                      <w:sz w:val="21"/>
                      <w:szCs w:val="21"/>
                    </w:rPr>
                    <w:t>《太原市兰村泉域水资源保护条例</w:t>
                  </w:r>
                  <w:r>
                    <w:rPr>
                      <w:rFonts w:hint="eastAsia" w:ascii="Times New Roman" w:hAnsi="Times New Roman" w:eastAsia="宋体"/>
                      <w:color w:val="000000"/>
                      <w:sz w:val="21"/>
                      <w:szCs w:val="21"/>
                    </w:rPr>
                    <w:t>》和环评要求，建设过程保证不对兰村泉域水源造成扰动，并完善水池防渗处理，</w:t>
                  </w:r>
                </w:p>
              </w:tc>
              <w:tc>
                <w:tcPr>
                  <w:tcW w:w="1276" w:type="dxa"/>
                  <w:vAlign w:val="center"/>
                </w:tcPr>
                <w:p>
                  <w:pPr>
                    <w:spacing w:after="0" w:line="276" w:lineRule="auto"/>
                    <w:rPr>
                      <w:rFonts w:ascii="Times New Roman" w:hAnsi="Times New Roman" w:eastAsia="宋体"/>
                      <w:color w:val="000000"/>
                      <w:sz w:val="21"/>
                      <w:szCs w:val="21"/>
                    </w:rPr>
                  </w:pPr>
                  <w:r>
                    <w:rPr>
                      <w:rFonts w:hint="eastAsia" w:ascii="Times New Roman" w:hAnsi="Times New Roman" w:eastAsia="宋体"/>
                      <w:color w:val="000000"/>
                      <w:sz w:val="21"/>
                      <w:szCs w:val="21"/>
                    </w:rPr>
                    <w:t>基本一致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008" w:type="dxa"/>
                  <w:vAlign w:val="center"/>
                </w:tcPr>
                <w:p>
                  <w:pPr>
                    <w:spacing w:line="280" w:lineRule="atLeast"/>
                    <w:rPr>
                      <w:rFonts w:ascii="Times New Roman" w:hAnsi="Times New Roman" w:eastAsia="宋体"/>
                      <w:color w:val="000000"/>
                      <w:sz w:val="21"/>
                      <w:szCs w:val="21"/>
                    </w:rPr>
                  </w:pPr>
                  <w:r>
                    <w:rPr>
                      <w:rFonts w:hint="eastAsia" w:ascii="Times New Roman" w:hAnsi="Times New Roman" w:eastAsia="宋体"/>
                      <w:color w:val="000000"/>
                      <w:sz w:val="21"/>
                      <w:szCs w:val="21"/>
                    </w:rPr>
                    <w:t>报告表和本批复规定的各项环境保护措施要逐项落实，做到污染防治设施和主体工程同时设计、同时施工、同时投入使用。项目建成后，需按照省环保厅《关于做好建设项目环境保护管理相关工作的通知》（晋环许可函[2018]39号）要求办理竣工验收事宜。我局委托市环境监察支队负责本项目的现场监察和监督管理工作。</w:t>
                  </w:r>
                </w:p>
              </w:tc>
              <w:tc>
                <w:tcPr>
                  <w:tcW w:w="3969" w:type="dxa"/>
                  <w:vAlign w:val="center"/>
                </w:tcPr>
                <w:p>
                  <w:pPr>
                    <w:spacing w:after="0" w:line="276" w:lineRule="auto"/>
                    <w:ind w:firstLine="420" w:firstLineChars="200"/>
                    <w:rPr>
                      <w:rFonts w:ascii="Times New Roman" w:hAnsi="Times New Roman" w:eastAsia="宋体"/>
                      <w:color w:val="000000"/>
                      <w:sz w:val="21"/>
                      <w:szCs w:val="21"/>
                    </w:rPr>
                  </w:pPr>
                  <w:r>
                    <w:rPr>
                      <w:rFonts w:hint="eastAsia" w:ascii="Times New Roman" w:hAnsi="Times New Roman" w:eastAsia="宋体"/>
                      <w:color w:val="000000"/>
                      <w:sz w:val="21"/>
                      <w:szCs w:val="21"/>
                    </w:rPr>
                    <w:t>逐项落实了各项环境保护措施，能做到污染防治设施和主体工程同时设计、同时施工、同时投入使用。</w:t>
                  </w:r>
                </w:p>
              </w:tc>
              <w:tc>
                <w:tcPr>
                  <w:tcW w:w="1276" w:type="dxa"/>
                  <w:vAlign w:val="center"/>
                </w:tcPr>
                <w:p>
                  <w:pPr>
                    <w:spacing w:after="0" w:line="276" w:lineRule="auto"/>
                    <w:rPr>
                      <w:rFonts w:ascii="Times New Roman" w:hAnsi="Times New Roman" w:eastAsia="宋体"/>
                      <w:color w:val="000000"/>
                      <w:sz w:val="21"/>
                      <w:szCs w:val="21"/>
                    </w:rPr>
                  </w:pPr>
                  <w:r>
                    <w:rPr>
                      <w:rFonts w:hint="eastAsia" w:ascii="Times New Roman" w:hAnsi="Times New Roman" w:eastAsia="宋体"/>
                      <w:color w:val="000000"/>
                      <w:sz w:val="21"/>
                      <w:szCs w:val="21"/>
                    </w:rPr>
                    <w:t>基本一致</w:t>
                  </w:r>
                </w:p>
              </w:tc>
            </w:tr>
          </w:tbl>
          <w:p>
            <w:pPr>
              <w:rPr>
                <w:color w:val="000000"/>
              </w:rPr>
            </w:pPr>
          </w:p>
        </w:tc>
      </w:tr>
    </w:tbl>
    <w:p>
      <w:pPr>
        <w:spacing w:line="360" w:lineRule="auto"/>
        <w:rPr>
          <w:rFonts w:eastAsia="仿宋_GB2312"/>
          <w:color w:val="000000"/>
          <w:sz w:val="21"/>
          <w:szCs w:val="21"/>
        </w:rPr>
        <w:sectPr>
          <w:footerReference r:id="rId8" w:type="default"/>
          <w:pgSz w:w="11906" w:h="16838"/>
          <w:pgMar w:top="1440" w:right="1800" w:bottom="1440" w:left="1800" w:header="708" w:footer="708" w:gutter="0"/>
          <w:pgNumType w:start="1"/>
          <w:cols w:space="720" w:num="1"/>
          <w:docGrid w:linePitch="360" w:charSpace="0"/>
        </w:sectPr>
      </w:pPr>
    </w:p>
    <w:p>
      <w:pPr>
        <w:pStyle w:val="56"/>
        <w:numPr>
          <w:ilvl w:val="0"/>
          <w:numId w:val="0"/>
        </w:numPr>
        <w:tabs>
          <w:tab w:val="left" w:pos="2760"/>
        </w:tabs>
        <w:spacing w:line="360" w:lineRule="auto"/>
        <w:jc w:val="both"/>
        <w:rPr>
          <w:rFonts w:ascii="仿宋" w:hAnsi="仿宋" w:eastAsia="仿宋" w:cs="宋体"/>
          <w:color w:val="000000"/>
          <w:sz w:val="24"/>
          <w:szCs w:val="24"/>
        </w:rPr>
      </w:pPr>
      <w:bookmarkStart w:id="6" w:name="_Toc17999557"/>
      <w:r>
        <w:rPr>
          <w:rFonts w:hint="eastAsia" w:ascii="仿宋" w:hAnsi="仿宋" w:eastAsia="仿宋" w:cs="宋体"/>
          <w:color w:val="000000"/>
          <w:sz w:val="24"/>
          <w:szCs w:val="24"/>
        </w:rPr>
        <w:t>表五  验收监测质量保证及质量控制</w:t>
      </w:r>
      <w:bookmarkEnd w:id="6"/>
    </w:p>
    <w:tbl>
      <w:tblPr>
        <w:tblStyle w:val="44"/>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57" w:hRule="atLeast"/>
        </w:trPr>
        <w:tc>
          <w:tcPr>
            <w:tcW w:w="8946" w:type="dxa"/>
            <w:vAlign w:val="top"/>
          </w:tcPr>
          <w:p>
            <w:pPr>
              <w:spacing w:before="240" w:beforeLines="100" w:after="0" w:line="360" w:lineRule="auto"/>
              <w:ind w:firstLine="472" w:firstLineChars="196"/>
              <w:rPr>
                <w:rFonts w:ascii="宋体" w:hAnsi="宋体" w:eastAsia="宋体"/>
                <w:b/>
                <w:color w:val="000000"/>
                <w:sz w:val="24"/>
                <w:szCs w:val="24"/>
              </w:rPr>
            </w:pPr>
            <w:r>
              <w:rPr>
                <w:rFonts w:hint="eastAsia" w:ascii="宋体" w:hAnsi="宋体" w:eastAsia="宋体"/>
                <w:b/>
                <w:color w:val="000000"/>
                <w:sz w:val="24"/>
                <w:szCs w:val="24"/>
              </w:rPr>
              <w:t>一</w:t>
            </w:r>
            <w:r>
              <w:rPr>
                <w:rFonts w:ascii="宋体" w:hAnsi="宋体" w:eastAsia="宋体"/>
                <w:b/>
                <w:color w:val="000000"/>
                <w:sz w:val="24"/>
                <w:szCs w:val="24"/>
              </w:rPr>
              <w:t>、第三方监测机构资质</w:t>
            </w: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委托有资质的检（监）测机构进行验收监测，对检（监）测机构的资质进行确认，确认检（监）测机构的监测业务能力符合要求。</w:t>
            </w: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本项目具体由山西太钢环境监测有限公司及山西华普检测技术有限公司共同承担本次竣工环保验收的监测工作</w:t>
            </w:r>
            <w:r>
              <w:rPr>
                <w:rFonts w:ascii="Times New Roman" w:hAnsi="Times New Roman" w:eastAsia="宋体"/>
                <w:color w:val="000000"/>
                <w:szCs w:val="24"/>
              </w:rPr>
              <w:t>。</w:t>
            </w:r>
          </w:p>
          <w:p>
            <w:pPr>
              <w:pStyle w:val="52"/>
              <w:spacing w:after="0" w:line="360" w:lineRule="auto"/>
              <w:ind w:firstLine="482"/>
              <w:rPr>
                <w:rFonts w:ascii="Times New Roman" w:hAnsi="Times New Roman" w:eastAsia="宋体"/>
                <w:color w:val="000000"/>
                <w:szCs w:val="24"/>
              </w:rPr>
            </w:pPr>
            <w:r>
              <w:rPr>
                <w:rFonts w:hint="eastAsia" w:ascii="宋体" w:hAnsi="宋体" w:eastAsia="宋体"/>
                <w:b/>
                <w:color w:val="000000"/>
                <w:szCs w:val="24"/>
              </w:rPr>
              <w:t>二</w:t>
            </w:r>
            <w:r>
              <w:rPr>
                <w:rFonts w:ascii="宋体" w:hAnsi="宋体" w:eastAsia="宋体"/>
                <w:b/>
                <w:color w:val="000000"/>
                <w:szCs w:val="24"/>
              </w:rPr>
              <w:t>、</w:t>
            </w:r>
            <w:r>
              <w:rPr>
                <w:rFonts w:hint="eastAsia" w:ascii="宋体" w:hAnsi="宋体" w:eastAsia="宋体"/>
                <w:b/>
                <w:color w:val="000000"/>
                <w:szCs w:val="24"/>
              </w:rPr>
              <w:t>质量保证及质量控制</w:t>
            </w:r>
          </w:p>
          <w:p>
            <w:pPr>
              <w:pStyle w:val="52"/>
              <w:spacing w:after="0" w:line="360" w:lineRule="auto"/>
              <w:ind w:firstLine="480"/>
              <w:rPr>
                <w:rFonts w:ascii="Times New Roman" w:hAnsi="Times New Roman" w:eastAsia="宋体"/>
                <w:color w:val="000000"/>
                <w:szCs w:val="24"/>
              </w:rPr>
            </w:pPr>
            <w:r>
              <w:rPr>
                <w:rFonts w:ascii="Times New Roman" w:hAnsi="Times New Roman" w:eastAsia="宋体"/>
                <w:color w:val="000000"/>
                <w:szCs w:val="24"/>
              </w:rPr>
              <w:t>为确保本次监测数据准确、可靠，代表性强，依据《环境监测质量管理技术导则》（HJ630-2011）、《固定污染源监测 质量保证与质量控制技术规范（试行）》（HJ/T373-2007）</w:t>
            </w:r>
            <w:r>
              <w:rPr>
                <w:rFonts w:hint="eastAsia" w:ascii="Times New Roman" w:hAnsi="Times New Roman" w:eastAsia="宋体"/>
                <w:color w:val="000000"/>
                <w:szCs w:val="24"/>
              </w:rPr>
              <w:t>、</w:t>
            </w:r>
            <w:r>
              <w:rPr>
                <w:rFonts w:ascii="Times New Roman" w:hAnsi="Times New Roman" w:eastAsia="宋体"/>
                <w:color w:val="000000"/>
                <w:szCs w:val="24"/>
              </w:rPr>
              <w:t>《固定源废气监测技术规范》（HJ/T 397-2007）</w:t>
            </w:r>
            <w:r>
              <w:rPr>
                <w:rFonts w:hint="eastAsia" w:ascii="Times New Roman" w:hAnsi="Times New Roman" w:eastAsia="宋体"/>
                <w:color w:val="000000"/>
                <w:szCs w:val="24"/>
              </w:rPr>
              <w:t>、《地表水和污水监测技术规范》（HJ/T 91-2002）、《工业企业厂界环境噪声排放标准》（GB12348-2008）、《声环境质量标准》(GB 3096-2008)</w:t>
            </w:r>
            <w:r>
              <w:rPr>
                <w:rFonts w:ascii="Times New Roman" w:hAnsi="Times New Roman" w:eastAsia="宋体"/>
                <w:color w:val="000000"/>
                <w:szCs w:val="24"/>
              </w:rPr>
              <w:t>等有关规定，对监测全程序进行质量控制</w:t>
            </w:r>
            <w:r>
              <w:rPr>
                <w:rFonts w:hint="eastAsia" w:ascii="Times New Roman" w:hAnsi="Times New Roman" w:eastAsia="宋体"/>
                <w:color w:val="000000"/>
                <w:szCs w:val="24"/>
              </w:rPr>
              <w:t>，主要措施有：</w:t>
            </w:r>
          </w:p>
          <w:p>
            <w:pPr>
              <w:pStyle w:val="52"/>
              <w:spacing w:after="0" w:line="360" w:lineRule="auto"/>
              <w:ind w:firstLine="480"/>
              <w:rPr>
                <w:rFonts w:ascii="Times New Roman" w:hAnsi="Times New Roman" w:eastAsia="宋体"/>
                <w:color w:val="000000"/>
                <w:szCs w:val="24"/>
              </w:rPr>
            </w:pPr>
            <w:r>
              <w:rPr>
                <w:rFonts w:ascii="Times New Roman" w:hAnsi="Times New Roman" w:eastAsia="宋体"/>
                <w:color w:val="000000"/>
                <w:szCs w:val="24"/>
              </w:rPr>
              <w:t>（1）监测人员全部持证上岗，见表</w:t>
            </w:r>
            <w:r>
              <w:rPr>
                <w:rFonts w:hint="eastAsia" w:ascii="Times New Roman" w:hAnsi="Times New Roman" w:eastAsia="宋体"/>
                <w:color w:val="000000"/>
                <w:szCs w:val="24"/>
              </w:rPr>
              <w:t>5</w:t>
            </w:r>
            <w:r>
              <w:rPr>
                <w:rFonts w:ascii="Times New Roman" w:hAnsi="Times New Roman" w:eastAsia="宋体"/>
                <w:color w:val="000000"/>
                <w:szCs w:val="24"/>
              </w:rPr>
              <w:t>-1；</w:t>
            </w:r>
          </w:p>
          <w:p>
            <w:pPr>
              <w:spacing w:before="120" w:beforeLines="50" w:after="0"/>
              <w:jc w:val="center"/>
              <w:rPr>
                <w:rFonts w:ascii="Times New Roman" w:hAnsi="Times New Roman" w:eastAsia="宋体"/>
                <w:color w:val="000000"/>
                <w:sz w:val="24"/>
                <w:szCs w:val="24"/>
              </w:rPr>
            </w:pPr>
            <w:r>
              <w:rPr>
                <w:rFonts w:ascii="Times New Roman" w:hAnsi="Times New Roman" w:eastAsia="宋体"/>
                <w:color w:val="000000"/>
                <w:sz w:val="24"/>
                <w:szCs w:val="24"/>
              </w:rPr>
              <w:t>表5-1 监测人员持证上岗情况一览表</w:t>
            </w:r>
            <w:r>
              <w:rPr>
                <w:rFonts w:hint="eastAsia" w:ascii="Times New Roman" w:hAnsi="Times New Roman" w:eastAsia="宋体"/>
                <w:color w:val="000000"/>
                <w:sz w:val="24"/>
                <w:szCs w:val="24"/>
              </w:rPr>
              <w:t>（山西太钢环境监测有限公司）</w:t>
            </w:r>
          </w:p>
          <w:tbl>
            <w:tblPr>
              <w:tblStyle w:val="44"/>
              <w:tblW w:w="8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729"/>
              <w:gridCol w:w="1730"/>
              <w:gridCol w:w="1729"/>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  名</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魏健华</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王耀宏</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王娟</w:t>
                  </w:r>
                </w:p>
              </w:tc>
              <w:tc>
                <w:tcPr>
                  <w:tcW w:w="1732"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张英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TGHJ001</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TGHJ007</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TGHJ002</w:t>
                  </w:r>
                </w:p>
              </w:tc>
              <w:tc>
                <w:tcPr>
                  <w:tcW w:w="1732"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  名</w:t>
                  </w:r>
                </w:p>
              </w:tc>
              <w:tc>
                <w:tcPr>
                  <w:tcW w:w="1729"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杜慧莲</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贾平</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孙冬玲</w:t>
                  </w:r>
                </w:p>
              </w:tc>
              <w:tc>
                <w:tcPr>
                  <w:tcW w:w="1732"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石锦丽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w:t>
                  </w:r>
                  <w:r>
                    <w:rPr>
                      <w:rFonts w:hint="eastAsia" w:ascii="楷体" w:hAnsi="楷体" w:eastAsia="楷体"/>
                      <w:color w:val="000000"/>
                      <w:sz w:val="24"/>
                      <w:szCs w:val="24"/>
                    </w:rPr>
                    <w:t>21</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TGHJ008</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TGHJ005</w:t>
                  </w:r>
                </w:p>
              </w:tc>
              <w:tc>
                <w:tcPr>
                  <w:tcW w:w="1732"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w:t>
                  </w:r>
                  <w:r>
                    <w:rPr>
                      <w:rFonts w:hint="eastAsia" w:ascii="楷体" w:hAnsi="楷体" w:eastAsia="楷体"/>
                      <w:color w:val="00000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  名</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郭丽</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张秋香</w:t>
                  </w:r>
                </w:p>
              </w:tc>
              <w:tc>
                <w:tcPr>
                  <w:tcW w:w="1729"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王琴</w:t>
                  </w:r>
                </w:p>
              </w:tc>
              <w:tc>
                <w:tcPr>
                  <w:tcW w:w="1732" w:type="dxa"/>
                  <w:vAlign w:val="center"/>
                </w:tcPr>
                <w:p>
                  <w:pPr>
                    <w:spacing w:after="0"/>
                    <w:jc w:val="center"/>
                    <w:rPr>
                      <w:color w:val="000000"/>
                      <w:sz w:val="24"/>
                      <w:szCs w:val="24"/>
                    </w:rPr>
                  </w:pPr>
                  <w:r>
                    <w:rPr>
                      <w:rFonts w:hint="eastAsia"/>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TGHJ018</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TGHJ019</w:t>
                  </w:r>
                </w:p>
              </w:tc>
              <w:tc>
                <w:tcPr>
                  <w:tcW w:w="1729"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w:t>
                  </w:r>
                  <w:r>
                    <w:rPr>
                      <w:rFonts w:hint="eastAsia" w:ascii="楷体" w:hAnsi="楷体" w:eastAsia="楷体"/>
                      <w:color w:val="000000"/>
                      <w:sz w:val="24"/>
                      <w:szCs w:val="24"/>
                    </w:rPr>
                    <w:t>009</w:t>
                  </w:r>
                </w:p>
              </w:tc>
              <w:tc>
                <w:tcPr>
                  <w:tcW w:w="1732" w:type="dxa"/>
                  <w:vAlign w:val="center"/>
                </w:tcPr>
                <w:p>
                  <w:pPr>
                    <w:spacing w:after="0"/>
                    <w:jc w:val="center"/>
                    <w:rPr>
                      <w:color w:val="000000"/>
                      <w:sz w:val="24"/>
                      <w:szCs w:val="24"/>
                    </w:rPr>
                  </w:pPr>
                  <w:r>
                    <w:rPr>
                      <w:rFonts w:hint="eastAsia"/>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  名</w:t>
                  </w:r>
                </w:p>
              </w:tc>
              <w:tc>
                <w:tcPr>
                  <w:tcW w:w="1729" w:type="dxa"/>
                  <w:vAlign w:val="center"/>
                </w:tcPr>
                <w:p>
                  <w:pPr>
                    <w:spacing w:after="0"/>
                    <w:jc w:val="center"/>
                    <w:rPr>
                      <w:color w:val="000000"/>
                      <w:sz w:val="24"/>
                      <w:szCs w:val="24"/>
                    </w:rPr>
                  </w:pPr>
                  <w:r>
                    <w:rPr>
                      <w:rFonts w:hint="eastAsia" w:ascii="楷体" w:hAnsi="楷体" w:eastAsia="楷体"/>
                      <w:color w:val="000000"/>
                      <w:sz w:val="24"/>
                      <w:szCs w:val="24"/>
                    </w:rPr>
                    <w:t>赵江</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郝伟</w:t>
                  </w:r>
                </w:p>
              </w:tc>
              <w:tc>
                <w:tcPr>
                  <w:tcW w:w="1729"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732"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422"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c>
                <w:tcPr>
                  <w:tcW w:w="1729" w:type="dxa"/>
                  <w:vAlign w:val="center"/>
                </w:tcPr>
                <w:p>
                  <w:pPr>
                    <w:spacing w:after="0"/>
                    <w:jc w:val="center"/>
                    <w:rPr>
                      <w:color w:val="000000"/>
                      <w:sz w:val="24"/>
                      <w:szCs w:val="24"/>
                    </w:rPr>
                  </w:pPr>
                  <w:r>
                    <w:rPr>
                      <w:rFonts w:ascii="楷体" w:hAnsi="楷体" w:eastAsia="楷体"/>
                      <w:color w:val="000000"/>
                      <w:sz w:val="24"/>
                      <w:szCs w:val="24"/>
                    </w:rPr>
                    <w:t>TGHJ012</w:t>
                  </w:r>
                </w:p>
              </w:tc>
              <w:tc>
                <w:tcPr>
                  <w:tcW w:w="1730" w:type="dxa"/>
                  <w:vAlign w:val="center"/>
                </w:tcPr>
                <w:p>
                  <w:pPr>
                    <w:spacing w:after="0"/>
                    <w:jc w:val="center"/>
                    <w:rPr>
                      <w:rFonts w:ascii="楷体" w:hAnsi="楷体" w:eastAsia="楷体"/>
                      <w:color w:val="000000"/>
                      <w:sz w:val="24"/>
                      <w:szCs w:val="24"/>
                    </w:rPr>
                  </w:pPr>
                  <w:r>
                    <w:rPr>
                      <w:rFonts w:ascii="楷体" w:hAnsi="楷体" w:eastAsia="楷体"/>
                      <w:color w:val="000000"/>
                      <w:sz w:val="24"/>
                      <w:szCs w:val="24"/>
                    </w:rPr>
                    <w:t>TGHJ011</w:t>
                  </w:r>
                </w:p>
              </w:tc>
              <w:tc>
                <w:tcPr>
                  <w:tcW w:w="1729"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732"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bl>
          <w:p>
            <w:pPr>
              <w:spacing w:before="120" w:beforeLines="50" w:after="0"/>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续</w:t>
            </w:r>
            <w:r>
              <w:rPr>
                <w:rFonts w:ascii="Times New Roman" w:hAnsi="Times New Roman" w:eastAsia="宋体"/>
                <w:color w:val="000000"/>
                <w:sz w:val="24"/>
                <w:szCs w:val="24"/>
              </w:rPr>
              <w:t>表5-1 监测人员持证上岗情况一览表</w:t>
            </w:r>
            <w:r>
              <w:rPr>
                <w:rFonts w:hint="eastAsia" w:ascii="Times New Roman" w:hAnsi="Times New Roman" w:eastAsia="宋体"/>
                <w:color w:val="000000"/>
                <w:sz w:val="24"/>
                <w:szCs w:val="24"/>
              </w:rPr>
              <w:t>（山西华普检测技术有限公司）</w:t>
            </w:r>
          </w:p>
          <w:tbl>
            <w:tblPr>
              <w:tblStyle w:val="43"/>
              <w:tblpPr w:leftFromText="180" w:rightFromText="180" w:vertAnchor="text" w:horzAnchor="margin" w:tblpXSpec="center" w:tblpY="28"/>
              <w:tblOverlap w:val="never"/>
              <w:tblW w:w="8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449"/>
              <w:gridCol w:w="2163"/>
              <w:gridCol w:w="1491"/>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tcMar>
                    <w:left w:w="57" w:type="dxa"/>
                    <w:right w:w="57" w:type="dxa"/>
                  </w:tcMar>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监测工作</w:t>
                  </w:r>
                </w:p>
              </w:tc>
              <w:tc>
                <w:tcPr>
                  <w:tcW w:w="1449"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姓名</w:t>
                  </w:r>
                </w:p>
              </w:tc>
              <w:tc>
                <w:tcPr>
                  <w:tcW w:w="2163"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c>
                <w:tcPr>
                  <w:tcW w:w="1491"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姓名</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上岗证号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tcMar>
                    <w:left w:w="57" w:type="dxa"/>
                    <w:right w:w="57" w:type="dxa"/>
                  </w:tcMar>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采   样</w:t>
                  </w: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常</w:t>
                  </w:r>
                  <w:r>
                    <w:rPr>
                      <w:rFonts w:ascii="Times New Roman" w:hAnsi="Times New Roman" w:eastAsia="宋体"/>
                      <w:color w:val="000000"/>
                      <w:sz w:val="21"/>
                      <w:szCs w:val="24"/>
                    </w:rPr>
                    <w:t>丽宏</w:t>
                  </w:r>
                </w:p>
              </w:tc>
              <w:tc>
                <w:tcPr>
                  <w:tcW w:w="2163"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HPJC202</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杨晓宁</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vMerge w:val="restart"/>
                  <w:tcMar>
                    <w:left w:w="57" w:type="dxa"/>
                    <w:right w:w="57" w:type="dxa"/>
                  </w:tcMar>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分   析</w:t>
                  </w: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苏辉辉</w:t>
                  </w:r>
                </w:p>
              </w:tc>
              <w:tc>
                <w:tcPr>
                  <w:tcW w:w="2163" w:type="dxa"/>
                  <w:vAlign w:val="center"/>
                </w:tcPr>
                <w:p>
                  <w:pPr>
                    <w:adjustRightInd/>
                    <w:snapToGrid/>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HPJC090</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石艳丽</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vMerge w:val="continue"/>
                  <w:tcMar>
                    <w:left w:w="57" w:type="dxa"/>
                    <w:right w:w="57" w:type="dxa"/>
                  </w:tcMar>
                  <w:vAlign w:val="center"/>
                </w:tcPr>
                <w:p>
                  <w:pPr>
                    <w:spacing w:after="0"/>
                    <w:jc w:val="center"/>
                    <w:rPr>
                      <w:rFonts w:ascii="Times New Roman" w:hAnsi="Times New Roman" w:eastAsia="宋体"/>
                      <w:color w:val="000000"/>
                      <w:sz w:val="21"/>
                      <w:szCs w:val="24"/>
                    </w:rPr>
                  </w:pP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王文勇</w:t>
                  </w:r>
                </w:p>
              </w:tc>
              <w:tc>
                <w:tcPr>
                  <w:tcW w:w="2163" w:type="dxa"/>
                  <w:vAlign w:val="center"/>
                </w:tcPr>
                <w:p>
                  <w:pPr>
                    <w:adjustRightInd/>
                    <w:snapToGrid/>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HPJC072</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苏  鑫</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vMerge w:val="continue"/>
                  <w:tcMar>
                    <w:left w:w="57" w:type="dxa"/>
                    <w:right w:w="57" w:type="dxa"/>
                  </w:tcMar>
                  <w:vAlign w:val="center"/>
                </w:tcPr>
                <w:p>
                  <w:pPr>
                    <w:spacing w:after="0"/>
                    <w:jc w:val="center"/>
                    <w:rPr>
                      <w:rFonts w:ascii="Times New Roman" w:hAnsi="Times New Roman" w:eastAsia="宋体"/>
                      <w:color w:val="000000"/>
                      <w:sz w:val="21"/>
                      <w:szCs w:val="24"/>
                    </w:rPr>
                  </w:pP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张  丽</w:t>
                  </w:r>
                </w:p>
              </w:tc>
              <w:tc>
                <w:tcPr>
                  <w:tcW w:w="2163"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HPJC124</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张春锦</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vMerge w:val="continue"/>
                  <w:tcMar>
                    <w:left w:w="57" w:type="dxa"/>
                    <w:right w:w="57" w:type="dxa"/>
                  </w:tcMar>
                  <w:vAlign w:val="center"/>
                </w:tcPr>
                <w:p>
                  <w:pPr>
                    <w:spacing w:after="0"/>
                    <w:jc w:val="center"/>
                    <w:rPr>
                      <w:rFonts w:ascii="Times New Roman" w:hAnsi="Times New Roman" w:eastAsia="宋体"/>
                      <w:color w:val="000000"/>
                      <w:sz w:val="21"/>
                      <w:szCs w:val="24"/>
                    </w:rPr>
                  </w:pP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韩彦宏</w:t>
                  </w:r>
                </w:p>
              </w:tc>
              <w:tc>
                <w:tcPr>
                  <w:tcW w:w="2163" w:type="dxa"/>
                  <w:vAlign w:val="center"/>
                </w:tcPr>
                <w:p>
                  <w:pPr>
                    <w:adjustRightInd/>
                    <w:snapToGrid/>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HPJC126</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裴永亮</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tcMar>
                    <w:left w:w="57" w:type="dxa"/>
                    <w:right w:w="57" w:type="dxa"/>
                  </w:tcMar>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质   控</w:t>
                  </w:r>
                </w:p>
              </w:tc>
              <w:tc>
                <w:tcPr>
                  <w:tcW w:w="1449"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张  玥</w:t>
                  </w:r>
                </w:p>
              </w:tc>
              <w:tc>
                <w:tcPr>
                  <w:tcW w:w="2163"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HPJC148</w:t>
                  </w:r>
                </w:p>
              </w:tc>
              <w:tc>
                <w:tcPr>
                  <w:tcW w:w="1491" w:type="dxa"/>
                  <w:vAlign w:val="center"/>
                </w:tcPr>
                <w:p>
                  <w:pPr>
                    <w:adjustRightInd/>
                    <w:snapToGrid/>
                    <w:spacing w:after="0"/>
                    <w:jc w:val="center"/>
                    <w:rPr>
                      <w:rFonts w:ascii="Times New Roman" w:hAnsi="Times New Roman" w:eastAsia="宋体"/>
                      <w:color w:val="000000"/>
                      <w:sz w:val="21"/>
                      <w:szCs w:val="24"/>
                    </w:rPr>
                  </w:pPr>
                  <w:r>
                    <w:rPr>
                      <w:rFonts w:hint="eastAsia" w:ascii="Times New Roman" w:hAnsi="Times New Roman" w:eastAsia="宋体"/>
                      <w:color w:val="000000"/>
                      <w:sz w:val="21"/>
                      <w:szCs w:val="24"/>
                    </w:rPr>
                    <w:t xml:space="preserve">李 </w:t>
                  </w:r>
                  <w:r>
                    <w:rPr>
                      <w:rFonts w:ascii="Times New Roman" w:hAnsi="Times New Roman" w:eastAsia="宋体"/>
                      <w:color w:val="000000"/>
                      <w:sz w:val="21"/>
                      <w:szCs w:val="24"/>
                    </w:rPr>
                    <w:t xml:space="preserve"> </w:t>
                  </w:r>
                  <w:r>
                    <w:rPr>
                      <w:rFonts w:hint="eastAsia" w:ascii="Times New Roman" w:hAnsi="Times New Roman" w:eastAsia="宋体"/>
                      <w:color w:val="000000"/>
                      <w:sz w:val="21"/>
                      <w:szCs w:val="24"/>
                    </w:rPr>
                    <w:t>超</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41" w:type="dxa"/>
                  <w:tcMar>
                    <w:left w:w="57" w:type="dxa"/>
                    <w:right w:w="57" w:type="dxa"/>
                  </w:tcMar>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报告编制</w:t>
                  </w:r>
                </w:p>
              </w:tc>
              <w:tc>
                <w:tcPr>
                  <w:tcW w:w="1449"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赵小霞</w:t>
                  </w:r>
                </w:p>
              </w:tc>
              <w:tc>
                <w:tcPr>
                  <w:tcW w:w="2163" w:type="dxa"/>
                  <w:vAlign w:val="center"/>
                </w:tcPr>
                <w:p>
                  <w:pPr>
                    <w:adjustRightInd/>
                    <w:snapToGrid/>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HPJC037</w:t>
                  </w:r>
                </w:p>
              </w:tc>
              <w:tc>
                <w:tcPr>
                  <w:tcW w:w="1491" w:type="dxa"/>
                  <w:vAlign w:val="center"/>
                </w:tcPr>
                <w:p>
                  <w:pPr>
                    <w:adjustRightInd/>
                    <w:snapToGrid/>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w:t>
                  </w:r>
                </w:p>
              </w:tc>
              <w:tc>
                <w:tcPr>
                  <w:tcW w:w="2015" w:type="dxa"/>
                  <w:vAlign w:val="center"/>
                </w:tcPr>
                <w:p>
                  <w:pPr>
                    <w:spacing w:after="0"/>
                    <w:jc w:val="center"/>
                    <w:rPr>
                      <w:rFonts w:ascii="Times New Roman" w:hAnsi="Times New Roman" w:eastAsia="宋体"/>
                      <w:color w:val="000000"/>
                      <w:sz w:val="21"/>
                      <w:szCs w:val="24"/>
                    </w:rPr>
                  </w:pPr>
                  <w:r>
                    <w:rPr>
                      <w:rFonts w:ascii="Times New Roman" w:hAnsi="Times New Roman" w:eastAsia="宋体"/>
                      <w:color w:val="000000"/>
                      <w:sz w:val="21"/>
                      <w:szCs w:val="24"/>
                    </w:rPr>
                    <w:t>---</w:t>
                  </w:r>
                </w:p>
              </w:tc>
            </w:tr>
          </w:tbl>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（2）监测分析方法</w:t>
            </w: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本次竣工环保验收选择监测方法均采用国家有关部门颁布的标准（或推荐）方法，详见下表：</w:t>
            </w:r>
          </w:p>
          <w:p>
            <w:pPr>
              <w:pStyle w:val="52"/>
              <w:spacing w:after="0" w:line="360" w:lineRule="auto"/>
              <w:ind w:firstLine="480"/>
              <w:jc w:val="center"/>
              <w:rPr>
                <w:rFonts w:ascii="Times New Roman" w:hAnsi="Times New Roman" w:eastAsia="宋体"/>
                <w:color w:val="000000"/>
                <w:szCs w:val="24"/>
              </w:rPr>
            </w:pPr>
            <w:r>
              <w:rPr>
                <w:rFonts w:hint="eastAsia" w:ascii="Times New Roman" w:hAnsi="Times New Roman" w:eastAsia="宋体"/>
                <w:color w:val="000000"/>
                <w:szCs w:val="24"/>
              </w:rPr>
              <w:t>表5</w:t>
            </w:r>
            <w:r>
              <w:rPr>
                <w:rFonts w:ascii="Times New Roman" w:hAnsi="Times New Roman" w:eastAsia="宋体"/>
                <w:color w:val="000000"/>
                <w:szCs w:val="24"/>
              </w:rPr>
              <w:t xml:space="preserve">-2   </w:t>
            </w:r>
            <w:r>
              <w:rPr>
                <w:rFonts w:hint="eastAsia" w:ascii="Times New Roman" w:hAnsi="Times New Roman" w:eastAsia="宋体"/>
                <w:color w:val="000000"/>
                <w:szCs w:val="24"/>
              </w:rPr>
              <w:t>监测分析方法一览表</w:t>
            </w:r>
          </w:p>
          <w:tbl>
            <w:tblPr>
              <w:tblStyle w:val="43"/>
              <w:tblW w:w="801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62"/>
              <w:gridCol w:w="1319"/>
              <w:gridCol w:w="2410"/>
              <w:gridCol w:w="1782"/>
              <w:gridCol w:w="173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733" w:hRule="atLeast"/>
                <w:jc w:val="center"/>
              </w:trPr>
              <w:tc>
                <w:tcPr>
                  <w:tcW w:w="762" w:type="dxa"/>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类别</w:t>
                  </w:r>
                </w:p>
              </w:tc>
              <w:tc>
                <w:tcPr>
                  <w:tcW w:w="1319" w:type="dxa"/>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项目</w:t>
                  </w:r>
                </w:p>
              </w:tc>
              <w:tc>
                <w:tcPr>
                  <w:tcW w:w="2410" w:type="dxa"/>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分析方法</w:t>
                  </w:r>
                </w:p>
              </w:tc>
              <w:tc>
                <w:tcPr>
                  <w:tcW w:w="1782" w:type="dxa"/>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方法检出限或仪器</w:t>
                  </w:r>
                </w:p>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最低检出限</w:t>
                  </w:r>
                </w:p>
              </w:tc>
              <w:tc>
                <w:tcPr>
                  <w:tcW w:w="1738" w:type="dxa"/>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方法来源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1214" w:hRule="atLeast"/>
                <w:jc w:val="center"/>
              </w:trPr>
              <w:tc>
                <w:tcPr>
                  <w:tcW w:w="762" w:type="dxa"/>
                  <w:vMerge w:val="restart"/>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无组织</w:t>
                  </w:r>
                  <w:r>
                    <w:rPr>
                      <w:rFonts w:ascii="Times New Roman" w:hAnsi="Times New Roman" w:eastAsia="宋体"/>
                      <w:color w:val="000000"/>
                      <w:sz w:val="21"/>
                      <w:szCs w:val="21"/>
                    </w:rPr>
                    <w:t>废气</w:t>
                  </w: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硫化氢</w:t>
                  </w:r>
                </w:p>
              </w:tc>
              <w:tc>
                <w:tcPr>
                  <w:tcW w:w="2410" w:type="dxa"/>
                  <w:vAlign w:val="center"/>
                </w:tcPr>
                <w:p>
                  <w:pPr>
                    <w:tabs>
                      <w:tab w:val="left" w:pos="540"/>
                    </w:tabs>
                    <w:jc w:val="center"/>
                    <w:rPr>
                      <w:rFonts w:ascii="Times New Roman" w:hAnsi="Times New Roman" w:eastAsia="宋体"/>
                      <w:color w:val="000000"/>
                      <w:sz w:val="21"/>
                      <w:szCs w:val="21"/>
                    </w:rPr>
                  </w:pPr>
                  <w:r>
                    <w:rPr>
                      <w:rFonts w:ascii="Times New Roman" w:hAnsi="Times New Roman" w:eastAsia="宋体"/>
                      <w:color w:val="000000"/>
                      <w:sz w:val="21"/>
                      <w:szCs w:val="21"/>
                    </w:rPr>
                    <w:t>《</w:t>
                  </w:r>
                  <w:r>
                    <w:rPr>
                      <w:rFonts w:hint="eastAsia" w:ascii="Times New Roman" w:hAnsi="Times New Roman" w:eastAsia="宋体"/>
                      <w:color w:val="000000"/>
                      <w:sz w:val="21"/>
                      <w:szCs w:val="21"/>
                    </w:rPr>
                    <w:t>空气和废气监测分析方法（第四版增补版）第三篇第一章十一（二）（2</w:t>
                  </w:r>
                  <w:r>
                    <w:rPr>
                      <w:rFonts w:ascii="Times New Roman" w:hAnsi="Times New Roman" w:eastAsia="宋体"/>
                      <w:color w:val="000000"/>
                      <w:sz w:val="21"/>
                      <w:szCs w:val="21"/>
                    </w:rPr>
                    <w:t>007</w:t>
                  </w:r>
                  <w:r>
                    <w:rPr>
                      <w:rFonts w:hint="eastAsia" w:ascii="Times New Roman" w:hAnsi="Times New Roman" w:eastAsia="宋体"/>
                      <w:color w:val="000000"/>
                      <w:sz w:val="21"/>
                      <w:szCs w:val="21"/>
                    </w:rPr>
                    <w:t>年）亚甲基蓝分光光度法</w:t>
                  </w:r>
                  <w:r>
                    <w:rPr>
                      <w:rFonts w:ascii="Times New Roman" w:hAnsi="Times New Roman" w:eastAsia="宋体"/>
                      <w:color w:val="000000"/>
                      <w:sz w:val="21"/>
                      <w:szCs w:val="21"/>
                    </w:rPr>
                    <w:t>》</w:t>
                  </w:r>
                </w:p>
              </w:tc>
              <w:tc>
                <w:tcPr>
                  <w:tcW w:w="1782" w:type="dxa"/>
                  <w:vAlign w:val="center"/>
                </w:tcPr>
                <w:p>
                  <w:pPr>
                    <w:tabs>
                      <w:tab w:val="left" w:pos="540"/>
                    </w:tabs>
                    <w:jc w:val="center"/>
                    <w:rPr>
                      <w:rFonts w:ascii="Times New Roman" w:hAnsi="Times New Roman" w:eastAsia="宋体"/>
                      <w:color w:val="000000"/>
                      <w:sz w:val="21"/>
                      <w:szCs w:val="21"/>
                    </w:rPr>
                  </w:pPr>
                  <w:r>
                    <w:rPr>
                      <w:rFonts w:ascii="Times New Roman" w:hAnsi="Times New Roman" w:eastAsia="宋体"/>
                      <w:color w:val="000000"/>
                      <w:sz w:val="21"/>
                      <w:szCs w:val="21"/>
                    </w:rPr>
                    <w:t>0.001mg/m</w:t>
                  </w:r>
                  <w:r>
                    <w:rPr>
                      <w:rFonts w:ascii="Times New Roman" w:hAnsi="Times New Roman" w:eastAsia="宋体"/>
                      <w:color w:val="000000"/>
                      <w:sz w:val="21"/>
                      <w:szCs w:val="21"/>
                      <w:vertAlign w:val="superscript"/>
                    </w:rPr>
                    <w:t>3</w:t>
                  </w:r>
                </w:p>
              </w:tc>
              <w:tc>
                <w:tcPr>
                  <w:tcW w:w="1738" w:type="dxa"/>
                  <w:vMerge w:val="restart"/>
                  <w:vAlign w:val="center"/>
                </w:tcPr>
                <w:p>
                  <w:pPr>
                    <w:tabs>
                      <w:tab w:val="left" w:pos="540"/>
                    </w:tabs>
                    <w:spacing w:after="0"/>
                    <w:ind w:left="1"/>
                    <w:jc w:val="center"/>
                    <w:textAlignment w:val="bottom"/>
                    <w:rPr>
                      <w:rFonts w:ascii="Times New Roman" w:hAnsi="Times New Roman" w:eastAsia="宋体"/>
                      <w:color w:val="000000"/>
                      <w:sz w:val="21"/>
                      <w:szCs w:val="21"/>
                    </w:rPr>
                  </w:pPr>
                  <w:r>
                    <w:rPr>
                      <w:rFonts w:hint="eastAsia" w:ascii="Times New Roman" w:hAnsi="Times New Roman" w:eastAsia="宋体"/>
                      <w:color w:val="000000"/>
                      <w:sz w:val="21"/>
                      <w:szCs w:val="21"/>
                    </w:rPr>
                    <w:t>《大气污染物无组织排放</w:t>
                  </w:r>
                </w:p>
                <w:p>
                  <w:pPr>
                    <w:tabs>
                      <w:tab w:val="left" w:pos="540"/>
                    </w:tabs>
                    <w:spacing w:after="0"/>
                    <w:ind w:left="1"/>
                    <w:jc w:val="center"/>
                    <w:textAlignment w:val="bottom"/>
                    <w:rPr>
                      <w:rFonts w:ascii="Times New Roman" w:hAnsi="Times New Roman" w:eastAsia="宋体"/>
                      <w:color w:val="000000"/>
                      <w:sz w:val="21"/>
                      <w:szCs w:val="21"/>
                    </w:rPr>
                  </w:pPr>
                  <w:r>
                    <w:rPr>
                      <w:rFonts w:hint="eastAsia" w:ascii="Times New Roman" w:hAnsi="Times New Roman" w:eastAsia="宋体"/>
                      <w:color w:val="000000"/>
                      <w:sz w:val="21"/>
                      <w:szCs w:val="21"/>
                    </w:rPr>
                    <w:t>监测技术导则》</w:t>
                  </w:r>
                </w:p>
                <w:p>
                  <w:pPr>
                    <w:tabs>
                      <w:tab w:val="left" w:pos="540"/>
                    </w:tabs>
                    <w:spacing w:after="0"/>
                    <w:ind w:left="1"/>
                    <w:jc w:val="center"/>
                    <w:textAlignment w:val="bottom"/>
                    <w:rPr>
                      <w:rFonts w:ascii="Times New Roman" w:hAnsi="Times New Roman" w:eastAsia="宋体"/>
                      <w:color w:val="000000"/>
                      <w:sz w:val="21"/>
                      <w:szCs w:val="21"/>
                    </w:rPr>
                  </w:pPr>
                  <w:r>
                    <w:rPr>
                      <w:rFonts w:hint="eastAsia" w:ascii="Times New Roman" w:hAnsi="Times New Roman" w:eastAsia="宋体"/>
                      <w:color w:val="000000"/>
                      <w:sz w:val="21"/>
                      <w:szCs w:val="21"/>
                    </w:rPr>
                    <w:t>（HJ/T 55-2000）</w:t>
                  </w:r>
                </w:p>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《恶臭污染环境监测技术规范》（HJ 905-2017）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continue"/>
                  <w:vAlign w:val="center"/>
                </w:tcPr>
                <w:p>
                  <w:pPr>
                    <w:tabs>
                      <w:tab w:val="left" w:pos="540"/>
                    </w:tabs>
                    <w:spacing w:after="0"/>
                    <w:jc w:val="center"/>
                    <w:rPr>
                      <w:rFonts w:ascii="Times New Roman" w:hAnsi="Times New Roman" w:eastAsia="宋体"/>
                      <w:color w:val="000000"/>
                      <w:sz w:val="21"/>
                      <w:szCs w:val="21"/>
                    </w:rPr>
                  </w:pP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臭气浓度</w:t>
                  </w:r>
                </w:p>
              </w:tc>
              <w:tc>
                <w:tcPr>
                  <w:tcW w:w="2410" w:type="dxa"/>
                  <w:vAlign w:val="center"/>
                </w:tcPr>
                <w:p>
                  <w:pPr>
                    <w:tabs>
                      <w:tab w:val="left" w:pos="540"/>
                    </w:tabs>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《空气质量 恶臭的测定 三点比较式臭袋法》</w:t>
                  </w:r>
                </w:p>
              </w:tc>
              <w:tc>
                <w:tcPr>
                  <w:tcW w:w="1782" w:type="dxa"/>
                  <w:vAlign w:val="center"/>
                </w:tcPr>
                <w:p>
                  <w:pPr>
                    <w:tabs>
                      <w:tab w:val="left" w:pos="540"/>
                    </w:tabs>
                    <w:spacing w:after="0"/>
                    <w:ind w:left="1"/>
                    <w:jc w:val="center"/>
                    <w:textAlignment w:val="bottom"/>
                    <w:rPr>
                      <w:rFonts w:ascii="Times New Roman" w:hAnsi="Times New Roman" w:eastAsia="宋体"/>
                      <w:color w:val="000000"/>
                      <w:sz w:val="21"/>
                      <w:szCs w:val="21"/>
                    </w:rPr>
                  </w:pPr>
                  <w:r>
                    <w:rPr>
                      <w:rFonts w:hint="eastAsia" w:ascii="Times New Roman" w:hAnsi="Times New Roman" w:eastAsia="宋体"/>
                      <w:color w:val="000000"/>
                      <w:sz w:val="21"/>
                      <w:szCs w:val="21"/>
                    </w:rPr>
                    <w:t>/</w:t>
                  </w:r>
                </w:p>
              </w:tc>
              <w:tc>
                <w:tcPr>
                  <w:tcW w:w="1738" w:type="dxa"/>
                  <w:vMerge w:val="continue"/>
                  <w:vAlign w:val="center"/>
                </w:tcPr>
                <w:p>
                  <w:pPr>
                    <w:tabs>
                      <w:tab w:val="left" w:pos="540"/>
                    </w:tabs>
                    <w:spacing w:after="0"/>
                    <w:jc w:val="center"/>
                    <w:rPr>
                      <w:rFonts w:ascii="Times New Roman" w:hAnsi="Times New Roman" w:eastAsia="宋体"/>
                      <w:color w:val="00000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continue"/>
                  <w:vAlign w:val="center"/>
                </w:tcPr>
                <w:p>
                  <w:pPr>
                    <w:tabs>
                      <w:tab w:val="left" w:pos="540"/>
                    </w:tabs>
                    <w:spacing w:after="0"/>
                    <w:jc w:val="center"/>
                    <w:rPr>
                      <w:rFonts w:ascii="Times New Roman" w:hAnsi="Times New Roman" w:eastAsia="宋体"/>
                      <w:color w:val="000000"/>
                      <w:sz w:val="21"/>
                      <w:szCs w:val="21"/>
                    </w:rPr>
                  </w:pP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氨</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《环境空气和废气氨的测定纳氏试剂分光光度法》</w:t>
                  </w:r>
                </w:p>
              </w:tc>
              <w:tc>
                <w:tcPr>
                  <w:tcW w:w="1782" w:type="dxa"/>
                  <w:vAlign w:val="center"/>
                </w:tcPr>
                <w:p>
                  <w:pPr>
                    <w:tabs>
                      <w:tab w:val="left" w:pos="540"/>
                    </w:tabs>
                    <w:jc w:val="center"/>
                    <w:rPr>
                      <w:color w:val="000000"/>
                      <w:szCs w:val="21"/>
                    </w:rPr>
                  </w:pPr>
                  <w:r>
                    <w:rPr>
                      <w:rFonts w:hint="eastAsia" w:ascii="Times New Roman" w:hAnsi="Times New Roman" w:eastAsia="宋体"/>
                      <w:color w:val="000000"/>
                      <w:sz w:val="21"/>
                      <w:szCs w:val="21"/>
                    </w:rPr>
                    <w:t>0.01</w:t>
                  </w:r>
                  <w:r>
                    <w:rPr>
                      <w:rFonts w:ascii="Times New Roman" w:hAnsi="Times New Roman" w:eastAsia="宋体"/>
                      <w:color w:val="000000"/>
                      <w:sz w:val="21"/>
                      <w:szCs w:val="21"/>
                    </w:rPr>
                    <w:t>mg/m</w:t>
                  </w:r>
                  <w:r>
                    <w:rPr>
                      <w:rFonts w:ascii="Times New Roman" w:hAnsi="Times New Roman" w:eastAsia="宋体"/>
                      <w:color w:val="000000"/>
                      <w:sz w:val="21"/>
                      <w:szCs w:val="21"/>
                      <w:vertAlign w:val="superscript"/>
                    </w:rPr>
                    <w:t>3</w:t>
                  </w:r>
                </w:p>
              </w:tc>
              <w:tc>
                <w:tcPr>
                  <w:tcW w:w="1738" w:type="dxa"/>
                  <w:vMerge w:val="continue"/>
                  <w:vAlign w:val="center"/>
                </w:tcPr>
                <w:p>
                  <w:pPr>
                    <w:tabs>
                      <w:tab w:val="left" w:pos="540"/>
                    </w:tabs>
                    <w:spacing w:after="0"/>
                    <w:jc w:val="center"/>
                    <w:rPr>
                      <w:rFonts w:ascii="Times New Roman" w:hAnsi="Times New Roman" w:eastAsia="宋体"/>
                      <w:color w:val="00000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噪声</w:t>
                  </w: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厂界噪声</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《工业企业厂界环境噪声排放标准》</w:t>
                  </w:r>
                </w:p>
              </w:tc>
              <w:tc>
                <w:tcPr>
                  <w:tcW w:w="1782"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3</w:t>
                  </w:r>
                  <w:r>
                    <w:rPr>
                      <w:rFonts w:ascii="Times New Roman" w:hAnsi="Times New Roman" w:eastAsia="宋体"/>
                      <w:color w:val="000000"/>
                      <w:sz w:val="21"/>
                      <w:szCs w:val="21"/>
                    </w:rPr>
                    <w:t>5dB</w:t>
                  </w:r>
                </w:p>
              </w:tc>
              <w:tc>
                <w:tcPr>
                  <w:tcW w:w="1738"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GB12348-2008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restart"/>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钢铁工业水污染物</w:t>
                  </w: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pH值</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 xml:space="preserve">《水质 pH值的测定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rPr>
                    <w:t>电极法》</w:t>
                  </w:r>
                </w:p>
              </w:tc>
              <w:tc>
                <w:tcPr>
                  <w:tcW w:w="1782"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w:t>
                  </w:r>
                </w:p>
              </w:tc>
              <w:tc>
                <w:tcPr>
                  <w:tcW w:w="1738"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bCs/>
                      <w:color w:val="000000"/>
                      <w:sz w:val="21"/>
                      <w:szCs w:val="21"/>
                    </w:rPr>
                    <w:t xml:space="preserve">HJ </w:t>
                  </w:r>
                  <w:r>
                    <w:rPr>
                      <w:rFonts w:ascii="Times New Roman" w:hAnsi="Times New Roman" w:eastAsia="宋体"/>
                      <w:bCs/>
                      <w:color w:val="000000"/>
                      <w:sz w:val="21"/>
                      <w:szCs w:val="21"/>
                    </w:rPr>
                    <w:t>1147</w:t>
                  </w:r>
                  <w:r>
                    <w:rPr>
                      <w:rFonts w:hint="eastAsia" w:ascii="Times New Roman" w:hAnsi="Times New Roman" w:eastAsia="宋体"/>
                      <w:bCs/>
                      <w:color w:val="000000"/>
                      <w:sz w:val="21"/>
                      <w:szCs w:val="21"/>
                    </w:rPr>
                    <w:t>-</w:t>
                  </w:r>
                  <w:r>
                    <w:rPr>
                      <w:rFonts w:ascii="Times New Roman" w:hAnsi="Times New Roman" w:eastAsia="宋体"/>
                      <w:bCs/>
                      <w:color w:val="000000"/>
                      <w:sz w:val="21"/>
                      <w:szCs w:val="21"/>
                    </w:rPr>
                    <w:t>2020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continue"/>
                  <w:vAlign w:val="center"/>
                </w:tcPr>
                <w:p>
                  <w:pPr>
                    <w:spacing w:after="0"/>
                    <w:jc w:val="center"/>
                    <w:rPr>
                      <w:rFonts w:ascii="宋体" w:hAnsi="宋体" w:eastAsia="宋体"/>
                      <w:color w:val="000000"/>
                      <w:szCs w:val="21"/>
                      <w:lang w:val="zh-CN"/>
                    </w:rPr>
                  </w:pP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氨氮</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bCs/>
                      <w:color w:val="000000"/>
                      <w:sz w:val="21"/>
                      <w:szCs w:val="21"/>
                    </w:rPr>
                    <w:t>《水质 氨氮的测定 纳氏试剂分光光度法》</w:t>
                  </w:r>
                </w:p>
              </w:tc>
              <w:tc>
                <w:tcPr>
                  <w:tcW w:w="1782"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0.025</w:t>
                  </w:r>
                  <w:r>
                    <w:rPr>
                      <w:rFonts w:hint="eastAsia" w:ascii="Times New Roman" w:hAnsi="Times New Roman" w:eastAsia="宋体"/>
                      <w:color w:val="000000"/>
                      <w:sz w:val="21"/>
                      <w:szCs w:val="21"/>
                    </w:rPr>
                    <w:t xml:space="preserve"> </w:t>
                  </w:r>
                  <w:r>
                    <w:rPr>
                      <w:rFonts w:ascii="Times New Roman" w:hAnsi="Times New Roman" w:eastAsia="宋体"/>
                      <w:color w:val="000000"/>
                      <w:sz w:val="21"/>
                      <w:szCs w:val="21"/>
                    </w:rPr>
                    <w:t>mg/L</w:t>
                  </w:r>
                </w:p>
              </w:tc>
              <w:tc>
                <w:tcPr>
                  <w:tcW w:w="1738"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bCs/>
                      <w:color w:val="000000"/>
                      <w:sz w:val="21"/>
                      <w:szCs w:val="21"/>
                    </w:rPr>
                    <w:t>HJ 535-2009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continue"/>
                  <w:vAlign w:val="center"/>
                </w:tcPr>
                <w:p>
                  <w:pPr>
                    <w:spacing w:after="0"/>
                    <w:jc w:val="center"/>
                    <w:rPr>
                      <w:rFonts w:ascii="宋体" w:hAnsi="宋体" w:eastAsia="宋体"/>
                      <w:color w:val="000000"/>
                      <w:szCs w:val="21"/>
                      <w:lang w:val="zh-CN"/>
                    </w:rPr>
                  </w:pP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化学需氧量</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 xml:space="preserve">《水质 化学需氧量的测定 </w:t>
                  </w:r>
                </w:p>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重铬酸盐法》</w:t>
                  </w:r>
                </w:p>
              </w:tc>
              <w:tc>
                <w:tcPr>
                  <w:tcW w:w="1782"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4 mg/L</w:t>
                  </w:r>
                </w:p>
              </w:tc>
              <w:tc>
                <w:tcPr>
                  <w:tcW w:w="1738"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HJ 828-2017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7" w:hRule="atLeast"/>
                <w:jc w:val="center"/>
              </w:trPr>
              <w:tc>
                <w:tcPr>
                  <w:tcW w:w="762" w:type="dxa"/>
                  <w:vMerge w:val="continue"/>
                  <w:vAlign w:val="center"/>
                </w:tcPr>
                <w:p>
                  <w:pPr>
                    <w:spacing w:after="0"/>
                    <w:jc w:val="center"/>
                    <w:rPr>
                      <w:rFonts w:ascii="宋体" w:hAnsi="宋体" w:eastAsia="宋体"/>
                      <w:color w:val="000000"/>
                      <w:szCs w:val="21"/>
                      <w:lang w:val="zh-CN"/>
                    </w:rPr>
                  </w:pPr>
                </w:p>
              </w:tc>
              <w:tc>
                <w:tcPr>
                  <w:tcW w:w="1319"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总氮</w:t>
                  </w:r>
                </w:p>
              </w:tc>
              <w:tc>
                <w:tcPr>
                  <w:tcW w:w="2410"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《水质 总氮的测定  碱性过硫酸钾消解紫外</w:t>
                  </w:r>
                </w:p>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分光光度法》</w:t>
                  </w:r>
                </w:p>
              </w:tc>
              <w:tc>
                <w:tcPr>
                  <w:tcW w:w="1782"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0.05</w:t>
                  </w:r>
                  <w:r>
                    <w:rPr>
                      <w:rFonts w:hint="eastAsia" w:ascii="Times New Roman" w:hAnsi="Times New Roman" w:eastAsia="宋体"/>
                      <w:color w:val="000000"/>
                      <w:sz w:val="21"/>
                      <w:szCs w:val="21"/>
                    </w:rPr>
                    <w:t xml:space="preserve"> mg/L</w:t>
                  </w:r>
                </w:p>
              </w:tc>
              <w:tc>
                <w:tcPr>
                  <w:tcW w:w="1738"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HJ 636-2012</w:t>
                  </w:r>
                </w:p>
              </w:tc>
            </w:tr>
          </w:tbl>
          <w:p>
            <w:pPr>
              <w:pStyle w:val="52"/>
              <w:spacing w:after="0" w:line="360" w:lineRule="auto"/>
              <w:ind w:firstLine="480"/>
              <w:rPr>
                <w:rFonts w:ascii="Times New Roman" w:hAnsi="Times New Roman" w:eastAsia="宋体"/>
                <w:color w:val="000000"/>
                <w:szCs w:val="24"/>
              </w:rPr>
            </w:pPr>
          </w:p>
          <w:p>
            <w:pPr>
              <w:pStyle w:val="52"/>
              <w:spacing w:after="0" w:line="360" w:lineRule="auto"/>
              <w:ind w:firstLine="480"/>
              <w:rPr>
                <w:rFonts w:ascii="Times New Roman" w:hAnsi="Times New Roman" w:eastAsia="宋体"/>
                <w:color w:val="000000"/>
                <w:szCs w:val="24"/>
              </w:rPr>
            </w:pPr>
            <w:r>
              <w:rPr>
                <w:rFonts w:ascii="Times New Roman" w:hAnsi="Times New Roman" w:eastAsia="宋体"/>
                <w:color w:val="000000"/>
                <w:szCs w:val="24"/>
              </w:rPr>
              <w:t>（3）</w:t>
            </w:r>
            <w:r>
              <w:rPr>
                <w:rFonts w:hint="eastAsia" w:ascii="Times New Roman" w:hAnsi="Times New Roman" w:eastAsia="宋体"/>
                <w:color w:val="000000"/>
                <w:szCs w:val="24"/>
              </w:rPr>
              <w:t>监测仪器</w:t>
            </w:r>
          </w:p>
          <w:p>
            <w:pPr>
              <w:widowControl w:val="0"/>
              <w:adjustRightInd/>
              <w:snapToGrid/>
              <w:spacing w:after="0" w:line="360" w:lineRule="auto"/>
              <w:ind w:firstLine="480" w:firstLineChars="200"/>
              <w:jc w:val="both"/>
              <w:rPr>
                <w:rFonts w:ascii="Times New Roman" w:hAnsi="Times New Roman" w:eastAsia="宋体" w:cs="宋体"/>
                <w:color w:val="000000"/>
                <w:kern w:val="2"/>
                <w:sz w:val="24"/>
                <w:szCs w:val="24"/>
              </w:rPr>
            </w:pPr>
            <w:r>
              <w:rPr>
                <w:rFonts w:hint="eastAsia" w:ascii="Times New Roman" w:hAnsi="Times New Roman" w:eastAsia="宋体" w:cs="宋体"/>
                <w:color w:val="000000"/>
                <w:kern w:val="2"/>
                <w:sz w:val="24"/>
                <w:szCs w:val="24"/>
              </w:rPr>
              <w:t>监测所用采样、分析仪器、计量器具经有资质的单位检定合格，并在检定周期有效期内的，以确保监测与分析仪器的准确计量，监测使用仪器见表5</w:t>
            </w:r>
            <w:r>
              <w:rPr>
                <w:rFonts w:ascii="Times New Roman" w:hAnsi="Times New Roman" w:eastAsia="宋体" w:cs="宋体"/>
                <w:color w:val="000000"/>
                <w:kern w:val="2"/>
                <w:sz w:val="24"/>
                <w:szCs w:val="24"/>
              </w:rPr>
              <w:t>-3</w:t>
            </w:r>
            <w:r>
              <w:rPr>
                <w:rFonts w:hint="eastAsia" w:ascii="Times New Roman" w:hAnsi="Times New Roman" w:eastAsia="宋体" w:cs="宋体"/>
                <w:color w:val="000000"/>
                <w:kern w:val="2"/>
                <w:sz w:val="24"/>
                <w:szCs w:val="24"/>
              </w:rPr>
              <w:t>：</w:t>
            </w:r>
          </w:p>
          <w:p>
            <w:pPr>
              <w:autoSpaceDE w:val="0"/>
              <w:autoSpaceDN w:val="0"/>
              <w:spacing w:before="120" w:beforeLines="50" w:after="0"/>
              <w:jc w:val="center"/>
              <w:rPr>
                <w:rFonts w:eastAsia="黑体"/>
                <w:color w:val="000000"/>
                <w:sz w:val="24"/>
                <w:szCs w:val="24"/>
              </w:rPr>
            </w:pPr>
            <w:r>
              <w:rPr>
                <w:rFonts w:ascii="Times New Roman" w:hAnsi="Times New Roman" w:eastAsia="宋体"/>
                <w:color w:val="000000"/>
                <w:sz w:val="24"/>
                <w:szCs w:val="24"/>
              </w:rPr>
              <w:t>表</w:t>
            </w:r>
            <w:r>
              <w:rPr>
                <w:rFonts w:hint="eastAsia" w:ascii="Times New Roman" w:hAnsi="Times New Roman" w:eastAsia="宋体"/>
                <w:color w:val="000000"/>
                <w:sz w:val="24"/>
                <w:szCs w:val="24"/>
              </w:rPr>
              <w:t>5</w:t>
            </w:r>
            <w:r>
              <w:rPr>
                <w:rFonts w:ascii="Times New Roman" w:hAnsi="Times New Roman" w:eastAsia="宋体"/>
                <w:color w:val="000000"/>
                <w:sz w:val="24"/>
                <w:szCs w:val="24"/>
              </w:rPr>
              <w:t>-3   监测使用仪器一览表</w:t>
            </w:r>
          </w:p>
          <w:tbl>
            <w:tblPr>
              <w:tblStyle w:val="43"/>
              <w:tblW w:w="87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06"/>
              <w:gridCol w:w="1477"/>
              <w:gridCol w:w="993"/>
              <w:gridCol w:w="1479"/>
              <w:gridCol w:w="1526"/>
              <w:gridCol w:w="1417"/>
              <w:gridCol w:w="120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45" w:hRule="atLeast"/>
                <w:jc w:val="center"/>
              </w:trPr>
              <w:tc>
                <w:tcPr>
                  <w:tcW w:w="606" w:type="dxa"/>
                  <w:vAlign w:val="center"/>
                </w:tcPr>
                <w:p>
                  <w:pPr>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序号</w:t>
                  </w:r>
                </w:p>
              </w:tc>
              <w:tc>
                <w:tcPr>
                  <w:tcW w:w="1477" w:type="dxa"/>
                  <w:vAlign w:val="center"/>
                </w:tcPr>
                <w:p>
                  <w:pPr>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仪器名称</w:t>
                  </w:r>
                </w:p>
              </w:tc>
              <w:tc>
                <w:tcPr>
                  <w:tcW w:w="993" w:type="dxa"/>
                  <w:vAlign w:val="center"/>
                </w:tcPr>
                <w:p>
                  <w:pPr>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监测</w:t>
                  </w:r>
                </w:p>
                <w:p>
                  <w:pPr>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因子</w:t>
                  </w:r>
                </w:p>
              </w:tc>
              <w:tc>
                <w:tcPr>
                  <w:tcW w:w="1479" w:type="dxa"/>
                  <w:vAlign w:val="center"/>
                </w:tcPr>
                <w:p>
                  <w:pPr>
                    <w:autoSpaceDE w:val="0"/>
                    <w:autoSpaceDN w:val="0"/>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color w:val="000000"/>
                      <w:sz w:val="21"/>
                      <w:szCs w:val="21"/>
                      <w:lang w:val="zh-CN"/>
                    </w:rPr>
                    <w:t>仪器技术指标（量程）</w:t>
                  </w:r>
                </w:p>
              </w:tc>
              <w:tc>
                <w:tcPr>
                  <w:tcW w:w="1526" w:type="dxa"/>
                  <w:vAlign w:val="center"/>
                </w:tcPr>
                <w:p>
                  <w:pPr>
                    <w:spacing w:after="0"/>
                    <w:jc w:val="center"/>
                    <w:textAlignment w:val="bottom"/>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仪器型号</w:t>
                  </w:r>
                </w:p>
              </w:tc>
              <w:tc>
                <w:tcPr>
                  <w:tcW w:w="1417" w:type="dxa"/>
                  <w:vAlign w:val="center"/>
                </w:tcPr>
                <w:p>
                  <w:pPr>
                    <w:autoSpaceDE w:val="0"/>
                    <w:autoSpaceDN w:val="0"/>
                    <w:spacing w:after="0"/>
                    <w:jc w:val="center"/>
                    <w:rPr>
                      <w:rFonts w:ascii="Times New Roman" w:hAnsi="Times New Roman" w:eastAsia="宋体"/>
                      <w:b/>
                      <w:snapToGrid w:val="0"/>
                      <w:color w:val="000000"/>
                      <w:spacing w:val="6"/>
                      <w:w w:val="90"/>
                      <w:sz w:val="21"/>
                      <w:szCs w:val="21"/>
                    </w:rPr>
                  </w:pPr>
                  <w:r>
                    <w:rPr>
                      <w:rFonts w:ascii="Times New Roman" w:hAnsi="Times New Roman" w:eastAsia="宋体"/>
                      <w:b/>
                      <w:color w:val="000000"/>
                      <w:sz w:val="21"/>
                      <w:szCs w:val="21"/>
                      <w:lang w:val="zh-CN"/>
                    </w:rPr>
                    <w:t>检定有效期</w:t>
                  </w:r>
                </w:p>
              </w:tc>
              <w:tc>
                <w:tcPr>
                  <w:tcW w:w="1202" w:type="dxa"/>
                  <w:vAlign w:val="center"/>
                </w:tcPr>
                <w:p>
                  <w:pPr>
                    <w:spacing w:after="0"/>
                    <w:jc w:val="center"/>
                    <w:textAlignment w:val="bottom"/>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检定/校准</w:t>
                  </w:r>
                </w:p>
                <w:p>
                  <w:pPr>
                    <w:spacing w:after="0"/>
                    <w:jc w:val="center"/>
                    <w:textAlignment w:val="bottom"/>
                    <w:rPr>
                      <w:rFonts w:ascii="Times New Roman" w:hAnsi="Times New Roman" w:eastAsia="宋体"/>
                      <w:b/>
                      <w:snapToGrid w:val="0"/>
                      <w:color w:val="000000"/>
                      <w:spacing w:val="6"/>
                      <w:w w:val="90"/>
                      <w:sz w:val="21"/>
                      <w:szCs w:val="21"/>
                    </w:rPr>
                  </w:pPr>
                  <w:r>
                    <w:rPr>
                      <w:rFonts w:ascii="Times New Roman" w:hAnsi="Times New Roman" w:eastAsia="宋体"/>
                      <w:b/>
                      <w:snapToGrid w:val="0"/>
                      <w:color w:val="000000"/>
                      <w:spacing w:val="6"/>
                      <w:w w:val="90"/>
                      <w:sz w:val="21"/>
                      <w:szCs w:val="21"/>
                    </w:rPr>
                    <w:t>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1</w:t>
                  </w:r>
                </w:p>
              </w:tc>
              <w:tc>
                <w:tcPr>
                  <w:tcW w:w="147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pH计</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pH</w:t>
                  </w:r>
                </w:p>
              </w:tc>
              <w:tc>
                <w:tcPr>
                  <w:tcW w:w="1479"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sz w:val="21"/>
                      <w:szCs w:val="21"/>
                    </w:rPr>
                    <w:t>-</w:t>
                  </w:r>
                </w:p>
              </w:tc>
              <w:tc>
                <w:tcPr>
                  <w:tcW w:w="1526"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TGHJ-010</w:t>
                  </w:r>
                </w:p>
              </w:tc>
              <w:tc>
                <w:tcPr>
                  <w:tcW w:w="141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2022年06月07日</w:t>
                  </w:r>
                </w:p>
              </w:tc>
              <w:tc>
                <w:tcPr>
                  <w:tcW w:w="1202" w:type="dxa"/>
                  <w:vMerge w:val="restart"/>
                  <w:vAlign w:val="center"/>
                </w:tcPr>
                <w:p>
                  <w:pPr>
                    <w:spacing w:after="0"/>
                    <w:jc w:val="center"/>
                    <w:textAlignment w:val="bottom"/>
                    <w:rPr>
                      <w:rFonts w:ascii="Times New Roman" w:hAnsi="Times New Roman" w:eastAsia="宋体"/>
                      <w:snapToGrid w:val="0"/>
                      <w:color w:val="000000"/>
                      <w:spacing w:val="6"/>
                      <w:w w:val="90"/>
                      <w:sz w:val="21"/>
                      <w:szCs w:val="21"/>
                    </w:rPr>
                  </w:pPr>
                  <w:r>
                    <w:rPr>
                      <w:rFonts w:ascii="Times New Roman" w:hAnsi="Times New Roman" w:eastAsia="宋体"/>
                      <w:snapToGrid w:val="0"/>
                      <w:color w:val="000000"/>
                      <w:spacing w:val="6"/>
                      <w:w w:val="90"/>
                      <w:sz w:val="21"/>
                      <w:szCs w:val="21"/>
                    </w:rPr>
                    <w:t>太原钢铁（集团）有限公司校准实验室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2</w:t>
                  </w:r>
                </w:p>
              </w:tc>
              <w:tc>
                <w:tcPr>
                  <w:tcW w:w="147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721型可见光分光光度计</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氨氮</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w:t>
                  </w:r>
                </w:p>
              </w:tc>
              <w:tc>
                <w:tcPr>
                  <w:tcW w:w="1526"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TGHJ-014</w:t>
                  </w:r>
                </w:p>
              </w:tc>
              <w:tc>
                <w:tcPr>
                  <w:tcW w:w="141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2022年06月07日</w:t>
                  </w:r>
                </w:p>
              </w:tc>
              <w:tc>
                <w:tcPr>
                  <w:tcW w:w="1202" w:type="dxa"/>
                  <w:vMerge w:val="continue"/>
                  <w:vAlign w:val="center"/>
                </w:tcPr>
                <w:p>
                  <w:pPr>
                    <w:spacing w:after="0"/>
                    <w:jc w:val="center"/>
                    <w:textAlignment w:val="bottom"/>
                    <w:rPr>
                      <w:rFonts w:ascii="Times New Roman" w:hAnsi="Times New Roman" w:eastAsia="宋体"/>
                      <w:snapToGrid w:val="0"/>
                      <w:color w:val="000000"/>
                      <w:spacing w:val="6"/>
                      <w:w w:val="9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1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3</w:t>
                  </w:r>
                </w:p>
              </w:tc>
              <w:tc>
                <w:tcPr>
                  <w:tcW w:w="147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752N型紫外可见分光光度计</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总氮</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pacing w:val="-20"/>
                      <w:sz w:val="21"/>
                      <w:szCs w:val="21"/>
                    </w:rPr>
                    <w:t>-</w:t>
                  </w:r>
                </w:p>
              </w:tc>
              <w:tc>
                <w:tcPr>
                  <w:tcW w:w="1526"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TGHJ-022</w:t>
                  </w:r>
                </w:p>
              </w:tc>
              <w:tc>
                <w:tcPr>
                  <w:tcW w:w="1417" w:type="dxa"/>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2022年06月07日</w:t>
                  </w:r>
                </w:p>
              </w:tc>
              <w:tc>
                <w:tcPr>
                  <w:tcW w:w="1202" w:type="dxa"/>
                  <w:vMerge w:val="continue"/>
                  <w:tcBorders>
                    <w:bottom w:val="single" w:color="auto" w:sz="4" w:space="0"/>
                  </w:tcBorders>
                  <w:vAlign w:val="center"/>
                </w:tcPr>
                <w:p>
                  <w:pPr>
                    <w:spacing w:after="0"/>
                    <w:jc w:val="center"/>
                    <w:textAlignment w:val="bottom"/>
                    <w:rPr>
                      <w:rFonts w:ascii="Times New Roman" w:hAnsi="Times New Roman" w:eastAsia="宋体"/>
                      <w:snapToGrid w:val="0"/>
                      <w:color w:val="000000"/>
                      <w:spacing w:val="6"/>
                      <w:w w:val="9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4</w:t>
                  </w:r>
                </w:p>
              </w:tc>
              <w:tc>
                <w:tcPr>
                  <w:tcW w:w="1477" w:type="dxa"/>
                  <w:vAlign w:val="center"/>
                </w:tcPr>
                <w:p>
                  <w:pPr>
                    <w:pStyle w:val="59"/>
                    <w:widowControl/>
                    <w:snapToGrid w:val="0"/>
                    <w:spacing w:line="240" w:lineRule="exact"/>
                    <w:jc w:val="center"/>
                    <w:rPr>
                      <w:rFonts w:ascii="Times New Roman" w:hAnsi="Times New Roman" w:cs="Times New Roman"/>
                      <w:color w:val="000000"/>
                      <w:sz w:val="21"/>
                      <w:szCs w:val="21"/>
                    </w:rPr>
                  </w:pPr>
                  <w:r>
                    <w:rPr>
                      <w:rFonts w:ascii="Times New Roman" w:hAnsi="Times New Roman" w:cs="Times New Roman"/>
                      <w:color w:val="000000"/>
                      <w:sz w:val="21"/>
                      <w:szCs w:val="21"/>
                    </w:rPr>
                    <w:t>PH-II-C手持气象站</w:t>
                  </w:r>
                </w:p>
              </w:tc>
              <w:tc>
                <w:tcPr>
                  <w:tcW w:w="993"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噪声</w:t>
                  </w:r>
                </w:p>
              </w:tc>
              <w:tc>
                <w:tcPr>
                  <w:tcW w:w="1479"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35～130dB</w:t>
                  </w:r>
                </w:p>
              </w:tc>
              <w:tc>
                <w:tcPr>
                  <w:tcW w:w="1526" w:type="dxa"/>
                  <w:vAlign w:val="center"/>
                </w:tcPr>
                <w:p>
                  <w:pPr>
                    <w:pStyle w:val="59"/>
                    <w:widowControl/>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TGHJ-100</w:t>
                  </w:r>
                </w:p>
              </w:tc>
              <w:tc>
                <w:tcPr>
                  <w:tcW w:w="1417" w:type="dxa"/>
                  <w:vMerge w:val="restart"/>
                  <w:vAlign w:val="center"/>
                </w:tcPr>
                <w:p>
                  <w:pPr>
                    <w:spacing w:line="240" w:lineRule="exact"/>
                    <w:jc w:val="center"/>
                    <w:rPr>
                      <w:rFonts w:ascii="Times New Roman" w:hAnsi="Times New Roman" w:eastAsia="宋体"/>
                      <w:color w:val="000000"/>
                      <w:spacing w:val="-20"/>
                      <w:sz w:val="21"/>
                      <w:szCs w:val="21"/>
                    </w:rPr>
                  </w:pPr>
                  <w:r>
                    <w:rPr>
                      <w:rFonts w:ascii="Times New Roman" w:hAnsi="Times New Roman" w:eastAsia="宋体"/>
                      <w:color w:val="000000"/>
                      <w:sz w:val="21"/>
                      <w:szCs w:val="21"/>
                    </w:rPr>
                    <w:t>2022年7月04日</w:t>
                  </w:r>
                </w:p>
              </w:tc>
              <w:tc>
                <w:tcPr>
                  <w:tcW w:w="1202" w:type="dxa"/>
                  <w:vMerge w:val="restart"/>
                  <w:tcBorders>
                    <w:top w:val="single" w:color="auto" w:sz="4" w:space="0"/>
                  </w:tcBorders>
                  <w:vAlign w:val="center"/>
                </w:tcPr>
                <w:p>
                  <w:pPr>
                    <w:spacing w:after="0"/>
                    <w:jc w:val="center"/>
                    <w:textAlignment w:val="bottom"/>
                    <w:rPr>
                      <w:rFonts w:ascii="Times New Roman" w:hAnsi="Times New Roman" w:eastAsia="宋体"/>
                      <w:snapToGrid w:val="0"/>
                      <w:color w:val="000000"/>
                      <w:spacing w:val="6"/>
                      <w:w w:val="90"/>
                      <w:sz w:val="21"/>
                      <w:szCs w:val="21"/>
                    </w:rPr>
                  </w:pPr>
                  <w:r>
                    <w:rPr>
                      <w:rFonts w:ascii="Times New Roman" w:hAnsi="Times New Roman" w:eastAsia="宋体"/>
                      <w:color w:val="000000"/>
                      <w:position w:val="-6"/>
                      <w:sz w:val="21"/>
                      <w:szCs w:val="21"/>
                    </w:rPr>
                    <w:t>山西省计量科学研究院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hint="eastAsia" w:ascii="Times New Roman" w:hAnsi="Times New Roman" w:eastAsia="宋体"/>
                      <w:color w:val="000000"/>
                      <w:position w:val="-6"/>
                      <w:sz w:val="21"/>
                      <w:szCs w:val="21"/>
                    </w:rPr>
                    <w:t>5</w:t>
                  </w:r>
                </w:p>
              </w:tc>
              <w:tc>
                <w:tcPr>
                  <w:tcW w:w="1477" w:type="dxa"/>
                  <w:vAlign w:val="center"/>
                </w:tcPr>
                <w:p>
                  <w:pPr>
                    <w:pStyle w:val="59"/>
                    <w:widowControl/>
                    <w:snapToGrid w:val="0"/>
                    <w:spacing w:line="240" w:lineRule="exact"/>
                    <w:jc w:val="center"/>
                    <w:rPr>
                      <w:rFonts w:ascii="楷体" w:hAnsi="楷体" w:eastAsia="楷体"/>
                      <w:color w:val="000000"/>
                      <w:sz w:val="22"/>
                      <w:szCs w:val="21"/>
                    </w:rPr>
                  </w:pPr>
                  <w:r>
                    <w:rPr>
                      <w:rFonts w:ascii="楷体" w:hAnsi="楷体" w:eastAsia="楷体"/>
                      <w:color w:val="000000"/>
                      <w:sz w:val="22"/>
                      <w:szCs w:val="21"/>
                    </w:rPr>
                    <w:t>HS6288B</w:t>
                  </w:r>
                  <w:r>
                    <w:rPr>
                      <w:rFonts w:hint="eastAsia" w:ascii="楷体" w:hAnsi="楷体" w:eastAsia="楷体"/>
                      <w:color w:val="000000"/>
                      <w:sz w:val="22"/>
                      <w:szCs w:val="21"/>
                    </w:rPr>
                    <w:t>噪声频谱分析仪</w:t>
                  </w:r>
                </w:p>
              </w:tc>
              <w:tc>
                <w:tcPr>
                  <w:tcW w:w="993" w:type="dxa"/>
                  <w:vMerge w:val="continue"/>
                  <w:vAlign w:val="center"/>
                </w:tcPr>
                <w:p>
                  <w:pPr>
                    <w:spacing w:after="0"/>
                    <w:jc w:val="center"/>
                    <w:rPr>
                      <w:rFonts w:ascii="Times New Roman" w:hAnsi="Times New Roman" w:eastAsia="宋体"/>
                      <w:color w:val="000000"/>
                      <w:sz w:val="21"/>
                      <w:szCs w:val="21"/>
                    </w:rPr>
                  </w:pPr>
                </w:p>
              </w:tc>
              <w:tc>
                <w:tcPr>
                  <w:tcW w:w="1479" w:type="dxa"/>
                  <w:vMerge w:val="continue"/>
                  <w:vAlign w:val="center"/>
                </w:tcPr>
                <w:p>
                  <w:pPr>
                    <w:spacing w:after="0"/>
                    <w:jc w:val="center"/>
                    <w:rPr>
                      <w:rFonts w:ascii="Times New Roman" w:hAnsi="Times New Roman" w:eastAsia="宋体"/>
                      <w:color w:val="000000"/>
                      <w:sz w:val="21"/>
                      <w:szCs w:val="21"/>
                    </w:rPr>
                  </w:pPr>
                </w:p>
              </w:tc>
              <w:tc>
                <w:tcPr>
                  <w:tcW w:w="1526" w:type="dxa"/>
                  <w:vAlign w:val="center"/>
                </w:tcPr>
                <w:p>
                  <w:pPr>
                    <w:pStyle w:val="59"/>
                    <w:widowControl/>
                    <w:snapToGrid w:val="0"/>
                    <w:jc w:val="center"/>
                    <w:rPr>
                      <w:rFonts w:ascii="楷体" w:hAnsi="楷体" w:eastAsia="楷体"/>
                      <w:color w:val="000000"/>
                      <w:sz w:val="22"/>
                      <w:szCs w:val="21"/>
                    </w:rPr>
                  </w:pPr>
                  <w:r>
                    <w:rPr>
                      <w:rFonts w:ascii="楷体" w:hAnsi="楷体" w:eastAsia="楷体"/>
                      <w:color w:val="000000"/>
                      <w:sz w:val="22"/>
                      <w:szCs w:val="21"/>
                    </w:rPr>
                    <w:t>TGHJ-065</w:t>
                  </w:r>
                </w:p>
              </w:tc>
              <w:tc>
                <w:tcPr>
                  <w:tcW w:w="1417" w:type="dxa"/>
                  <w:vMerge w:val="continue"/>
                  <w:vAlign w:val="center"/>
                </w:tcPr>
                <w:p>
                  <w:pPr>
                    <w:pStyle w:val="59"/>
                    <w:spacing w:line="240" w:lineRule="exact"/>
                    <w:contextualSpacing/>
                    <w:jc w:val="center"/>
                    <w:rPr>
                      <w:rFonts w:ascii="Times New Roman" w:hAnsi="Times New Roman" w:eastAsia="宋体" w:cs="Times New Roman"/>
                      <w:color w:val="000000"/>
                      <w:sz w:val="21"/>
                      <w:szCs w:val="21"/>
                    </w:rPr>
                  </w:pPr>
                </w:p>
              </w:tc>
              <w:tc>
                <w:tcPr>
                  <w:tcW w:w="1202" w:type="dxa"/>
                  <w:vMerge w:val="continue"/>
                  <w:tcBorders>
                    <w:top w:val="single" w:color="auto" w:sz="4" w:space="0"/>
                  </w:tcBorders>
                  <w:vAlign w:val="center"/>
                </w:tcPr>
                <w:p>
                  <w:pPr>
                    <w:spacing w:after="0"/>
                    <w:jc w:val="center"/>
                    <w:textAlignment w:val="bottom"/>
                    <w:rPr>
                      <w:rFonts w:ascii="宋体" w:hAnsi="宋体" w:eastAsia="宋体"/>
                      <w:color w:val="000000"/>
                      <w:position w:val="-6"/>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6</w:t>
                  </w:r>
                </w:p>
              </w:tc>
              <w:tc>
                <w:tcPr>
                  <w:tcW w:w="1477" w:type="dxa"/>
                  <w:vAlign w:val="center"/>
                </w:tcPr>
                <w:p>
                  <w:pPr>
                    <w:pStyle w:val="59"/>
                    <w:widowControl/>
                    <w:snapToGrid w:val="0"/>
                    <w:spacing w:line="240" w:lineRule="exact"/>
                    <w:jc w:val="center"/>
                    <w:rPr>
                      <w:rFonts w:ascii="楷体" w:hAnsi="楷体" w:eastAsia="楷体"/>
                      <w:color w:val="000000"/>
                      <w:sz w:val="22"/>
                      <w:szCs w:val="21"/>
                    </w:rPr>
                  </w:pPr>
                  <w:r>
                    <w:rPr>
                      <w:rFonts w:ascii="楷体" w:hAnsi="楷体" w:eastAsia="楷体"/>
                      <w:color w:val="000000"/>
                      <w:sz w:val="22"/>
                      <w:szCs w:val="21"/>
                    </w:rPr>
                    <w:t>HS6020</w:t>
                  </w:r>
                  <w:r>
                    <w:rPr>
                      <w:rFonts w:hint="eastAsia" w:ascii="楷体" w:hAnsi="楷体" w:eastAsia="楷体"/>
                      <w:color w:val="000000"/>
                      <w:sz w:val="22"/>
                      <w:szCs w:val="21"/>
                    </w:rPr>
                    <w:t>声校准器</w:t>
                  </w:r>
                </w:p>
              </w:tc>
              <w:tc>
                <w:tcPr>
                  <w:tcW w:w="993" w:type="dxa"/>
                  <w:vMerge w:val="continue"/>
                  <w:vAlign w:val="center"/>
                </w:tcPr>
                <w:p>
                  <w:pPr>
                    <w:spacing w:after="0"/>
                    <w:jc w:val="center"/>
                    <w:rPr>
                      <w:rFonts w:ascii="Times New Roman" w:hAnsi="Times New Roman" w:eastAsia="宋体"/>
                      <w:color w:val="000000"/>
                      <w:sz w:val="21"/>
                      <w:szCs w:val="21"/>
                    </w:rPr>
                  </w:pPr>
                </w:p>
              </w:tc>
              <w:tc>
                <w:tcPr>
                  <w:tcW w:w="1479" w:type="dxa"/>
                  <w:vMerge w:val="continue"/>
                  <w:vAlign w:val="center"/>
                </w:tcPr>
                <w:p>
                  <w:pPr>
                    <w:spacing w:after="0"/>
                    <w:jc w:val="center"/>
                    <w:rPr>
                      <w:rFonts w:ascii="Times New Roman" w:hAnsi="Times New Roman" w:eastAsia="宋体"/>
                      <w:color w:val="000000"/>
                      <w:sz w:val="21"/>
                      <w:szCs w:val="21"/>
                    </w:rPr>
                  </w:pPr>
                </w:p>
              </w:tc>
              <w:tc>
                <w:tcPr>
                  <w:tcW w:w="1526" w:type="dxa"/>
                  <w:vAlign w:val="center"/>
                </w:tcPr>
                <w:p>
                  <w:pPr>
                    <w:pStyle w:val="59"/>
                    <w:widowControl/>
                    <w:snapToGrid w:val="0"/>
                    <w:jc w:val="center"/>
                    <w:rPr>
                      <w:rFonts w:ascii="楷体" w:hAnsi="楷体" w:eastAsia="楷体"/>
                      <w:color w:val="000000"/>
                      <w:sz w:val="22"/>
                      <w:szCs w:val="21"/>
                    </w:rPr>
                  </w:pPr>
                  <w:r>
                    <w:rPr>
                      <w:rFonts w:ascii="楷体" w:hAnsi="楷体" w:eastAsia="楷体"/>
                      <w:color w:val="000000"/>
                      <w:sz w:val="22"/>
                      <w:szCs w:val="21"/>
                    </w:rPr>
                    <w:t>TGHJ-063</w:t>
                  </w:r>
                </w:p>
              </w:tc>
              <w:tc>
                <w:tcPr>
                  <w:tcW w:w="1417" w:type="dxa"/>
                  <w:vMerge w:val="continue"/>
                  <w:vAlign w:val="center"/>
                </w:tcPr>
                <w:p>
                  <w:pPr>
                    <w:pStyle w:val="59"/>
                    <w:spacing w:line="240" w:lineRule="exact"/>
                    <w:contextualSpacing/>
                    <w:jc w:val="center"/>
                    <w:rPr>
                      <w:rFonts w:ascii="Times New Roman" w:hAnsi="Times New Roman" w:eastAsia="宋体" w:cs="Times New Roman"/>
                      <w:color w:val="000000"/>
                      <w:sz w:val="21"/>
                      <w:szCs w:val="21"/>
                    </w:rPr>
                  </w:pPr>
                </w:p>
              </w:tc>
              <w:tc>
                <w:tcPr>
                  <w:tcW w:w="1202" w:type="dxa"/>
                  <w:vMerge w:val="continue"/>
                  <w:vAlign w:val="center"/>
                </w:tcPr>
                <w:p>
                  <w:pPr>
                    <w:spacing w:after="0"/>
                    <w:jc w:val="center"/>
                    <w:textAlignment w:val="bottom"/>
                    <w:rPr>
                      <w:rFonts w:ascii="宋体" w:hAnsi="宋体" w:eastAsia="宋体"/>
                      <w:color w:val="000000"/>
                      <w:position w:val="-6"/>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7</w:t>
                  </w:r>
                </w:p>
              </w:tc>
              <w:tc>
                <w:tcPr>
                  <w:tcW w:w="1477" w:type="dxa"/>
                  <w:vAlign w:val="center"/>
                </w:tcPr>
                <w:tbl>
                  <w:tblPr>
                    <w:tblStyle w:val="43"/>
                    <w:tblW w:w="1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3" w:hRule="atLeast"/>
                    </w:trPr>
                    <w:tc>
                      <w:tcPr>
                        <w:tcW w:w="1284" w:type="dxa"/>
                        <w:vAlign w:val="top"/>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智能综合采样器</w:t>
                        </w:r>
                        <w:r>
                          <w:rPr>
                            <w:rFonts w:ascii="Times New Roman" w:hAnsi="Times New Roman" w:eastAsia="宋体"/>
                            <w:color w:val="000000"/>
                            <w:sz w:val="21"/>
                            <w:szCs w:val="21"/>
                          </w:rPr>
                          <w:t>ADS-2062E(2.0)</w:t>
                        </w:r>
                      </w:p>
                    </w:tc>
                  </w:tr>
                </w:tbl>
                <w:p>
                  <w:pPr>
                    <w:spacing w:after="0"/>
                    <w:jc w:val="center"/>
                    <w:rPr>
                      <w:rFonts w:ascii="Times New Roman" w:hAnsi="Times New Roman" w:eastAsia="宋体"/>
                      <w:color w:val="000000"/>
                      <w:sz w:val="21"/>
                      <w:szCs w:val="21"/>
                    </w:rPr>
                  </w:pPr>
                </w:p>
              </w:tc>
              <w:tc>
                <w:tcPr>
                  <w:tcW w:w="993" w:type="dxa"/>
                  <w:vAlign w:val="center"/>
                </w:tcPr>
                <w:p>
                  <w:pPr>
                    <w:spacing w:after="0" w:line="24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氨</w:t>
                  </w:r>
                </w:p>
              </w:tc>
              <w:tc>
                <w:tcPr>
                  <w:tcW w:w="1479" w:type="dxa"/>
                  <w:vAlign w:val="center"/>
                </w:tcPr>
                <w:p>
                  <w:pPr>
                    <w:spacing w:after="0" w:line="24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100-1000</w:t>
                  </w:r>
                </w:p>
                <w:p>
                  <w:pPr>
                    <w:spacing w:after="0" w:line="24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mL/min</w:t>
                  </w:r>
                </w:p>
              </w:tc>
              <w:tc>
                <w:tcPr>
                  <w:tcW w:w="152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A-216</w:t>
                  </w:r>
                  <w:r>
                    <w:rPr>
                      <w:rFonts w:hint="eastAsia" w:ascii="Times New Roman" w:hAnsi="Times New Roman" w:eastAsia="宋体"/>
                      <w:color w:val="000000"/>
                      <w:sz w:val="21"/>
                      <w:szCs w:val="21"/>
                    </w:rPr>
                    <w:t>、</w:t>
                  </w:r>
                  <w:r>
                    <w:rPr>
                      <w:rFonts w:ascii="Times New Roman" w:hAnsi="Times New Roman" w:eastAsia="宋体"/>
                      <w:color w:val="000000"/>
                      <w:sz w:val="21"/>
                      <w:szCs w:val="21"/>
                    </w:rPr>
                    <w:t>A-217</w:t>
                  </w:r>
                  <w:r>
                    <w:rPr>
                      <w:rFonts w:hint="eastAsia" w:ascii="Times New Roman" w:hAnsi="Times New Roman" w:eastAsia="宋体"/>
                      <w:color w:val="000000"/>
                      <w:sz w:val="21"/>
                      <w:szCs w:val="21"/>
                    </w:rPr>
                    <w:t>、</w:t>
                  </w:r>
                  <w:r>
                    <w:rPr>
                      <w:rFonts w:ascii="Times New Roman" w:hAnsi="Times New Roman" w:eastAsia="宋体"/>
                      <w:color w:val="000000"/>
                      <w:sz w:val="21"/>
                      <w:szCs w:val="21"/>
                    </w:rPr>
                    <w:t>A-218</w:t>
                  </w:r>
                  <w:r>
                    <w:rPr>
                      <w:rFonts w:hint="eastAsia" w:ascii="Times New Roman" w:hAnsi="Times New Roman" w:eastAsia="宋体"/>
                      <w:color w:val="000000"/>
                      <w:sz w:val="21"/>
                      <w:szCs w:val="21"/>
                    </w:rPr>
                    <w:t>、</w:t>
                  </w:r>
                  <w:r>
                    <w:rPr>
                      <w:rFonts w:ascii="Times New Roman" w:hAnsi="Times New Roman" w:eastAsia="宋体"/>
                      <w:color w:val="000000"/>
                      <w:sz w:val="21"/>
                      <w:szCs w:val="21"/>
                    </w:rPr>
                    <w:t>A-219</w:t>
                  </w:r>
                  <w:r>
                    <w:rPr>
                      <w:rFonts w:hint="eastAsia" w:ascii="Times New Roman" w:hAnsi="Times New Roman" w:eastAsia="宋体"/>
                      <w:color w:val="000000"/>
                      <w:sz w:val="21"/>
                      <w:szCs w:val="21"/>
                    </w:rPr>
                    <w:t>、</w:t>
                  </w:r>
                  <w:r>
                    <w:rPr>
                      <w:rFonts w:ascii="Times New Roman" w:hAnsi="Times New Roman" w:eastAsia="宋体"/>
                      <w:color w:val="000000"/>
                      <w:sz w:val="21"/>
                      <w:szCs w:val="21"/>
                    </w:rPr>
                    <w:t>A-220</w:t>
                  </w:r>
                </w:p>
              </w:tc>
              <w:tc>
                <w:tcPr>
                  <w:tcW w:w="1417" w:type="dxa"/>
                  <w:vAlign w:val="center"/>
                </w:tcPr>
                <w:p>
                  <w:pPr>
                    <w:pStyle w:val="59"/>
                    <w:spacing w:line="240" w:lineRule="exact"/>
                    <w:contextualSpacing/>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2021年12月27日</w:t>
                  </w:r>
                </w:p>
              </w:tc>
              <w:tc>
                <w:tcPr>
                  <w:tcW w:w="1202" w:type="dxa"/>
                  <w:vAlign w:val="center"/>
                </w:tcPr>
                <w:p>
                  <w:pPr>
                    <w:spacing w:after="0" w:line="24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山西省计量科学研究院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8</w:t>
                  </w:r>
                </w:p>
              </w:tc>
              <w:tc>
                <w:tcPr>
                  <w:tcW w:w="147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紫外可见分</w:t>
                  </w:r>
                  <w:r>
                    <w:rPr>
                      <w:rFonts w:hint="eastAsia" w:ascii="Times New Roman" w:hAnsi="Times New Roman" w:eastAsia="宋体"/>
                      <w:color w:val="000000"/>
                      <w:sz w:val="21"/>
                      <w:szCs w:val="21"/>
                    </w:rPr>
                    <w:t>光</w:t>
                  </w:r>
                  <w:r>
                    <w:rPr>
                      <w:rFonts w:ascii="Times New Roman" w:hAnsi="Times New Roman" w:eastAsia="宋体"/>
                      <w:color w:val="000000"/>
                      <w:sz w:val="21"/>
                      <w:szCs w:val="21"/>
                    </w:rPr>
                    <w:t>光度计752型</w:t>
                  </w:r>
                </w:p>
              </w:tc>
              <w:tc>
                <w:tcPr>
                  <w:tcW w:w="993" w:type="dxa"/>
                  <w:vAlign w:val="center"/>
                </w:tcPr>
                <w:p>
                  <w:pPr>
                    <w:spacing w:after="0" w:line="24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硫化氢</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200-1000nm</w:t>
                  </w:r>
                </w:p>
              </w:tc>
              <w:tc>
                <w:tcPr>
                  <w:tcW w:w="152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B</w:t>
                  </w:r>
                  <w:r>
                    <w:rPr>
                      <w:rFonts w:ascii="Times New Roman" w:hAnsi="Times New Roman" w:eastAsia="宋体"/>
                      <w:color w:val="000000"/>
                      <w:sz w:val="21"/>
                      <w:szCs w:val="21"/>
                    </w:rPr>
                    <w:t>-013</w:t>
                  </w:r>
                </w:p>
              </w:tc>
              <w:tc>
                <w:tcPr>
                  <w:tcW w:w="1417" w:type="dxa"/>
                  <w:vAlign w:val="center"/>
                </w:tcPr>
                <w:p>
                  <w:pPr>
                    <w:pStyle w:val="59"/>
                    <w:spacing w:line="240" w:lineRule="exact"/>
                    <w:contextualSpacing/>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2021年08月20日</w:t>
                  </w:r>
                </w:p>
              </w:tc>
              <w:tc>
                <w:tcPr>
                  <w:tcW w:w="1202" w:type="dxa"/>
                  <w:vAlign w:val="center"/>
                </w:tcPr>
                <w:p>
                  <w:pPr>
                    <w:spacing w:after="0"/>
                    <w:jc w:val="center"/>
                    <w:textAlignment w:val="bottom"/>
                    <w:rPr>
                      <w:rFonts w:ascii="Times New Roman" w:hAnsi="Times New Roman" w:eastAsia="宋体"/>
                      <w:color w:val="000000"/>
                      <w:sz w:val="21"/>
                      <w:szCs w:val="21"/>
                    </w:rPr>
                  </w:pPr>
                  <w:r>
                    <w:rPr>
                      <w:rFonts w:ascii="Times New Roman" w:hAnsi="Times New Roman" w:eastAsia="宋体"/>
                      <w:color w:val="000000"/>
                      <w:sz w:val="21"/>
                      <w:szCs w:val="21"/>
                    </w:rPr>
                    <w:t>河北乾冀检测技术服务有限</w:t>
                  </w:r>
                  <w:r>
                    <w:rPr>
                      <w:rFonts w:hint="eastAsia" w:ascii="Times New Roman" w:hAnsi="Times New Roman" w:eastAsia="宋体"/>
                      <w:color w:val="000000"/>
                      <w:sz w:val="21"/>
                      <w:szCs w:val="21"/>
                    </w:rPr>
                    <w:t>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9</w:t>
                  </w:r>
                </w:p>
              </w:tc>
              <w:tc>
                <w:tcPr>
                  <w:tcW w:w="147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风向风速仪ZCF-5</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风速、</w:t>
                  </w:r>
                </w:p>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风向</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0-30m/s</w:t>
                  </w:r>
                </w:p>
              </w:tc>
              <w:tc>
                <w:tcPr>
                  <w:tcW w:w="152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A-064</w:t>
                  </w:r>
                </w:p>
              </w:tc>
              <w:tc>
                <w:tcPr>
                  <w:tcW w:w="1417" w:type="dxa"/>
                  <w:vAlign w:val="center"/>
                </w:tcPr>
                <w:p>
                  <w:pPr>
                    <w:pStyle w:val="59"/>
                    <w:contextualSpacing/>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2022年03月06日</w:t>
                  </w:r>
                </w:p>
              </w:tc>
              <w:tc>
                <w:tcPr>
                  <w:tcW w:w="120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山西省气象计量站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hint="eastAsia" w:ascii="Times New Roman" w:hAnsi="Times New Roman" w:eastAsia="宋体"/>
                      <w:color w:val="000000"/>
                      <w:position w:val="-6"/>
                      <w:sz w:val="21"/>
                      <w:szCs w:val="21"/>
                    </w:rPr>
                    <w:t>1</w:t>
                  </w:r>
                  <w:r>
                    <w:rPr>
                      <w:rFonts w:ascii="Times New Roman" w:hAnsi="Times New Roman" w:eastAsia="宋体"/>
                      <w:color w:val="000000"/>
                      <w:position w:val="-6"/>
                      <w:sz w:val="21"/>
                      <w:szCs w:val="21"/>
                    </w:rPr>
                    <w:t>0</w:t>
                  </w:r>
                </w:p>
              </w:tc>
              <w:tc>
                <w:tcPr>
                  <w:tcW w:w="147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温度计</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温度</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-30-100</w:t>
                  </w:r>
                  <w:r>
                    <w:rPr>
                      <w:rFonts w:hint="eastAsia" w:ascii="Times New Roman" w:hAnsi="Times New Roman" w:eastAsia="宋体"/>
                      <w:color w:val="000000"/>
                      <w:sz w:val="21"/>
                      <w:szCs w:val="21"/>
                    </w:rPr>
                    <w:t>℃</w:t>
                  </w:r>
                </w:p>
              </w:tc>
              <w:tc>
                <w:tcPr>
                  <w:tcW w:w="152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A-089</w:t>
                  </w:r>
                </w:p>
              </w:tc>
              <w:tc>
                <w:tcPr>
                  <w:tcW w:w="1417" w:type="dxa"/>
                  <w:vAlign w:val="center"/>
                </w:tcPr>
                <w:p>
                  <w:pPr>
                    <w:pStyle w:val="59"/>
                    <w:contextualSpacing/>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2021年08月20日</w:t>
                  </w:r>
                </w:p>
              </w:tc>
              <w:tc>
                <w:tcPr>
                  <w:tcW w:w="120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河北乾冀检测技术服务有限公司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606" w:type="dxa"/>
                  <w:vAlign w:val="center"/>
                </w:tcPr>
                <w:p>
                  <w:pPr>
                    <w:spacing w:after="0"/>
                    <w:jc w:val="center"/>
                    <w:rPr>
                      <w:rFonts w:ascii="Times New Roman" w:hAnsi="Times New Roman" w:eastAsia="宋体"/>
                      <w:color w:val="000000"/>
                      <w:position w:val="-6"/>
                      <w:sz w:val="21"/>
                      <w:szCs w:val="21"/>
                    </w:rPr>
                  </w:pPr>
                  <w:r>
                    <w:rPr>
                      <w:rFonts w:hint="eastAsia" w:ascii="Times New Roman" w:hAnsi="Times New Roman" w:eastAsia="宋体"/>
                      <w:color w:val="000000"/>
                      <w:position w:val="-6"/>
                      <w:sz w:val="21"/>
                      <w:szCs w:val="21"/>
                    </w:rPr>
                    <w:t>1</w:t>
                  </w:r>
                  <w:r>
                    <w:rPr>
                      <w:rFonts w:ascii="Times New Roman" w:hAnsi="Times New Roman" w:eastAsia="宋体"/>
                      <w:color w:val="000000"/>
                      <w:position w:val="-6"/>
                      <w:sz w:val="21"/>
                      <w:szCs w:val="21"/>
                    </w:rPr>
                    <w:t>1</w:t>
                  </w:r>
                </w:p>
              </w:tc>
              <w:tc>
                <w:tcPr>
                  <w:tcW w:w="147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空盒压力表DYM3</w:t>
                  </w:r>
                </w:p>
              </w:tc>
              <w:tc>
                <w:tcPr>
                  <w:tcW w:w="99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气压</w:t>
                  </w:r>
                </w:p>
              </w:tc>
              <w:tc>
                <w:tcPr>
                  <w:tcW w:w="147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800-1060hPa</w:t>
                  </w:r>
                </w:p>
              </w:tc>
              <w:tc>
                <w:tcPr>
                  <w:tcW w:w="152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A-061</w:t>
                  </w:r>
                </w:p>
              </w:tc>
              <w:tc>
                <w:tcPr>
                  <w:tcW w:w="1417" w:type="dxa"/>
                  <w:vAlign w:val="center"/>
                </w:tcPr>
                <w:p>
                  <w:pPr>
                    <w:pStyle w:val="59"/>
                    <w:contextualSpacing/>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2022年03月06日</w:t>
                  </w:r>
                </w:p>
              </w:tc>
              <w:tc>
                <w:tcPr>
                  <w:tcW w:w="1202" w:type="dxa"/>
                  <w:tcBorders>
                    <w:bottom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山西省气象计量站</w:t>
                  </w:r>
                </w:p>
              </w:tc>
            </w:tr>
          </w:tbl>
          <w:p>
            <w:pPr>
              <w:pStyle w:val="52"/>
              <w:spacing w:after="0" w:line="360" w:lineRule="auto"/>
              <w:ind w:firstLine="199" w:firstLineChars="83"/>
              <w:rPr>
                <w:rFonts w:ascii="Times New Roman" w:hAnsi="Times New Roman" w:eastAsia="宋体"/>
                <w:color w:val="000000"/>
                <w:szCs w:val="24"/>
              </w:rPr>
            </w:pPr>
            <w:r>
              <w:rPr>
                <w:rFonts w:ascii="Times New Roman" w:hAnsi="Times New Roman" w:eastAsia="宋体"/>
                <w:color w:val="000000"/>
                <w:szCs w:val="24"/>
              </w:rPr>
              <w:t>（4）</w:t>
            </w:r>
            <w:r>
              <w:rPr>
                <w:rFonts w:hint="eastAsia" w:ascii="Times New Roman" w:hAnsi="Times New Roman" w:eastAsia="宋体"/>
                <w:color w:val="000000"/>
                <w:szCs w:val="24"/>
              </w:rPr>
              <w:t>采样仪器校准</w:t>
            </w:r>
          </w:p>
          <w:p>
            <w:pPr>
              <w:autoSpaceDE w:val="0"/>
              <w:autoSpaceDN w:val="0"/>
              <w:spacing w:before="120" w:beforeLines="50" w:after="0"/>
              <w:ind w:firstLine="120" w:firstLineChars="50"/>
              <w:rPr>
                <w:rFonts w:ascii="Times New Roman" w:hAnsi="Times New Roman" w:eastAsia="宋体"/>
                <w:color w:val="000000"/>
                <w:sz w:val="24"/>
                <w:szCs w:val="24"/>
              </w:rPr>
            </w:pPr>
            <w:r>
              <w:rPr>
                <w:rFonts w:hint="eastAsia" w:ascii="Times New Roman" w:hAnsi="Times New Roman" w:eastAsia="宋体"/>
                <w:color w:val="000000"/>
                <w:sz w:val="24"/>
                <w:szCs w:val="24"/>
              </w:rPr>
              <w:t>声级计校准见下表：</w:t>
            </w:r>
          </w:p>
          <w:p>
            <w:pPr>
              <w:autoSpaceDE w:val="0"/>
              <w:autoSpaceDN w:val="0"/>
              <w:spacing w:before="120" w:beforeLines="50" w:after="0"/>
              <w:jc w:val="center"/>
              <w:rPr>
                <w:rFonts w:eastAsia="黑体"/>
                <w:color w:val="000000"/>
                <w:sz w:val="24"/>
                <w:szCs w:val="24"/>
              </w:rPr>
            </w:pPr>
            <w:r>
              <w:rPr>
                <w:rFonts w:ascii="Times New Roman" w:hAnsi="Times New Roman" w:eastAsia="宋体"/>
                <w:color w:val="000000"/>
                <w:sz w:val="24"/>
                <w:szCs w:val="24"/>
              </w:rPr>
              <w:t>表</w:t>
            </w:r>
            <w:r>
              <w:rPr>
                <w:rFonts w:hint="eastAsia" w:ascii="Times New Roman" w:hAnsi="Times New Roman" w:eastAsia="宋体"/>
                <w:color w:val="000000"/>
                <w:sz w:val="24"/>
                <w:szCs w:val="24"/>
              </w:rPr>
              <w:t>5</w:t>
            </w:r>
            <w:r>
              <w:rPr>
                <w:rFonts w:ascii="Times New Roman" w:hAnsi="Times New Roman" w:eastAsia="宋体"/>
                <w:color w:val="000000"/>
                <w:sz w:val="24"/>
                <w:szCs w:val="24"/>
              </w:rPr>
              <w:t>-4  监测仪器校准结果一览表</w:t>
            </w:r>
          </w:p>
          <w:tbl>
            <w:tblPr>
              <w:tblStyle w:val="44"/>
              <w:tblW w:w="87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723"/>
              <w:gridCol w:w="723"/>
              <w:gridCol w:w="1301"/>
              <w:gridCol w:w="1410"/>
              <w:gridCol w:w="1337"/>
              <w:gridCol w:w="1013"/>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3"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仪器名称</w:t>
                  </w:r>
                </w:p>
              </w:tc>
              <w:tc>
                <w:tcPr>
                  <w:tcW w:w="723"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日 期</w:t>
                  </w:r>
                </w:p>
              </w:tc>
              <w:tc>
                <w:tcPr>
                  <w:tcW w:w="723"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时 段</w:t>
                  </w:r>
                </w:p>
              </w:tc>
              <w:tc>
                <w:tcPr>
                  <w:tcW w:w="1301"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测试前</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校准值</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dB（A）</w:t>
                  </w:r>
                </w:p>
              </w:tc>
              <w:tc>
                <w:tcPr>
                  <w:tcW w:w="1410"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测试后</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校准值</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dB（A）</w:t>
                  </w:r>
                </w:p>
              </w:tc>
              <w:tc>
                <w:tcPr>
                  <w:tcW w:w="1337"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标准声</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源数值</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dB（A）</w:t>
                  </w:r>
                </w:p>
              </w:tc>
              <w:tc>
                <w:tcPr>
                  <w:tcW w:w="1013"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允许</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偏差</w:t>
                  </w:r>
                </w:p>
                <w:p>
                  <w:pPr>
                    <w:spacing w:after="0" w:line="260" w:lineRule="exact"/>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dB（A）</w:t>
                  </w:r>
                </w:p>
              </w:tc>
              <w:tc>
                <w:tcPr>
                  <w:tcW w:w="988" w:type="dxa"/>
                  <w:vAlign w:val="center"/>
                </w:tcPr>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质控</w:t>
                  </w:r>
                </w:p>
                <w:p>
                  <w:pPr>
                    <w:spacing w:after="0" w:line="260" w:lineRule="exact"/>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3" w:type="dxa"/>
                  <w:vMerge w:val="restart"/>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噪声频谱</w:t>
                  </w:r>
                </w:p>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分析仪</w:t>
                  </w:r>
                </w:p>
                <w:p>
                  <w:pPr>
                    <w:autoSpaceDE w:val="0"/>
                    <w:autoSpaceDN w:val="0"/>
                    <w:snapToGrid/>
                    <w:spacing w:after="0" w:line="280" w:lineRule="atLeast"/>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HS6288B</w:t>
                  </w:r>
                </w:p>
              </w:tc>
              <w:tc>
                <w:tcPr>
                  <w:tcW w:w="723" w:type="dxa"/>
                  <w:vMerge w:val="restart"/>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2021.8.3</w:t>
                  </w:r>
                </w:p>
              </w:tc>
              <w:tc>
                <w:tcPr>
                  <w:tcW w:w="723" w:type="dxa"/>
                  <w:vAlign w:val="center"/>
                </w:tcPr>
                <w:p>
                  <w:pPr>
                    <w:autoSpaceDE w:val="0"/>
                    <w:autoSpaceDN w:val="0"/>
                    <w:snapToGrid/>
                    <w:spacing w:after="0" w:line="280" w:lineRule="atLeast"/>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昼间</w:t>
                  </w:r>
                </w:p>
              </w:tc>
              <w:tc>
                <w:tcPr>
                  <w:tcW w:w="1301" w:type="dxa"/>
                  <w:vAlign w:val="bottom"/>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94.1</w:t>
                  </w:r>
                </w:p>
              </w:tc>
              <w:tc>
                <w:tcPr>
                  <w:tcW w:w="1410" w:type="dxa"/>
                  <w:vAlign w:val="bottom"/>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94.0</w:t>
                  </w:r>
                </w:p>
              </w:tc>
              <w:tc>
                <w:tcPr>
                  <w:tcW w:w="1337" w:type="dxa"/>
                  <w:vMerge w:val="restart"/>
                  <w:vAlign w:val="center"/>
                </w:tcPr>
                <w:p>
                  <w:pPr>
                    <w:jc w:val="center"/>
                    <w:rPr>
                      <w:rFonts w:ascii="Times New Roman" w:hAnsi="Times New Roman" w:eastAsia="宋体"/>
                      <w:color w:val="000000"/>
                      <w:kern w:val="2"/>
                      <w:sz w:val="21"/>
                      <w:szCs w:val="21"/>
                    </w:rPr>
                  </w:pPr>
                  <w:r>
                    <w:rPr>
                      <w:rFonts w:ascii="Times New Roman" w:hAnsi="Times New Roman" w:eastAsia="宋体"/>
                      <w:color w:val="000000"/>
                      <w:sz w:val="21"/>
                      <w:szCs w:val="21"/>
                    </w:rPr>
                    <w:t>94.0</w:t>
                  </w:r>
                </w:p>
              </w:tc>
              <w:tc>
                <w:tcPr>
                  <w:tcW w:w="1013" w:type="dxa"/>
                  <w:vMerge w:val="restart"/>
                  <w:vAlign w:val="center"/>
                </w:tcPr>
                <w:p>
                  <w:pPr>
                    <w:jc w:val="center"/>
                    <w:rPr>
                      <w:rFonts w:ascii="Times New Roman" w:hAnsi="Times New Roman" w:eastAsia="宋体"/>
                      <w:color w:val="000000"/>
                      <w:kern w:val="2"/>
                      <w:sz w:val="21"/>
                      <w:szCs w:val="21"/>
                    </w:rPr>
                  </w:pPr>
                  <w:r>
                    <w:rPr>
                      <w:rFonts w:ascii="Times New Roman" w:hAnsi="Times New Roman" w:eastAsia="宋体"/>
                      <w:color w:val="000000"/>
                      <w:sz w:val="21"/>
                      <w:szCs w:val="21"/>
                    </w:rPr>
                    <w:t>±0.5</w:t>
                  </w:r>
                </w:p>
              </w:tc>
              <w:tc>
                <w:tcPr>
                  <w:tcW w:w="988" w:type="dxa"/>
                  <w:vMerge w:val="restart"/>
                  <w:vAlign w:val="center"/>
                </w:tcPr>
                <w:p>
                  <w:pPr>
                    <w:jc w:val="center"/>
                    <w:rPr>
                      <w:rFonts w:ascii="Times New Roman" w:hAnsi="Times New Roman" w:eastAsia="宋体"/>
                      <w:color w:val="000000"/>
                      <w:kern w:val="2"/>
                      <w:sz w:val="21"/>
                      <w:szCs w:val="21"/>
                    </w:rPr>
                  </w:pPr>
                  <w:r>
                    <w:rPr>
                      <w:rFonts w:ascii="Times New Roman" w:hAnsi="Times New Roman" w:eastAsia="宋体"/>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3" w:type="dxa"/>
                  <w:vMerge w:val="continue"/>
                  <w:vAlign w:val="center"/>
                </w:tcPr>
                <w:p>
                  <w:pPr>
                    <w:spacing w:after="0"/>
                    <w:jc w:val="center"/>
                    <w:rPr>
                      <w:rFonts w:ascii="Times New Roman" w:hAnsi="Times New Roman" w:eastAsia="宋体"/>
                      <w:color w:val="000000"/>
                      <w:position w:val="-6"/>
                      <w:sz w:val="21"/>
                      <w:szCs w:val="21"/>
                    </w:rPr>
                  </w:pPr>
                </w:p>
              </w:tc>
              <w:tc>
                <w:tcPr>
                  <w:tcW w:w="723" w:type="dxa"/>
                  <w:vMerge w:val="continue"/>
                  <w:vAlign w:val="center"/>
                </w:tcPr>
                <w:p>
                  <w:pPr>
                    <w:spacing w:after="0"/>
                    <w:jc w:val="center"/>
                    <w:rPr>
                      <w:rFonts w:ascii="Times New Roman" w:hAnsi="Times New Roman" w:eastAsia="宋体"/>
                      <w:color w:val="000000"/>
                      <w:position w:val="-6"/>
                      <w:sz w:val="21"/>
                      <w:szCs w:val="21"/>
                    </w:rPr>
                  </w:pPr>
                </w:p>
              </w:tc>
              <w:tc>
                <w:tcPr>
                  <w:tcW w:w="723"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夜间</w:t>
                  </w:r>
                </w:p>
              </w:tc>
              <w:tc>
                <w:tcPr>
                  <w:tcW w:w="1301"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94.1</w:t>
                  </w:r>
                </w:p>
              </w:tc>
              <w:tc>
                <w:tcPr>
                  <w:tcW w:w="1410"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94.2</w:t>
                  </w:r>
                </w:p>
              </w:tc>
              <w:tc>
                <w:tcPr>
                  <w:tcW w:w="1337" w:type="dxa"/>
                  <w:vMerge w:val="continue"/>
                  <w:vAlign w:val="center"/>
                </w:tcPr>
                <w:p>
                  <w:pPr>
                    <w:pStyle w:val="46"/>
                    <w:spacing w:line="360" w:lineRule="auto"/>
                    <w:jc w:val="center"/>
                    <w:rPr>
                      <w:color w:val="000000"/>
                      <w:szCs w:val="21"/>
                    </w:rPr>
                  </w:pPr>
                </w:p>
              </w:tc>
              <w:tc>
                <w:tcPr>
                  <w:tcW w:w="1013" w:type="dxa"/>
                  <w:vMerge w:val="continue"/>
                  <w:vAlign w:val="center"/>
                </w:tcPr>
                <w:p>
                  <w:pPr>
                    <w:pStyle w:val="46"/>
                    <w:spacing w:line="360" w:lineRule="auto"/>
                    <w:jc w:val="center"/>
                    <w:rPr>
                      <w:color w:val="000000"/>
                      <w:szCs w:val="21"/>
                    </w:rPr>
                  </w:pPr>
                </w:p>
              </w:tc>
              <w:tc>
                <w:tcPr>
                  <w:tcW w:w="988" w:type="dxa"/>
                  <w:vMerge w:val="continue"/>
                  <w:vAlign w:val="center"/>
                </w:tcPr>
                <w:p>
                  <w:pPr>
                    <w:pStyle w:val="46"/>
                    <w:spacing w:line="360" w:lineRule="auto"/>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3" w:type="dxa"/>
                  <w:vMerge w:val="continue"/>
                  <w:vAlign w:val="center"/>
                </w:tcPr>
                <w:p>
                  <w:pPr>
                    <w:spacing w:after="0"/>
                    <w:jc w:val="center"/>
                    <w:rPr>
                      <w:rFonts w:ascii="Times New Roman" w:hAnsi="Times New Roman" w:eastAsia="宋体"/>
                      <w:color w:val="000000"/>
                      <w:position w:val="-6"/>
                      <w:sz w:val="21"/>
                      <w:szCs w:val="21"/>
                    </w:rPr>
                  </w:pPr>
                </w:p>
              </w:tc>
              <w:tc>
                <w:tcPr>
                  <w:tcW w:w="723" w:type="dxa"/>
                  <w:vMerge w:val="restart"/>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2021.8.4</w:t>
                  </w:r>
                </w:p>
              </w:tc>
              <w:tc>
                <w:tcPr>
                  <w:tcW w:w="723"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昼间</w:t>
                  </w:r>
                </w:p>
              </w:tc>
              <w:tc>
                <w:tcPr>
                  <w:tcW w:w="1301"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94.2</w:t>
                  </w:r>
                </w:p>
              </w:tc>
              <w:tc>
                <w:tcPr>
                  <w:tcW w:w="1410"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94.0</w:t>
                  </w:r>
                </w:p>
              </w:tc>
              <w:tc>
                <w:tcPr>
                  <w:tcW w:w="1337" w:type="dxa"/>
                  <w:vMerge w:val="continue"/>
                  <w:vAlign w:val="center"/>
                </w:tcPr>
                <w:p>
                  <w:pPr>
                    <w:pStyle w:val="46"/>
                    <w:spacing w:line="360" w:lineRule="auto"/>
                    <w:jc w:val="center"/>
                    <w:rPr>
                      <w:color w:val="000000"/>
                      <w:szCs w:val="21"/>
                    </w:rPr>
                  </w:pPr>
                </w:p>
              </w:tc>
              <w:tc>
                <w:tcPr>
                  <w:tcW w:w="1013" w:type="dxa"/>
                  <w:vMerge w:val="continue"/>
                  <w:vAlign w:val="center"/>
                </w:tcPr>
                <w:p>
                  <w:pPr>
                    <w:pStyle w:val="46"/>
                    <w:spacing w:line="360" w:lineRule="auto"/>
                    <w:jc w:val="center"/>
                    <w:rPr>
                      <w:color w:val="000000"/>
                      <w:szCs w:val="21"/>
                    </w:rPr>
                  </w:pPr>
                </w:p>
              </w:tc>
              <w:tc>
                <w:tcPr>
                  <w:tcW w:w="988" w:type="dxa"/>
                  <w:vMerge w:val="continue"/>
                  <w:vAlign w:val="center"/>
                </w:tcPr>
                <w:p>
                  <w:pPr>
                    <w:pStyle w:val="46"/>
                    <w:spacing w:line="360" w:lineRule="auto"/>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3" w:type="dxa"/>
                  <w:vMerge w:val="continue"/>
                  <w:vAlign w:val="center"/>
                </w:tcPr>
                <w:p>
                  <w:pPr>
                    <w:spacing w:after="0"/>
                    <w:jc w:val="center"/>
                    <w:rPr>
                      <w:rFonts w:ascii="Times New Roman" w:hAnsi="Times New Roman" w:eastAsia="宋体"/>
                      <w:color w:val="000000"/>
                      <w:position w:val="-6"/>
                      <w:sz w:val="21"/>
                      <w:szCs w:val="21"/>
                    </w:rPr>
                  </w:pPr>
                </w:p>
              </w:tc>
              <w:tc>
                <w:tcPr>
                  <w:tcW w:w="723" w:type="dxa"/>
                  <w:vMerge w:val="continue"/>
                  <w:vAlign w:val="center"/>
                </w:tcPr>
                <w:p>
                  <w:pPr>
                    <w:spacing w:after="0"/>
                    <w:jc w:val="center"/>
                    <w:rPr>
                      <w:rFonts w:ascii="Times New Roman" w:hAnsi="Times New Roman" w:eastAsia="宋体"/>
                      <w:color w:val="000000"/>
                      <w:position w:val="-6"/>
                      <w:sz w:val="21"/>
                      <w:szCs w:val="21"/>
                    </w:rPr>
                  </w:pPr>
                </w:p>
              </w:tc>
              <w:tc>
                <w:tcPr>
                  <w:tcW w:w="723"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夜间</w:t>
                  </w:r>
                </w:p>
              </w:tc>
              <w:tc>
                <w:tcPr>
                  <w:tcW w:w="1301"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94.2</w:t>
                  </w:r>
                </w:p>
              </w:tc>
              <w:tc>
                <w:tcPr>
                  <w:tcW w:w="1410" w:type="dxa"/>
                  <w:vAlign w:val="bottom"/>
                </w:tcPr>
                <w:p>
                  <w:pPr>
                    <w:autoSpaceDE w:val="0"/>
                    <w:autoSpaceDN w:val="0"/>
                    <w:jc w:val="center"/>
                    <w:rPr>
                      <w:rFonts w:ascii="Times New Roman" w:hAnsi="Times New Roman" w:eastAsia="宋体"/>
                      <w:color w:val="000000"/>
                      <w:sz w:val="21"/>
                      <w:szCs w:val="21"/>
                    </w:rPr>
                  </w:pPr>
                  <w:r>
                    <w:rPr>
                      <w:rFonts w:ascii="Times New Roman" w:hAnsi="Times New Roman" w:eastAsia="宋体"/>
                      <w:color w:val="000000"/>
                      <w:sz w:val="21"/>
                      <w:szCs w:val="21"/>
                    </w:rPr>
                    <w:t>94.1</w:t>
                  </w:r>
                </w:p>
              </w:tc>
              <w:tc>
                <w:tcPr>
                  <w:tcW w:w="1337" w:type="dxa"/>
                  <w:vMerge w:val="continue"/>
                  <w:vAlign w:val="center"/>
                </w:tcPr>
                <w:p>
                  <w:pPr>
                    <w:pStyle w:val="46"/>
                    <w:spacing w:line="360" w:lineRule="auto"/>
                    <w:jc w:val="center"/>
                    <w:rPr>
                      <w:color w:val="000000"/>
                      <w:szCs w:val="21"/>
                    </w:rPr>
                  </w:pPr>
                </w:p>
              </w:tc>
              <w:tc>
                <w:tcPr>
                  <w:tcW w:w="1013" w:type="dxa"/>
                  <w:vMerge w:val="continue"/>
                  <w:vAlign w:val="center"/>
                </w:tcPr>
                <w:p>
                  <w:pPr>
                    <w:pStyle w:val="46"/>
                    <w:spacing w:line="360" w:lineRule="auto"/>
                    <w:jc w:val="center"/>
                    <w:rPr>
                      <w:color w:val="000000"/>
                      <w:szCs w:val="21"/>
                    </w:rPr>
                  </w:pPr>
                </w:p>
              </w:tc>
              <w:tc>
                <w:tcPr>
                  <w:tcW w:w="988" w:type="dxa"/>
                  <w:vMerge w:val="continue"/>
                  <w:vAlign w:val="center"/>
                </w:tcPr>
                <w:p>
                  <w:pPr>
                    <w:pStyle w:val="46"/>
                    <w:spacing w:line="360" w:lineRule="auto"/>
                    <w:jc w:val="center"/>
                    <w:rPr>
                      <w:color w:val="000000"/>
                      <w:szCs w:val="21"/>
                    </w:rPr>
                  </w:pPr>
                </w:p>
              </w:tc>
            </w:tr>
          </w:tbl>
          <w:p>
            <w:pPr>
              <w:spacing w:before="120" w:beforeLines="50" w:after="0" w:line="360" w:lineRule="auto"/>
              <w:jc w:val="center"/>
              <w:rPr>
                <w:rFonts w:eastAsia="宋体"/>
                <w:color w:val="000000"/>
                <w:sz w:val="24"/>
                <w:szCs w:val="24"/>
              </w:rPr>
            </w:pPr>
          </w:p>
          <w:p>
            <w:pPr>
              <w:spacing w:before="120" w:beforeLines="50" w:after="0" w:line="360" w:lineRule="auto"/>
              <w:jc w:val="center"/>
              <w:rPr>
                <w:rFonts w:eastAsia="宋体"/>
                <w:color w:val="000000"/>
                <w:sz w:val="24"/>
                <w:szCs w:val="24"/>
              </w:rPr>
            </w:pPr>
          </w:p>
          <w:p>
            <w:pPr>
              <w:spacing w:before="120" w:beforeLines="50" w:after="0" w:line="360" w:lineRule="auto"/>
              <w:jc w:val="center"/>
              <w:rPr>
                <w:rFonts w:eastAsia="宋体"/>
                <w:color w:val="000000"/>
                <w:sz w:val="24"/>
                <w:szCs w:val="24"/>
              </w:rPr>
            </w:pPr>
            <w:r>
              <w:rPr>
                <w:rFonts w:hint="eastAsia" w:eastAsia="宋体"/>
                <w:color w:val="000000"/>
                <w:sz w:val="24"/>
                <w:szCs w:val="24"/>
              </w:rPr>
              <w:t>续</w:t>
            </w:r>
            <w:r>
              <w:rPr>
                <w:rFonts w:eastAsia="宋体"/>
                <w:color w:val="000000"/>
                <w:sz w:val="24"/>
                <w:szCs w:val="24"/>
              </w:rPr>
              <w:t>表</w:t>
            </w:r>
            <w:r>
              <w:rPr>
                <w:rFonts w:ascii="Times New Roman" w:hAnsi="Times New Roman" w:eastAsia="宋体"/>
                <w:color w:val="000000"/>
                <w:sz w:val="24"/>
                <w:szCs w:val="24"/>
              </w:rPr>
              <w:t xml:space="preserve">5-4 </w:t>
            </w:r>
            <w:r>
              <w:rPr>
                <w:rFonts w:eastAsia="宋体"/>
                <w:color w:val="000000"/>
                <w:sz w:val="24"/>
                <w:szCs w:val="24"/>
              </w:rPr>
              <w:t xml:space="preserve"> 监测仪器校准结果一览表</w:t>
            </w:r>
          </w:p>
          <w:tbl>
            <w:tblPr>
              <w:tblStyle w:val="43"/>
              <w:tblW w:w="8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994"/>
              <w:gridCol w:w="731"/>
              <w:gridCol w:w="919"/>
              <w:gridCol w:w="837"/>
              <w:gridCol w:w="889"/>
              <w:gridCol w:w="846"/>
              <w:gridCol w:w="865"/>
              <w:gridCol w:w="818"/>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restart"/>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仪器名称</w:t>
                  </w:r>
                </w:p>
                <w:p>
                  <w:pPr>
                    <w:spacing w:after="0"/>
                    <w:jc w:val="center"/>
                    <w:rPr>
                      <w:rFonts w:ascii="Times New Roman" w:hAnsi="Times New Roman" w:eastAsia="宋体"/>
                      <w:b/>
                      <w:bCs/>
                      <w:color w:val="000000"/>
                      <w:w w:val="90"/>
                      <w:sz w:val="21"/>
                      <w:szCs w:val="21"/>
                    </w:rPr>
                  </w:pPr>
                  <w:r>
                    <w:rPr>
                      <w:rFonts w:hint="eastAsia" w:ascii="Times New Roman" w:hAnsi="Times New Roman" w:eastAsia="宋体"/>
                      <w:b/>
                      <w:bCs/>
                      <w:color w:val="000000"/>
                      <w:w w:val="90"/>
                      <w:sz w:val="21"/>
                      <w:szCs w:val="21"/>
                    </w:rPr>
                    <w:t>及</w:t>
                  </w:r>
                  <w:r>
                    <w:rPr>
                      <w:rFonts w:ascii="Times New Roman" w:hAnsi="Times New Roman" w:eastAsia="宋体"/>
                      <w:b/>
                      <w:bCs/>
                      <w:color w:val="000000"/>
                      <w:w w:val="90"/>
                      <w:sz w:val="21"/>
                      <w:szCs w:val="21"/>
                    </w:rPr>
                    <w:t>型号</w:t>
                  </w:r>
                </w:p>
              </w:tc>
              <w:tc>
                <w:tcPr>
                  <w:tcW w:w="1725" w:type="dxa"/>
                  <w:gridSpan w:val="2"/>
                  <w:vMerge w:val="restart"/>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仪器编号</w:t>
                  </w:r>
                </w:p>
                <w:p>
                  <w:pPr>
                    <w:spacing w:after="0"/>
                    <w:jc w:val="center"/>
                    <w:rPr>
                      <w:rFonts w:ascii="Times New Roman" w:hAnsi="Times New Roman" w:eastAsia="宋体"/>
                      <w:b/>
                      <w:bCs/>
                      <w:color w:val="000000"/>
                      <w:w w:val="90"/>
                      <w:sz w:val="21"/>
                      <w:szCs w:val="21"/>
                    </w:rPr>
                  </w:pPr>
                  <w:r>
                    <w:rPr>
                      <w:rFonts w:hint="eastAsia" w:ascii="Times New Roman" w:hAnsi="Times New Roman" w:eastAsia="宋体"/>
                      <w:b/>
                      <w:bCs/>
                      <w:color w:val="000000"/>
                      <w:w w:val="90"/>
                      <w:sz w:val="21"/>
                      <w:szCs w:val="21"/>
                    </w:rPr>
                    <w:t>及</w:t>
                  </w:r>
                  <w:r>
                    <w:rPr>
                      <w:rFonts w:ascii="Times New Roman" w:hAnsi="Times New Roman" w:eastAsia="宋体"/>
                      <w:b/>
                      <w:bCs/>
                      <w:color w:val="000000"/>
                      <w:w w:val="90"/>
                      <w:sz w:val="21"/>
                      <w:szCs w:val="21"/>
                    </w:rPr>
                    <w:t>气路</w:t>
                  </w:r>
                </w:p>
              </w:tc>
              <w:tc>
                <w:tcPr>
                  <w:tcW w:w="1756" w:type="dxa"/>
                  <w:gridSpan w:val="2"/>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测定值（L/min）</w:t>
                  </w:r>
                </w:p>
              </w:tc>
              <w:tc>
                <w:tcPr>
                  <w:tcW w:w="889" w:type="dxa"/>
                  <w:vMerge w:val="restart"/>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标准值</w:t>
                  </w:r>
                  <w:r>
                    <w:rPr>
                      <w:rFonts w:hint="eastAsia" w:ascii="Times New Roman" w:hAnsi="Times New Roman" w:eastAsia="宋体"/>
                      <w:b/>
                      <w:bCs/>
                      <w:color w:val="000000"/>
                      <w:w w:val="90"/>
                      <w:sz w:val="21"/>
                      <w:szCs w:val="21"/>
                    </w:rPr>
                    <w:t>(</w:t>
                  </w:r>
                  <w:r>
                    <w:rPr>
                      <w:rFonts w:ascii="Times New Roman" w:hAnsi="Times New Roman" w:eastAsia="宋体"/>
                      <w:b/>
                      <w:bCs/>
                      <w:color w:val="000000"/>
                      <w:w w:val="90"/>
                      <w:sz w:val="21"/>
                      <w:szCs w:val="21"/>
                    </w:rPr>
                    <w:t>L/min</w:t>
                  </w:r>
                  <w:r>
                    <w:rPr>
                      <w:rFonts w:hint="eastAsia" w:ascii="Times New Roman" w:hAnsi="Times New Roman" w:eastAsia="宋体"/>
                      <w:b/>
                      <w:bCs/>
                      <w:color w:val="000000"/>
                      <w:w w:val="90"/>
                      <w:sz w:val="21"/>
                      <w:szCs w:val="21"/>
                    </w:rPr>
                    <w:t>)</w:t>
                  </w:r>
                </w:p>
              </w:tc>
              <w:tc>
                <w:tcPr>
                  <w:tcW w:w="1711" w:type="dxa"/>
                  <w:gridSpan w:val="2"/>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相对误差（%）</w:t>
                  </w:r>
                </w:p>
              </w:tc>
              <w:tc>
                <w:tcPr>
                  <w:tcW w:w="818" w:type="dxa"/>
                  <w:vMerge w:val="restart"/>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允</w:t>
                  </w:r>
                  <w:r>
                    <w:rPr>
                      <w:rFonts w:hint="eastAsia" w:ascii="Times New Roman" w:hAnsi="Times New Roman" w:eastAsia="宋体"/>
                      <w:b/>
                      <w:bCs/>
                      <w:color w:val="000000"/>
                      <w:w w:val="90"/>
                      <w:sz w:val="21"/>
                      <w:szCs w:val="21"/>
                    </w:rPr>
                    <w:t>许误</w:t>
                  </w:r>
                  <w:r>
                    <w:rPr>
                      <w:rFonts w:ascii="Times New Roman" w:hAnsi="Times New Roman" w:eastAsia="宋体"/>
                      <w:b/>
                      <w:bCs/>
                      <w:color w:val="000000"/>
                      <w:w w:val="90"/>
                      <w:sz w:val="21"/>
                      <w:szCs w:val="21"/>
                    </w:rPr>
                    <w:t>差</w:t>
                  </w:r>
                </w:p>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w:t>
                  </w:r>
                </w:p>
              </w:tc>
              <w:tc>
                <w:tcPr>
                  <w:tcW w:w="657" w:type="dxa"/>
                  <w:vMerge w:val="restart"/>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校准</w:t>
                  </w:r>
                </w:p>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line="240" w:lineRule="exact"/>
                    <w:jc w:val="center"/>
                    <w:rPr>
                      <w:b/>
                      <w:bCs/>
                      <w:color w:val="000000"/>
                      <w:szCs w:val="21"/>
                    </w:rPr>
                  </w:pPr>
                </w:p>
              </w:tc>
              <w:tc>
                <w:tcPr>
                  <w:tcW w:w="1725" w:type="dxa"/>
                  <w:gridSpan w:val="2"/>
                  <w:vMerge w:val="continue"/>
                  <w:vAlign w:val="center"/>
                </w:tcPr>
                <w:p>
                  <w:pPr>
                    <w:spacing w:line="240" w:lineRule="exact"/>
                    <w:jc w:val="center"/>
                    <w:rPr>
                      <w:b/>
                      <w:bCs/>
                      <w:color w:val="000000"/>
                      <w:szCs w:val="21"/>
                    </w:rPr>
                  </w:pPr>
                </w:p>
              </w:tc>
              <w:tc>
                <w:tcPr>
                  <w:tcW w:w="919" w:type="dxa"/>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监测前</w:t>
                  </w:r>
                </w:p>
              </w:tc>
              <w:tc>
                <w:tcPr>
                  <w:tcW w:w="837" w:type="dxa"/>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监测后</w:t>
                  </w:r>
                </w:p>
              </w:tc>
              <w:tc>
                <w:tcPr>
                  <w:tcW w:w="889" w:type="dxa"/>
                  <w:vMerge w:val="continue"/>
                  <w:vAlign w:val="center"/>
                </w:tcPr>
                <w:p>
                  <w:pPr>
                    <w:spacing w:after="0"/>
                    <w:jc w:val="center"/>
                    <w:rPr>
                      <w:rFonts w:ascii="Times New Roman" w:hAnsi="Times New Roman" w:eastAsia="宋体"/>
                      <w:b/>
                      <w:bCs/>
                      <w:color w:val="000000"/>
                      <w:w w:val="90"/>
                      <w:sz w:val="21"/>
                      <w:szCs w:val="21"/>
                    </w:rPr>
                  </w:pPr>
                </w:p>
              </w:tc>
              <w:tc>
                <w:tcPr>
                  <w:tcW w:w="846" w:type="dxa"/>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监测前</w:t>
                  </w:r>
                </w:p>
              </w:tc>
              <w:tc>
                <w:tcPr>
                  <w:tcW w:w="865" w:type="dxa"/>
                  <w:vAlign w:val="center"/>
                </w:tcPr>
                <w:p>
                  <w:pPr>
                    <w:spacing w:after="0"/>
                    <w:jc w:val="center"/>
                    <w:rPr>
                      <w:rFonts w:ascii="Times New Roman" w:hAnsi="Times New Roman" w:eastAsia="宋体"/>
                      <w:b/>
                      <w:bCs/>
                      <w:color w:val="000000"/>
                      <w:w w:val="90"/>
                      <w:sz w:val="21"/>
                      <w:szCs w:val="21"/>
                    </w:rPr>
                  </w:pPr>
                  <w:r>
                    <w:rPr>
                      <w:rFonts w:ascii="Times New Roman" w:hAnsi="Times New Roman" w:eastAsia="宋体"/>
                      <w:b/>
                      <w:bCs/>
                      <w:color w:val="000000"/>
                      <w:w w:val="90"/>
                      <w:sz w:val="21"/>
                      <w:szCs w:val="21"/>
                    </w:rPr>
                    <w:t>监测后</w:t>
                  </w:r>
                </w:p>
              </w:tc>
              <w:tc>
                <w:tcPr>
                  <w:tcW w:w="818" w:type="dxa"/>
                  <w:vMerge w:val="continue"/>
                  <w:vAlign w:val="center"/>
                </w:tcPr>
                <w:p>
                  <w:pPr>
                    <w:spacing w:line="240" w:lineRule="exact"/>
                    <w:jc w:val="center"/>
                    <w:rPr>
                      <w:b/>
                      <w:bCs/>
                      <w:color w:val="000000"/>
                      <w:szCs w:val="21"/>
                    </w:rPr>
                  </w:pPr>
                </w:p>
              </w:tc>
              <w:tc>
                <w:tcPr>
                  <w:tcW w:w="657" w:type="dxa"/>
                  <w:vMerge w:val="continue"/>
                  <w:vAlign w:val="center"/>
                </w:tcPr>
                <w:p>
                  <w:pPr>
                    <w:spacing w:line="240" w:lineRule="exact"/>
                    <w:jc w:val="center"/>
                    <w:rPr>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restart"/>
                  <w:vAlign w:val="center"/>
                </w:tcPr>
                <w:p>
                  <w:pPr>
                    <w:spacing w:after="0"/>
                    <w:jc w:val="center"/>
                    <w:rPr>
                      <w:rFonts w:ascii="Times New Roman" w:hAnsi="Times New Roman" w:eastAsia="宋体"/>
                      <w:color w:val="000000"/>
                      <w:position w:val="-6"/>
                      <w:sz w:val="21"/>
                      <w:szCs w:val="21"/>
                    </w:rPr>
                  </w:pPr>
                  <w:r>
                    <w:rPr>
                      <w:rFonts w:hint="eastAsia" w:ascii="Times New Roman" w:hAnsi="Times New Roman" w:eastAsia="宋体"/>
                      <w:color w:val="000000"/>
                      <w:position w:val="-6"/>
                      <w:sz w:val="21"/>
                      <w:szCs w:val="21"/>
                    </w:rPr>
                    <w:t>智能综合</w:t>
                  </w:r>
                </w:p>
                <w:p>
                  <w:pPr>
                    <w:spacing w:after="0"/>
                    <w:jc w:val="center"/>
                    <w:rPr>
                      <w:rFonts w:ascii="Times New Roman" w:hAnsi="Times New Roman" w:eastAsia="宋体"/>
                      <w:color w:val="000000"/>
                      <w:position w:val="-6"/>
                      <w:sz w:val="21"/>
                      <w:szCs w:val="21"/>
                    </w:rPr>
                  </w:pPr>
                  <w:r>
                    <w:rPr>
                      <w:rFonts w:hint="eastAsia" w:ascii="Times New Roman" w:hAnsi="Times New Roman" w:eastAsia="宋体"/>
                      <w:color w:val="000000"/>
                      <w:position w:val="-6"/>
                      <w:sz w:val="21"/>
                      <w:szCs w:val="21"/>
                    </w:rPr>
                    <w:t>采样器ADS-2062E</w:t>
                  </w:r>
                </w:p>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(2.0)</w:t>
                  </w:r>
                </w:p>
              </w:tc>
              <w:tc>
                <w:tcPr>
                  <w:tcW w:w="99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A-216</w:t>
                  </w: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1.003</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r>
                    <w:rPr>
                      <w:rFonts w:ascii="Times New Roman" w:hAnsi="Times New Roman" w:eastAsia="宋体"/>
                      <w:color w:val="000000"/>
                      <w:sz w:val="21"/>
                      <w:szCs w:val="21"/>
                    </w:rPr>
                    <w:t>05</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0.3</w:t>
                  </w:r>
                </w:p>
              </w:tc>
              <w:tc>
                <w:tcPr>
                  <w:tcW w:w="865"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0.5</w:t>
                  </w:r>
                </w:p>
              </w:tc>
              <w:tc>
                <w:tcPr>
                  <w:tcW w:w="818" w:type="dxa"/>
                  <w:vMerge w:val="restart"/>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±5.0</w:t>
                  </w: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continue"/>
                  <w:vAlign w:val="center"/>
                </w:tcPr>
                <w:p>
                  <w:pPr>
                    <w:spacing w:after="0"/>
                    <w:jc w:val="center"/>
                    <w:rPr>
                      <w:rFonts w:ascii="Times New Roman" w:hAnsi="Times New Roman" w:eastAsia="宋体"/>
                      <w:color w:val="000000"/>
                      <w:sz w:val="21"/>
                      <w:szCs w:val="21"/>
                    </w:rPr>
                  </w:pP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B</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1</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7</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1</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7</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restart"/>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A-2</w:t>
                  </w:r>
                  <w:r>
                    <w:rPr>
                      <w:rFonts w:ascii="Times New Roman" w:hAnsi="Times New Roman" w:eastAsia="宋体"/>
                      <w:color w:val="000000"/>
                      <w:sz w:val="21"/>
                      <w:szCs w:val="21"/>
                    </w:rPr>
                    <w:t>17</w:t>
                  </w: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1.004</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2</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0.4</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2</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continue"/>
                  <w:vAlign w:val="center"/>
                </w:tcPr>
                <w:p>
                  <w:pPr>
                    <w:spacing w:after="0"/>
                    <w:jc w:val="center"/>
                    <w:rPr>
                      <w:rFonts w:ascii="Times New Roman" w:hAnsi="Times New Roman" w:eastAsia="宋体"/>
                      <w:color w:val="000000"/>
                      <w:sz w:val="21"/>
                      <w:szCs w:val="21"/>
                    </w:rPr>
                  </w:pP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B</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1.006</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0.99</w:t>
                  </w:r>
                  <w:r>
                    <w:rPr>
                      <w:rFonts w:ascii="Times New Roman" w:hAnsi="Times New Roman" w:eastAsia="宋体"/>
                      <w:color w:val="000000"/>
                      <w:sz w:val="21"/>
                      <w:szCs w:val="21"/>
                    </w:rPr>
                    <w:t>7</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6</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3</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restart"/>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A-2</w:t>
                  </w:r>
                  <w:r>
                    <w:rPr>
                      <w:rFonts w:ascii="Times New Roman" w:hAnsi="Times New Roman" w:eastAsia="宋体"/>
                      <w:color w:val="000000"/>
                      <w:sz w:val="21"/>
                      <w:szCs w:val="21"/>
                    </w:rPr>
                    <w:t>18</w:t>
                  </w: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r>
                    <w:rPr>
                      <w:rFonts w:ascii="Times New Roman" w:hAnsi="Times New Roman" w:eastAsia="宋体"/>
                      <w:color w:val="000000"/>
                      <w:sz w:val="21"/>
                      <w:szCs w:val="21"/>
                    </w:rPr>
                    <w:t>02</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r>
                    <w:rPr>
                      <w:rFonts w:ascii="Times New Roman" w:hAnsi="Times New Roman" w:eastAsia="宋体"/>
                      <w:color w:val="000000"/>
                      <w:sz w:val="21"/>
                      <w:szCs w:val="21"/>
                    </w:rPr>
                    <w:t>04</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0.2</w:t>
                  </w:r>
                </w:p>
              </w:tc>
              <w:tc>
                <w:tcPr>
                  <w:tcW w:w="865"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0.4</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continue"/>
                  <w:vAlign w:val="center"/>
                </w:tcPr>
                <w:p>
                  <w:pPr>
                    <w:spacing w:after="0"/>
                    <w:jc w:val="center"/>
                    <w:rPr>
                      <w:rFonts w:ascii="Times New Roman" w:hAnsi="Times New Roman" w:eastAsia="宋体"/>
                      <w:color w:val="000000"/>
                      <w:sz w:val="21"/>
                      <w:szCs w:val="21"/>
                    </w:rPr>
                  </w:pP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B</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5</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8</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5</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8</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restart"/>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A-2</w:t>
                  </w:r>
                  <w:r>
                    <w:rPr>
                      <w:rFonts w:ascii="Times New Roman" w:hAnsi="Times New Roman" w:eastAsia="宋体"/>
                      <w:color w:val="000000"/>
                      <w:sz w:val="21"/>
                      <w:szCs w:val="21"/>
                    </w:rPr>
                    <w:t>19</w:t>
                  </w: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r>
                    <w:rPr>
                      <w:rFonts w:ascii="Times New Roman" w:hAnsi="Times New Roman" w:eastAsia="宋体"/>
                      <w:color w:val="000000"/>
                      <w:sz w:val="21"/>
                      <w:szCs w:val="21"/>
                    </w:rPr>
                    <w:t>0</w:t>
                  </w:r>
                  <w:r>
                    <w:rPr>
                      <w:rFonts w:hint="eastAsia" w:ascii="Times New Roman" w:hAnsi="Times New Roman" w:eastAsia="宋体"/>
                      <w:color w:val="000000"/>
                      <w:sz w:val="21"/>
                      <w:szCs w:val="21"/>
                    </w:rPr>
                    <w:t>3</w:t>
                  </w:r>
                </w:p>
              </w:tc>
              <w:tc>
                <w:tcPr>
                  <w:tcW w:w="83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w:t>
                  </w:r>
                  <w:r>
                    <w:rPr>
                      <w:rFonts w:hint="eastAsia" w:ascii="Times New Roman" w:hAnsi="Times New Roman" w:eastAsia="宋体"/>
                      <w:color w:val="000000"/>
                      <w:sz w:val="21"/>
                      <w:szCs w:val="21"/>
                    </w:rPr>
                    <w:t>.</w:t>
                  </w:r>
                  <w:r>
                    <w:rPr>
                      <w:rFonts w:ascii="Times New Roman" w:hAnsi="Times New Roman" w:eastAsia="宋体"/>
                      <w:color w:val="000000"/>
                      <w:sz w:val="21"/>
                      <w:szCs w:val="21"/>
                    </w:rPr>
                    <w:t>998</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w:t>
                  </w:r>
                  <w:r>
                    <w:rPr>
                      <w:rFonts w:hint="eastAsia" w:ascii="Times New Roman" w:hAnsi="Times New Roman" w:eastAsia="宋体"/>
                      <w:color w:val="000000"/>
                      <w:sz w:val="21"/>
                      <w:szCs w:val="21"/>
                    </w:rPr>
                    <w:t>.3</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2</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continue"/>
                  <w:vAlign w:val="center"/>
                </w:tcPr>
                <w:p>
                  <w:pPr>
                    <w:spacing w:after="0"/>
                    <w:jc w:val="center"/>
                    <w:rPr>
                      <w:rFonts w:ascii="Times New Roman" w:hAnsi="Times New Roman" w:eastAsia="宋体"/>
                      <w:color w:val="000000"/>
                      <w:sz w:val="21"/>
                      <w:szCs w:val="21"/>
                    </w:rPr>
                  </w:pP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B</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5</w:t>
                  </w:r>
                </w:p>
              </w:tc>
              <w:tc>
                <w:tcPr>
                  <w:tcW w:w="837"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w:t>
                  </w:r>
                  <w:r>
                    <w:rPr>
                      <w:rFonts w:hint="eastAsia" w:ascii="Times New Roman" w:hAnsi="Times New Roman" w:eastAsia="宋体"/>
                      <w:color w:val="000000"/>
                      <w:sz w:val="21"/>
                      <w:szCs w:val="21"/>
                    </w:rPr>
                    <w:t>.</w:t>
                  </w:r>
                  <w:r>
                    <w:rPr>
                      <w:rFonts w:ascii="Times New Roman" w:hAnsi="Times New Roman" w:eastAsia="宋体"/>
                      <w:color w:val="000000"/>
                      <w:sz w:val="21"/>
                      <w:szCs w:val="21"/>
                    </w:rPr>
                    <w:t>996</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5</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4</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restart"/>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A-2</w:t>
                  </w:r>
                  <w:r>
                    <w:rPr>
                      <w:rFonts w:ascii="Times New Roman" w:hAnsi="Times New Roman" w:eastAsia="宋体"/>
                      <w:color w:val="000000"/>
                      <w:sz w:val="21"/>
                      <w:szCs w:val="21"/>
                    </w:rPr>
                    <w:t>19</w:t>
                  </w: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A</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1</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r>
                    <w:rPr>
                      <w:rFonts w:ascii="Times New Roman" w:hAnsi="Times New Roman" w:eastAsia="宋体"/>
                      <w:color w:val="000000"/>
                      <w:sz w:val="21"/>
                      <w:szCs w:val="21"/>
                    </w:rPr>
                    <w:t>03</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1</w:t>
                  </w:r>
                </w:p>
              </w:tc>
              <w:tc>
                <w:tcPr>
                  <w:tcW w:w="865"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0.3</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1164" w:type="dxa"/>
                  <w:vMerge w:val="continue"/>
                  <w:vAlign w:val="center"/>
                </w:tcPr>
                <w:p>
                  <w:pPr>
                    <w:spacing w:after="0"/>
                    <w:jc w:val="center"/>
                    <w:rPr>
                      <w:rFonts w:ascii="Times New Roman" w:hAnsi="Times New Roman" w:eastAsia="宋体"/>
                      <w:color w:val="000000"/>
                      <w:position w:val="-6"/>
                      <w:sz w:val="21"/>
                      <w:szCs w:val="21"/>
                    </w:rPr>
                  </w:pPr>
                </w:p>
              </w:tc>
              <w:tc>
                <w:tcPr>
                  <w:tcW w:w="994" w:type="dxa"/>
                  <w:vMerge w:val="continue"/>
                  <w:vAlign w:val="center"/>
                </w:tcPr>
                <w:p>
                  <w:pPr>
                    <w:spacing w:after="0"/>
                    <w:jc w:val="center"/>
                    <w:rPr>
                      <w:rFonts w:ascii="Times New Roman" w:hAnsi="Times New Roman" w:eastAsia="宋体"/>
                      <w:color w:val="000000"/>
                      <w:sz w:val="21"/>
                      <w:szCs w:val="21"/>
                    </w:rPr>
                  </w:pPr>
                </w:p>
              </w:tc>
              <w:tc>
                <w:tcPr>
                  <w:tcW w:w="731"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B</w:t>
                  </w:r>
                  <w:r>
                    <w:rPr>
                      <w:rFonts w:hint="eastAsia" w:ascii="Times New Roman" w:hAnsi="Times New Roman" w:eastAsia="宋体"/>
                      <w:color w:val="000000"/>
                      <w:sz w:val="21"/>
                      <w:szCs w:val="21"/>
                    </w:rPr>
                    <w:t>路</w:t>
                  </w:r>
                </w:p>
              </w:tc>
              <w:tc>
                <w:tcPr>
                  <w:tcW w:w="9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6</w:t>
                  </w:r>
                </w:p>
              </w:tc>
              <w:tc>
                <w:tcPr>
                  <w:tcW w:w="837"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1.00</w:t>
                  </w:r>
                  <w:r>
                    <w:rPr>
                      <w:rFonts w:ascii="Times New Roman" w:hAnsi="Times New Roman" w:eastAsia="宋体"/>
                      <w:color w:val="000000"/>
                      <w:sz w:val="21"/>
                      <w:szCs w:val="21"/>
                    </w:rPr>
                    <w:t>8</w:t>
                  </w:r>
                </w:p>
              </w:tc>
              <w:tc>
                <w:tcPr>
                  <w:tcW w:w="88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1.0</w:t>
                  </w:r>
                </w:p>
              </w:tc>
              <w:tc>
                <w:tcPr>
                  <w:tcW w:w="846"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0.6</w:t>
                  </w:r>
                </w:p>
              </w:tc>
              <w:tc>
                <w:tcPr>
                  <w:tcW w:w="865"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w:t>
                  </w:r>
                  <w:r>
                    <w:rPr>
                      <w:rFonts w:ascii="Times New Roman" w:hAnsi="Times New Roman" w:eastAsia="宋体"/>
                      <w:color w:val="000000"/>
                      <w:sz w:val="21"/>
                      <w:szCs w:val="21"/>
                    </w:rPr>
                    <w:t>8</w:t>
                  </w:r>
                </w:p>
              </w:tc>
              <w:tc>
                <w:tcPr>
                  <w:tcW w:w="818" w:type="dxa"/>
                  <w:vMerge w:val="continue"/>
                  <w:vAlign w:val="center"/>
                </w:tcPr>
                <w:p>
                  <w:pPr>
                    <w:spacing w:line="240" w:lineRule="exact"/>
                    <w:jc w:val="center"/>
                    <w:rPr>
                      <w:bCs/>
                      <w:color w:val="000000"/>
                      <w:szCs w:val="21"/>
                    </w:rPr>
                  </w:pPr>
                </w:p>
              </w:tc>
              <w:tc>
                <w:tcPr>
                  <w:tcW w:w="657" w:type="dxa"/>
                  <w:vAlign w:val="center"/>
                </w:tcPr>
                <w:p>
                  <w:pPr>
                    <w:spacing w:after="0"/>
                    <w:jc w:val="center"/>
                    <w:rPr>
                      <w:rFonts w:ascii="Times New Roman" w:hAnsi="Times New Roman" w:eastAsia="宋体"/>
                      <w:color w:val="000000"/>
                      <w:position w:val="-6"/>
                      <w:sz w:val="21"/>
                      <w:szCs w:val="21"/>
                    </w:rPr>
                  </w:pPr>
                  <w:r>
                    <w:rPr>
                      <w:rFonts w:ascii="Times New Roman" w:hAnsi="Times New Roman" w:eastAsia="宋体"/>
                      <w:color w:val="000000"/>
                      <w:position w:val="-6"/>
                      <w:sz w:val="21"/>
                      <w:szCs w:val="21"/>
                    </w:rPr>
                    <w:t>合格</w:t>
                  </w:r>
                </w:p>
              </w:tc>
            </w:tr>
          </w:tbl>
          <w:p>
            <w:pPr>
              <w:pStyle w:val="52"/>
              <w:spacing w:after="0" w:line="360" w:lineRule="auto"/>
              <w:ind w:firstLine="480"/>
              <w:rPr>
                <w:rFonts w:ascii="Times New Roman" w:hAnsi="Times New Roman" w:eastAsia="宋体"/>
                <w:color w:val="000000"/>
                <w:szCs w:val="24"/>
              </w:rPr>
            </w:pPr>
            <w:r>
              <w:rPr>
                <w:rFonts w:ascii="Times New Roman" w:hAnsi="Times New Roman" w:eastAsia="宋体"/>
                <w:color w:val="000000"/>
                <w:szCs w:val="24"/>
              </w:rPr>
              <w:t>（5）</w:t>
            </w:r>
            <w:r>
              <w:rPr>
                <w:rFonts w:hint="eastAsia" w:ascii="Times New Roman" w:hAnsi="Times New Roman" w:eastAsia="宋体"/>
                <w:color w:val="000000"/>
                <w:szCs w:val="24"/>
              </w:rPr>
              <w:t>质量控制数据</w:t>
            </w: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监测质控见下表5</w:t>
            </w:r>
            <w:r>
              <w:rPr>
                <w:rFonts w:ascii="Times New Roman" w:hAnsi="Times New Roman" w:eastAsia="宋体"/>
                <w:color w:val="000000"/>
                <w:szCs w:val="24"/>
              </w:rPr>
              <w:t>-5</w:t>
            </w:r>
          </w:p>
          <w:p>
            <w:pPr>
              <w:spacing w:before="120" w:beforeLines="50" w:after="0" w:line="360" w:lineRule="auto"/>
              <w:jc w:val="center"/>
              <w:rPr>
                <w:rFonts w:eastAsia="宋体"/>
                <w:color w:val="000000"/>
                <w:sz w:val="24"/>
                <w:szCs w:val="24"/>
              </w:rPr>
            </w:pPr>
            <w:r>
              <w:rPr>
                <w:rFonts w:eastAsia="宋体"/>
                <w:color w:val="000000"/>
                <w:sz w:val="24"/>
                <w:szCs w:val="24"/>
              </w:rPr>
              <w:t>表</w:t>
            </w:r>
            <w:r>
              <w:rPr>
                <w:rFonts w:ascii="Times New Roman" w:hAnsi="Times New Roman" w:eastAsia="宋体"/>
                <w:color w:val="000000"/>
                <w:sz w:val="24"/>
                <w:szCs w:val="24"/>
              </w:rPr>
              <w:t xml:space="preserve">5-5 </w:t>
            </w:r>
            <w:r>
              <w:rPr>
                <w:rFonts w:hint="eastAsia" w:eastAsia="宋体"/>
                <w:color w:val="000000"/>
                <w:sz w:val="24"/>
                <w:szCs w:val="24"/>
              </w:rPr>
              <w:t>污染源监测质量控制数据一览表</w:t>
            </w:r>
          </w:p>
          <w:tbl>
            <w:tblPr>
              <w:tblStyle w:val="43"/>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922"/>
              <w:gridCol w:w="810"/>
              <w:gridCol w:w="1107"/>
              <w:gridCol w:w="760"/>
              <w:gridCol w:w="731"/>
              <w:gridCol w:w="619"/>
              <w:gridCol w:w="684"/>
              <w:gridCol w:w="1032"/>
              <w:gridCol w:w="645"/>
              <w:gridCol w:w="481"/>
              <w:gridCol w:w="483"/>
              <w:gridCol w:w="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337" w:hRule="atLeast"/>
                <w:jc w:val="center"/>
              </w:trPr>
              <w:tc>
                <w:tcPr>
                  <w:tcW w:w="922"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监测项目</w:t>
                  </w:r>
                </w:p>
              </w:tc>
              <w:tc>
                <w:tcPr>
                  <w:tcW w:w="810"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空白样品编号</w:t>
                  </w:r>
                </w:p>
              </w:tc>
              <w:tc>
                <w:tcPr>
                  <w:tcW w:w="1107"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判定指标</w:t>
                  </w:r>
                </w:p>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w:t>
                  </w:r>
                  <w:r>
                    <w:rPr>
                      <w:rFonts w:ascii="Times New Roman" w:hAnsi="Times New Roman" w:eastAsia="宋体"/>
                      <w:b/>
                      <w:color w:val="000000"/>
                      <w:sz w:val="18"/>
                      <w:szCs w:val="18"/>
                    </w:rPr>
                    <w:t>/</w:t>
                  </w:r>
                  <w:r>
                    <w:rPr>
                      <w:rFonts w:ascii="Times New Roman" w:hAnsi="Times New Roman" w:eastAsia="宋体"/>
                      <w:b/>
                      <w:bCs/>
                      <w:color w:val="000000"/>
                      <w:sz w:val="18"/>
                      <w:szCs w:val="18"/>
                    </w:rPr>
                    <w:t>）</w:t>
                  </w:r>
                </w:p>
              </w:tc>
              <w:tc>
                <w:tcPr>
                  <w:tcW w:w="2794" w:type="dxa"/>
                  <w:gridSpan w:val="4"/>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准确度</w:t>
                  </w:r>
                </w:p>
              </w:tc>
              <w:tc>
                <w:tcPr>
                  <w:tcW w:w="2641" w:type="dxa"/>
                  <w:gridSpan w:val="4"/>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精密度</w:t>
                  </w:r>
                </w:p>
              </w:tc>
              <w:tc>
                <w:tcPr>
                  <w:tcW w:w="446"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415"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Merge w:val="continue"/>
                  <w:vAlign w:val="center"/>
                </w:tcPr>
                <w:p>
                  <w:pPr>
                    <w:spacing w:after="0" w:line="240" w:lineRule="atLeast"/>
                    <w:jc w:val="center"/>
                    <w:rPr>
                      <w:rFonts w:ascii="Times New Roman" w:hAnsi="Times New Roman" w:eastAsia="宋体"/>
                      <w:b/>
                      <w:bCs/>
                      <w:color w:val="000000"/>
                      <w:sz w:val="18"/>
                      <w:szCs w:val="18"/>
                    </w:rPr>
                  </w:pPr>
                </w:p>
              </w:tc>
              <w:tc>
                <w:tcPr>
                  <w:tcW w:w="1107" w:type="dxa"/>
                  <w:vMerge w:val="continue"/>
                  <w:vAlign w:val="center"/>
                </w:tcPr>
                <w:p>
                  <w:pPr>
                    <w:spacing w:after="0" w:line="240" w:lineRule="atLeast"/>
                    <w:jc w:val="center"/>
                    <w:rPr>
                      <w:rFonts w:ascii="Times New Roman" w:hAnsi="Times New Roman" w:eastAsia="宋体"/>
                      <w:b/>
                      <w:bCs/>
                      <w:color w:val="000000"/>
                      <w:sz w:val="18"/>
                      <w:szCs w:val="18"/>
                    </w:rPr>
                  </w:pPr>
                </w:p>
              </w:tc>
              <w:tc>
                <w:tcPr>
                  <w:tcW w:w="1491" w:type="dxa"/>
                  <w:gridSpan w:val="2"/>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标准样品（mg/L）</w:t>
                  </w:r>
                </w:p>
              </w:tc>
              <w:tc>
                <w:tcPr>
                  <w:tcW w:w="1303" w:type="dxa"/>
                  <w:gridSpan w:val="2"/>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加标回收率(%)</w:t>
                  </w:r>
                </w:p>
              </w:tc>
              <w:tc>
                <w:tcPr>
                  <w:tcW w:w="2641" w:type="dxa"/>
                  <w:gridSpan w:val="4"/>
                  <w:vMerge w:val="continue"/>
                  <w:vAlign w:val="center"/>
                </w:tcPr>
                <w:p>
                  <w:pPr>
                    <w:spacing w:after="0" w:line="240" w:lineRule="atLeast"/>
                    <w:jc w:val="center"/>
                    <w:rPr>
                      <w:rFonts w:ascii="Times New Roman" w:hAnsi="Times New Roman" w:eastAsia="宋体"/>
                      <w:b/>
                      <w:bCs/>
                      <w:color w:val="000000"/>
                      <w:sz w:val="18"/>
                      <w:szCs w:val="18"/>
                    </w:rPr>
                  </w:pP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746"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测定值（</w:t>
                  </w:r>
                  <w:r>
                    <w:rPr>
                      <w:rFonts w:ascii="Times New Roman" w:hAnsi="Times New Roman" w:eastAsia="宋体"/>
                      <w:b/>
                      <w:color w:val="000000"/>
                      <w:sz w:val="18"/>
                      <w:szCs w:val="18"/>
                    </w:rPr>
                    <w:t>/</w:t>
                  </w:r>
                  <w:r>
                    <w:rPr>
                      <w:rFonts w:ascii="Times New Roman" w:hAnsi="Times New Roman" w:eastAsia="宋体"/>
                      <w:b/>
                      <w:bCs/>
                      <w:color w:val="000000"/>
                      <w:sz w:val="18"/>
                      <w:szCs w:val="18"/>
                    </w:rPr>
                    <w:t>）</w:t>
                  </w:r>
                </w:p>
              </w:tc>
              <w:tc>
                <w:tcPr>
                  <w:tcW w:w="1107" w:type="dxa"/>
                  <w:vMerge w:val="continue"/>
                  <w:vAlign w:val="center"/>
                </w:tcPr>
                <w:p>
                  <w:pPr>
                    <w:spacing w:after="0" w:line="240" w:lineRule="atLeast"/>
                    <w:jc w:val="center"/>
                    <w:rPr>
                      <w:rFonts w:ascii="Times New Roman" w:hAnsi="Times New Roman" w:eastAsia="宋体"/>
                      <w:b/>
                      <w:bCs/>
                      <w:color w:val="000000"/>
                      <w:sz w:val="18"/>
                      <w:szCs w:val="18"/>
                    </w:rPr>
                  </w:pPr>
                </w:p>
              </w:tc>
              <w:tc>
                <w:tcPr>
                  <w:tcW w:w="760" w:type="dxa"/>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样品编号</w:t>
                  </w:r>
                </w:p>
              </w:tc>
              <w:tc>
                <w:tcPr>
                  <w:tcW w:w="731"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标准值</w:t>
                  </w:r>
                </w:p>
              </w:tc>
              <w:tc>
                <w:tcPr>
                  <w:tcW w:w="619" w:type="dxa"/>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样品编号</w:t>
                  </w:r>
                </w:p>
              </w:tc>
              <w:tc>
                <w:tcPr>
                  <w:tcW w:w="684"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质控指标</w:t>
                  </w:r>
                </w:p>
              </w:tc>
              <w:tc>
                <w:tcPr>
                  <w:tcW w:w="1032"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样品编号</w:t>
                  </w:r>
                </w:p>
              </w:tc>
              <w:tc>
                <w:tcPr>
                  <w:tcW w:w="645"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测定值</w:t>
                  </w:r>
                </w:p>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w:t>
                  </w:r>
                  <w:r>
                    <w:rPr>
                      <w:rFonts w:ascii="Times New Roman" w:hAnsi="Times New Roman" w:eastAsia="宋体"/>
                      <w:b/>
                      <w:color w:val="000000"/>
                      <w:sz w:val="18"/>
                      <w:szCs w:val="18"/>
                    </w:rPr>
                    <w:t>/</w:t>
                  </w:r>
                  <w:r>
                    <w:rPr>
                      <w:rFonts w:ascii="Times New Roman" w:hAnsi="Times New Roman" w:eastAsia="宋体"/>
                      <w:b/>
                      <w:bCs/>
                      <w:color w:val="000000"/>
                      <w:sz w:val="18"/>
                      <w:szCs w:val="18"/>
                    </w:rPr>
                    <w:t>）</w:t>
                  </w:r>
                </w:p>
              </w:tc>
              <w:tc>
                <w:tcPr>
                  <w:tcW w:w="481"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（|相对偏差|） (%)</w:t>
                  </w:r>
                </w:p>
              </w:tc>
              <w:tc>
                <w:tcPr>
                  <w:tcW w:w="483" w:type="dxa"/>
                  <w:vMerge w:val="restart"/>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（质控指标） (%)</w:t>
                  </w: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295"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Merge w:val="continue"/>
                  <w:vAlign w:val="center"/>
                </w:tcPr>
                <w:p>
                  <w:pPr>
                    <w:spacing w:after="0" w:line="240" w:lineRule="atLeast"/>
                    <w:jc w:val="center"/>
                    <w:rPr>
                      <w:rFonts w:ascii="Times New Roman" w:hAnsi="Times New Roman" w:eastAsia="宋体"/>
                      <w:color w:val="000000"/>
                      <w:sz w:val="18"/>
                      <w:szCs w:val="18"/>
                    </w:rPr>
                  </w:pPr>
                </w:p>
              </w:tc>
              <w:tc>
                <w:tcPr>
                  <w:tcW w:w="1107" w:type="dxa"/>
                  <w:vMerge w:val="continue"/>
                  <w:vAlign w:val="center"/>
                </w:tcPr>
                <w:p>
                  <w:pPr>
                    <w:spacing w:after="0" w:line="240" w:lineRule="atLeast"/>
                    <w:jc w:val="center"/>
                    <w:rPr>
                      <w:rFonts w:ascii="Times New Roman" w:hAnsi="Times New Roman" w:eastAsia="宋体"/>
                      <w:color w:val="000000"/>
                      <w:sz w:val="18"/>
                      <w:szCs w:val="18"/>
                    </w:rPr>
                  </w:pPr>
                </w:p>
              </w:tc>
              <w:tc>
                <w:tcPr>
                  <w:tcW w:w="760" w:type="dxa"/>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测定值</w:t>
                  </w:r>
                </w:p>
              </w:tc>
              <w:tc>
                <w:tcPr>
                  <w:tcW w:w="731" w:type="dxa"/>
                  <w:vMerge w:val="continue"/>
                  <w:vAlign w:val="center"/>
                </w:tcPr>
                <w:p>
                  <w:pPr>
                    <w:spacing w:after="0" w:line="240" w:lineRule="atLeast"/>
                    <w:jc w:val="center"/>
                    <w:rPr>
                      <w:rFonts w:ascii="Times New Roman" w:hAnsi="Times New Roman" w:eastAsia="宋体"/>
                      <w:b/>
                      <w:bCs/>
                      <w:color w:val="000000"/>
                      <w:sz w:val="18"/>
                      <w:szCs w:val="18"/>
                    </w:rPr>
                  </w:pPr>
                </w:p>
              </w:tc>
              <w:tc>
                <w:tcPr>
                  <w:tcW w:w="619" w:type="dxa"/>
                  <w:vAlign w:val="center"/>
                </w:tcPr>
                <w:p>
                  <w:pPr>
                    <w:spacing w:after="0" w:line="240" w:lineRule="atLeas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测定值</w:t>
                  </w:r>
                </w:p>
              </w:tc>
              <w:tc>
                <w:tcPr>
                  <w:tcW w:w="684" w:type="dxa"/>
                  <w:vMerge w:val="continue"/>
                  <w:vAlign w:val="center"/>
                </w:tcPr>
                <w:p>
                  <w:pPr>
                    <w:spacing w:after="0" w:line="240" w:lineRule="atLeast"/>
                    <w:jc w:val="center"/>
                    <w:rPr>
                      <w:rFonts w:ascii="Times New Roman" w:hAnsi="Times New Roman" w:eastAsia="宋体"/>
                      <w:b/>
                      <w:bCs/>
                      <w:color w:val="000000"/>
                      <w:sz w:val="18"/>
                      <w:szCs w:val="18"/>
                    </w:rPr>
                  </w:pPr>
                </w:p>
              </w:tc>
              <w:tc>
                <w:tcPr>
                  <w:tcW w:w="1032" w:type="dxa"/>
                  <w:vMerge w:val="continue"/>
                  <w:vAlign w:val="center"/>
                </w:tcPr>
                <w:p>
                  <w:pPr>
                    <w:spacing w:after="0" w:line="240" w:lineRule="atLeast"/>
                    <w:jc w:val="center"/>
                    <w:rPr>
                      <w:rFonts w:ascii="Times New Roman" w:hAnsi="Times New Roman" w:eastAsia="宋体"/>
                      <w:b/>
                      <w:bCs/>
                      <w:color w:val="000000"/>
                      <w:sz w:val="18"/>
                      <w:szCs w:val="18"/>
                    </w:rPr>
                  </w:pPr>
                </w:p>
              </w:tc>
              <w:tc>
                <w:tcPr>
                  <w:tcW w:w="645" w:type="dxa"/>
                  <w:vMerge w:val="continue"/>
                  <w:vAlign w:val="center"/>
                </w:tcPr>
                <w:p>
                  <w:pPr>
                    <w:spacing w:after="0" w:line="240" w:lineRule="atLeast"/>
                    <w:jc w:val="center"/>
                    <w:rPr>
                      <w:rFonts w:ascii="Times New Roman" w:hAnsi="Times New Roman" w:eastAsia="宋体"/>
                      <w:b/>
                      <w:bCs/>
                      <w:color w:val="000000"/>
                      <w:sz w:val="18"/>
                      <w:szCs w:val="18"/>
                    </w:rPr>
                  </w:pPr>
                </w:p>
              </w:tc>
              <w:tc>
                <w:tcPr>
                  <w:tcW w:w="481" w:type="dxa"/>
                  <w:vMerge w:val="continue"/>
                  <w:vAlign w:val="center"/>
                </w:tcPr>
                <w:p>
                  <w:pPr>
                    <w:spacing w:after="0" w:line="240" w:lineRule="atLeast"/>
                    <w:jc w:val="center"/>
                    <w:rPr>
                      <w:rFonts w:ascii="Times New Roman" w:hAnsi="Times New Roman" w:eastAsia="宋体"/>
                      <w:color w:val="000000"/>
                      <w:sz w:val="18"/>
                      <w:szCs w:val="18"/>
                    </w:rPr>
                  </w:pPr>
                </w:p>
              </w:tc>
              <w:tc>
                <w:tcPr>
                  <w:tcW w:w="483" w:type="dxa"/>
                  <w:vMerge w:val="continue"/>
                  <w:vAlign w:val="center"/>
                </w:tcPr>
                <w:p>
                  <w:pPr>
                    <w:spacing w:after="0" w:line="240" w:lineRule="atLeast"/>
                    <w:jc w:val="center"/>
                    <w:rPr>
                      <w:rFonts w:ascii="Times New Roman" w:hAnsi="Times New Roman" w:eastAsia="宋体"/>
                      <w:color w:val="000000"/>
                      <w:sz w:val="18"/>
                      <w:szCs w:val="18"/>
                    </w:rPr>
                  </w:pP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557" w:hRule="atLeast"/>
                <w:jc w:val="center"/>
              </w:trPr>
              <w:tc>
                <w:tcPr>
                  <w:tcW w:w="922"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氨</w:t>
                  </w: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202108012</w:t>
                  </w:r>
                </w:p>
              </w:tc>
              <w:tc>
                <w:tcPr>
                  <w:tcW w:w="73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0.992±0.060</w:t>
                  </w: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84"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3"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46"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383"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continue"/>
                  <w:vAlign w:val="center"/>
                </w:tcPr>
                <w:p>
                  <w:pPr>
                    <w:spacing w:after="0" w:line="240" w:lineRule="atLeast"/>
                    <w:jc w:val="center"/>
                    <w:rPr>
                      <w:rFonts w:ascii="Times New Roman" w:hAnsi="Times New Roman" w:eastAsia="宋体"/>
                      <w:color w:val="000000"/>
                      <w:sz w:val="18"/>
                      <w:szCs w:val="18"/>
                    </w:rPr>
                  </w:pP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1.04</w:t>
                  </w:r>
                </w:p>
              </w:tc>
              <w:tc>
                <w:tcPr>
                  <w:tcW w:w="731" w:type="dxa"/>
                  <w:vMerge w:val="continue"/>
                  <w:vAlign w:val="center"/>
                </w:tcPr>
                <w:p>
                  <w:pPr>
                    <w:spacing w:after="0" w:line="240" w:lineRule="atLeast"/>
                    <w:jc w:val="center"/>
                    <w:rPr>
                      <w:rFonts w:ascii="Times New Roman" w:hAnsi="Times New Roman" w:eastAsia="宋体"/>
                      <w:color w:val="000000"/>
                      <w:sz w:val="18"/>
                      <w:szCs w:val="18"/>
                    </w:rPr>
                  </w:pP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84" w:type="dxa"/>
                  <w:vMerge w:val="continue"/>
                  <w:vAlign w:val="center"/>
                </w:tcPr>
                <w:p>
                  <w:pPr>
                    <w:spacing w:after="0" w:line="240" w:lineRule="atLeast"/>
                    <w:jc w:val="center"/>
                    <w:rPr>
                      <w:rFonts w:ascii="Times New Roman" w:hAnsi="Times New Roman" w:eastAsia="宋体"/>
                      <w:color w:val="000000"/>
                      <w:sz w:val="18"/>
                      <w:szCs w:val="18"/>
                    </w:rPr>
                  </w:pP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continue"/>
                  <w:vAlign w:val="center"/>
                </w:tcPr>
                <w:p>
                  <w:pPr>
                    <w:spacing w:after="0" w:line="240" w:lineRule="atLeast"/>
                    <w:jc w:val="center"/>
                    <w:rPr>
                      <w:rFonts w:ascii="Times New Roman" w:hAnsi="Times New Roman" w:eastAsia="宋体"/>
                      <w:color w:val="000000"/>
                      <w:sz w:val="18"/>
                      <w:szCs w:val="18"/>
                    </w:rPr>
                  </w:pPr>
                </w:p>
              </w:tc>
              <w:tc>
                <w:tcPr>
                  <w:tcW w:w="483" w:type="dxa"/>
                  <w:vMerge w:val="continue"/>
                  <w:vAlign w:val="center"/>
                </w:tcPr>
                <w:p>
                  <w:pPr>
                    <w:spacing w:after="0" w:line="240" w:lineRule="atLeast"/>
                    <w:jc w:val="center"/>
                    <w:rPr>
                      <w:rFonts w:ascii="Times New Roman" w:hAnsi="Times New Roman" w:eastAsia="宋体"/>
                      <w:color w:val="000000"/>
                      <w:sz w:val="18"/>
                      <w:szCs w:val="18"/>
                    </w:rPr>
                  </w:pP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620" w:hRule="atLeast"/>
                <w:jc w:val="center"/>
              </w:trPr>
              <w:tc>
                <w:tcPr>
                  <w:tcW w:w="922"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氨</w:t>
                  </w: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202108013</w:t>
                  </w:r>
                </w:p>
              </w:tc>
              <w:tc>
                <w:tcPr>
                  <w:tcW w:w="73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0.992±0.060</w:t>
                  </w: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84"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3"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46"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419"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continue"/>
                  <w:vAlign w:val="center"/>
                </w:tcPr>
                <w:p>
                  <w:pPr>
                    <w:spacing w:after="0" w:line="240" w:lineRule="atLeast"/>
                    <w:jc w:val="center"/>
                    <w:rPr>
                      <w:rFonts w:ascii="Times New Roman" w:hAnsi="Times New Roman" w:eastAsia="宋体"/>
                      <w:color w:val="000000"/>
                      <w:sz w:val="18"/>
                      <w:szCs w:val="18"/>
                    </w:rPr>
                  </w:pP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1.04</w:t>
                  </w:r>
                </w:p>
              </w:tc>
              <w:tc>
                <w:tcPr>
                  <w:tcW w:w="731" w:type="dxa"/>
                  <w:vMerge w:val="continue"/>
                  <w:vAlign w:val="center"/>
                </w:tcPr>
                <w:p>
                  <w:pPr>
                    <w:spacing w:after="0" w:line="240" w:lineRule="atLeast"/>
                    <w:jc w:val="center"/>
                    <w:rPr>
                      <w:rFonts w:ascii="Times New Roman" w:hAnsi="Times New Roman" w:eastAsia="宋体"/>
                      <w:color w:val="000000"/>
                      <w:sz w:val="18"/>
                      <w:szCs w:val="18"/>
                    </w:rPr>
                  </w:pP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84" w:type="dxa"/>
                  <w:vMerge w:val="continue"/>
                  <w:vAlign w:val="center"/>
                </w:tcPr>
                <w:p>
                  <w:pPr>
                    <w:spacing w:after="0" w:line="240" w:lineRule="atLeast"/>
                    <w:jc w:val="center"/>
                    <w:rPr>
                      <w:rFonts w:ascii="Times New Roman" w:hAnsi="Times New Roman" w:eastAsia="宋体"/>
                      <w:color w:val="000000"/>
                      <w:sz w:val="18"/>
                      <w:szCs w:val="18"/>
                    </w:rPr>
                  </w:pP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continue"/>
                  <w:vAlign w:val="center"/>
                </w:tcPr>
                <w:p>
                  <w:pPr>
                    <w:spacing w:after="0" w:line="240" w:lineRule="atLeast"/>
                    <w:jc w:val="center"/>
                    <w:rPr>
                      <w:rFonts w:ascii="Times New Roman" w:hAnsi="Times New Roman" w:eastAsia="宋体"/>
                      <w:color w:val="000000"/>
                      <w:sz w:val="18"/>
                      <w:szCs w:val="18"/>
                    </w:rPr>
                  </w:pPr>
                </w:p>
              </w:tc>
              <w:tc>
                <w:tcPr>
                  <w:tcW w:w="483" w:type="dxa"/>
                  <w:vMerge w:val="continue"/>
                  <w:vAlign w:val="center"/>
                </w:tcPr>
                <w:p>
                  <w:pPr>
                    <w:spacing w:after="0" w:line="240" w:lineRule="atLeast"/>
                    <w:jc w:val="center"/>
                    <w:rPr>
                      <w:rFonts w:ascii="Times New Roman" w:hAnsi="Times New Roman" w:eastAsia="宋体"/>
                      <w:color w:val="000000"/>
                      <w:sz w:val="18"/>
                      <w:szCs w:val="18"/>
                    </w:rPr>
                  </w:pP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746" w:hRule="atLeast"/>
                <w:jc w:val="center"/>
              </w:trPr>
              <w:tc>
                <w:tcPr>
                  <w:tcW w:w="922"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硫化氢</w:t>
                  </w: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3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空白1</w:t>
                  </w:r>
                </w:p>
              </w:tc>
              <w:tc>
                <w:tcPr>
                  <w:tcW w:w="684"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97.7-100.3</w:t>
                  </w: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3"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46" w:type="dxa"/>
                  <w:vMerge w:val="restart"/>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746" w:hRule="atLeast"/>
                <w:jc w:val="center"/>
              </w:trPr>
              <w:tc>
                <w:tcPr>
                  <w:tcW w:w="922" w:type="dxa"/>
                  <w:vMerge w:val="continue"/>
                  <w:vAlign w:val="center"/>
                </w:tcPr>
                <w:p>
                  <w:pPr>
                    <w:spacing w:after="0" w:line="240" w:lineRule="atLeast"/>
                    <w:jc w:val="center"/>
                    <w:rPr>
                      <w:rFonts w:ascii="Times New Roman" w:hAnsi="Times New Roman" w:eastAsia="宋体"/>
                      <w:color w:val="000000"/>
                      <w:sz w:val="18"/>
                      <w:szCs w:val="18"/>
                    </w:rPr>
                  </w:pPr>
                </w:p>
              </w:tc>
              <w:tc>
                <w:tcPr>
                  <w:tcW w:w="81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7" w:type="dxa"/>
                  <w:vMerge w:val="continue"/>
                  <w:vAlign w:val="center"/>
                </w:tcPr>
                <w:p>
                  <w:pPr>
                    <w:spacing w:after="0" w:line="240" w:lineRule="atLeast"/>
                    <w:jc w:val="center"/>
                    <w:rPr>
                      <w:rFonts w:ascii="Times New Roman" w:hAnsi="Times New Roman" w:eastAsia="宋体"/>
                      <w:color w:val="000000"/>
                      <w:sz w:val="18"/>
                      <w:szCs w:val="18"/>
                    </w:rPr>
                  </w:pPr>
                </w:p>
              </w:tc>
              <w:tc>
                <w:tcPr>
                  <w:tcW w:w="760"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31" w:type="dxa"/>
                  <w:vMerge w:val="continue"/>
                  <w:vAlign w:val="center"/>
                </w:tcPr>
                <w:p>
                  <w:pPr>
                    <w:spacing w:after="0" w:line="240" w:lineRule="atLeast"/>
                    <w:jc w:val="center"/>
                    <w:rPr>
                      <w:rFonts w:ascii="Times New Roman" w:hAnsi="Times New Roman" w:eastAsia="宋体"/>
                      <w:color w:val="000000"/>
                      <w:sz w:val="18"/>
                      <w:szCs w:val="18"/>
                    </w:rPr>
                  </w:pPr>
                </w:p>
              </w:tc>
              <w:tc>
                <w:tcPr>
                  <w:tcW w:w="619"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98.6</w:t>
                  </w:r>
                </w:p>
              </w:tc>
              <w:tc>
                <w:tcPr>
                  <w:tcW w:w="684" w:type="dxa"/>
                  <w:vMerge w:val="continue"/>
                  <w:vAlign w:val="center"/>
                </w:tcPr>
                <w:p>
                  <w:pPr>
                    <w:spacing w:after="0" w:line="240" w:lineRule="atLeast"/>
                    <w:jc w:val="center"/>
                    <w:rPr>
                      <w:rFonts w:ascii="Times New Roman" w:hAnsi="Times New Roman" w:eastAsia="宋体"/>
                      <w:color w:val="000000"/>
                      <w:sz w:val="18"/>
                      <w:szCs w:val="18"/>
                    </w:rPr>
                  </w:pPr>
                </w:p>
              </w:tc>
              <w:tc>
                <w:tcPr>
                  <w:tcW w:w="1032"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45" w:type="dxa"/>
                  <w:vAlign w:val="center"/>
                </w:tcPr>
                <w:p>
                  <w:pPr>
                    <w:spacing w:after="0" w:line="240" w:lineRule="atLeast"/>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81" w:type="dxa"/>
                  <w:vMerge w:val="continue"/>
                  <w:vAlign w:val="center"/>
                </w:tcPr>
                <w:p>
                  <w:pPr>
                    <w:spacing w:after="0" w:line="240" w:lineRule="atLeast"/>
                    <w:jc w:val="center"/>
                    <w:rPr>
                      <w:rFonts w:ascii="Times New Roman" w:hAnsi="Times New Roman" w:eastAsia="宋体"/>
                      <w:color w:val="000000"/>
                      <w:sz w:val="18"/>
                      <w:szCs w:val="18"/>
                    </w:rPr>
                  </w:pPr>
                </w:p>
              </w:tc>
              <w:tc>
                <w:tcPr>
                  <w:tcW w:w="483" w:type="dxa"/>
                  <w:vMerge w:val="continue"/>
                  <w:vAlign w:val="center"/>
                </w:tcPr>
                <w:p>
                  <w:pPr>
                    <w:spacing w:after="0" w:line="240" w:lineRule="atLeast"/>
                    <w:jc w:val="center"/>
                    <w:rPr>
                      <w:rFonts w:ascii="Times New Roman" w:hAnsi="Times New Roman" w:eastAsia="宋体"/>
                      <w:color w:val="000000"/>
                      <w:sz w:val="18"/>
                      <w:szCs w:val="18"/>
                    </w:rPr>
                  </w:pPr>
                </w:p>
              </w:tc>
              <w:tc>
                <w:tcPr>
                  <w:tcW w:w="446" w:type="dxa"/>
                  <w:vMerge w:val="continue"/>
                  <w:vAlign w:val="center"/>
                </w:tcPr>
                <w:p>
                  <w:pPr>
                    <w:spacing w:after="0" w:line="240" w:lineRule="atLeast"/>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746" w:hRule="atLeast"/>
                <w:jc w:val="center"/>
              </w:trPr>
              <w:tc>
                <w:tcPr>
                  <w:tcW w:w="8720" w:type="dxa"/>
                  <w:gridSpan w:val="12"/>
                  <w:vAlign w:val="center"/>
                </w:tcPr>
                <w:p>
                  <w:pPr>
                    <w:spacing w:after="0" w:line="240" w:lineRule="atLeast"/>
                    <w:rPr>
                      <w:rFonts w:ascii="Times New Roman" w:hAnsi="Times New Roman" w:eastAsia="宋体"/>
                      <w:color w:val="000000"/>
                      <w:sz w:val="18"/>
                      <w:szCs w:val="18"/>
                    </w:rPr>
                  </w:pPr>
                  <w:r>
                    <w:rPr>
                      <w:rFonts w:ascii="Times New Roman" w:hAnsi="Times New Roman" w:eastAsia="宋体"/>
                      <w:color w:val="000000"/>
                      <w:sz w:val="18"/>
                      <w:szCs w:val="18"/>
                    </w:rPr>
                    <w:t>备注：“FW</w:t>
                  </w:r>
                  <w:r>
                    <w:rPr>
                      <w:rFonts w:ascii="Times New Roman" w:hAnsi="Times New Roman" w:eastAsia="宋体"/>
                      <w:color w:val="000000"/>
                      <w:sz w:val="18"/>
                      <w:szCs w:val="18"/>
                      <w:vertAlign w:val="subscript"/>
                    </w:rPr>
                    <w:t>5</w:t>
                  </w:r>
                  <w:r>
                    <w:rPr>
                      <w:rFonts w:ascii="Times New Roman" w:hAnsi="Times New Roman" w:eastAsia="宋体"/>
                      <w:color w:val="000000"/>
                      <w:sz w:val="18"/>
                      <w:szCs w:val="18"/>
                    </w:rPr>
                    <w:t>-21-08-03-1-4、FW</w:t>
                  </w:r>
                  <w:r>
                    <w:rPr>
                      <w:rFonts w:ascii="Times New Roman" w:hAnsi="Times New Roman" w:eastAsia="宋体"/>
                      <w:color w:val="000000"/>
                      <w:sz w:val="18"/>
                      <w:szCs w:val="18"/>
                      <w:vertAlign w:val="subscript"/>
                    </w:rPr>
                    <w:t>2</w:t>
                  </w:r>
                  <w:r>
                    <w:rPr>
                      <w:rFonts w:ascii="Times New Roman" w:hAnsi="Times New Roman" w:eastAsia="宋体"/>
                      <w:color w:val="000000"/>
                      <w:sz w:val="18"/>
                      <w:szCs w:val="18"/>
                    </w:rPr>
                    <w:t>-21-08-04-1-4”为氨的全程序空白，吸光度值分别为0.030、0.029，同批配制的吸收液空白吸光度值为0.026，全程序空白</w:t>
                  </w:r>
                </w:p>
                <w:p>
                  <w:pPr>
                    <w:spacing w:after="0" w:line="240" w:lineRule="atLeast"/>
                    <w:ind w:firstLine="540" w:firstLineChars="300"/>
                    <w:rPr>
                      <w:rFonts w:ascii="Times New Roman" w:hAnsi="Times New Roman" w:eastAsia="宋体"/>
                      <w:color w:val="000000"/>
                      <w:sz w:val="18"/>
                      <w:szCs w:val="18"/>
                    </w:rPr>
                  </w:pPr>
                  <w:r>
                    <w:rPr>
                      <w:rFonts w:ascii="Times New Roman" w:hAnsi="Times New Roman" w:eastAsia="宋体"/>
                      <w:color w:val="000000"/>
                      <w:sz w:val="18"/>
                      <w:szCs w:val="18"/>
                    </w:rPr>
                    <w:t>吸光度值未明显高于同批配制的吸收液空白吸光度值为合格（全程序空白吸光度值-同批配制的吸收液空白吸光度值≤0.005）。</w:t>
                  </w:r>
                </w:p>
              </w:tc>
            </w:tr>
          </w:tbl>
          <w:p>
            <w:pPr>
              <w:pStyle w:val="52"/>
              <w:spacing w:after="0" w:line="360" w:lineRule="auto"/>
              <w:ind w:firstLine="480"/>
              <w:rPr>
                <w:rFonts w:ascii="Times New Roman" w:hAnsi="Times New Roman" w:eastAsia="宋体"/>
                <w:color w:val="000000"/>
                <w:szCs w:val="24"/>
              </w:rPr>
            </w:pPr>
          </w:p>
          <w:p>
            <w:pPr>
              <w:pStyle w:val="52"/>
              <w:spacing w:after="0" w:line="360" w:lineRule="auto"/>
              <w:ind w:firstLine="480"/>
              <w:rPr>
                <w:rFonts w:ascii="Times New Roman" w:hAnsi="Times New Roman" w:eastAsia="宋体"/>
                <w:color w:val="000000"/>
                <w:szCs w:val="24"/>
              </w:rPr>
            </w:pPr>
            <w:r>
              <w:rPr>
                <w:rFonts w:hint="eastAsia" w:ascii="Times New Roman" w:hAnsi="Times New Roman" w:eastAsia="宋体"/>
                <w:color w:val="000000"/>
                <w:szCs w:val="24"/>
              </w:rPr>
              <w:t>水质监测质控见下表</w:t>
            </w:r>
          </w:p>
          <w:p>
            <w:pPr>
              <w:pStyle w:val="46"/>
              <w:spacing w:before="48" w:beforeLines="20" w:line="360" w:lineRule="auto"/>
              <w:ind w:firstLine="0" w:firstLineChars="0"/>
              <w:jc w:val="center"/>
              <w:rPr>
                <w:rFonts w:ascii="宋体" w:hAnsi="宋体" w:eastAsia="宋体"/>
                <w:color w:val="000000"/>
                <w:kern w:val="0"/>
                <w:sz w:val="24"/>
                <w:szCs w:val="24"/>
              </w:rPr>
            </w:pPr>
            <w:r>
              <w:rPr>
                <w:rFonts w:hint="eastAsia" w:eastAsia="宋体"/>
                <w:color w:val="000000"/>
                <w:sz w:val="24"/>
                <w:szCs w:val="24"/>
              </w:rPr>
              <w:t>续</w:t>
            </w:r>
            <w:r>
              <w:rPr>
                <w:rFonts w:eastAsia="宋体"/>
                <w:color w:val="000000"/>
                <w:sz w:val="24"/>
                <w:szCs w:val="24"/>
              </w:rPr>
              <w:t xml:space="preserve">表5-5  </w:t>
            </w:r>
            <w:r>
              <w:rPr>
                <w:rFonts w:hint="eastAsia" w:eastAsia="宋体"/>
                <w:color w:val="000000"/>
                <w:sz w:val="24"/>
                <w:szCs w:val="24"/>
              </w:rPr>
              <w:t>污染源监测质量控制数据一览表</w:t>
            </w:r>
          </w:p>
          <w:tbl>
            <w:tblPr>
              <w:tblStyle w:val="43"/>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673"/>
              <w:gridCol w:w="619"/>
              <w:gridCol w:w="1006"/>
              <w:gridCol w:w="774"/>
              <w:gridCol w:w="785"/>
              <w:gridCol w:w="851"/>
              <w:gridCol w:w="673"/>
              <w:gridCol w:w="535"/>
              <w:gridCol w:w="797"/>
              <w:gridCol w:w="466"/>
              <w:gridCol w:w="542"/>
              <w:gridCol w:w="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568" w:type="dxa"/>
                  <w:vMerge w:val="restart"/>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监测</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项目</w:t>
                  </w:r>
                </w:p>
              </w:tc>
              <w:tc>
                <w:tcPr>
                  <w:tcW w:w="673" w:type="dxa"/>
                  <w:vMerge w:val="restart"/>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空白样品测定值</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（mg/L）</w:t>
                  </w:r>
                </w:p>
              </w:tc>
              <w:tc>
                <w:tcPr>
                  <w:tcW w:w="619" w:type="dxa"/>
                  <w:vMerge w:val="restart"/>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检出限</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（mg/L）</w:t>
                  </w:r>
                </w:p>
              </w:tc>
              <w:tc>
                <w:tcPr>
                  <w:tcW w:w="3416" w:type="dxa"/>
                  <w:gridSpan w:val="4"/>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精密度</w:t>
                  </w:r>
                </w:p>
              </w:tc>
              <w:tc>
                <w:tcPr>
                  <w:tcW w:w="3013" w:type="dxa"/>
                  <w:gridSpan w:val="5"/>
                  <w:tcBorders>
                    <w:left w:val="nil"/>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准确度</w:t>
                  </w:r>
                </w:p>
              </w:tc>
              <w:tc>
                <w:tcPr>
                  <w:tcW w:w="431" w:type="dxa"/>
                  <w:vMerge w:val="restart"/>
                  <w:tcBorders>
                    <w:lef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结果</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568" w:type="dxa"/>
                  <w:vMerge w:val="continue"/>
                  <w:vAlign w:val="center"/>
                </w:tcPr>
                <w:p>
                  <w:pPr>
                    <w:spacing w:after="0"/>
                    <w:jc w:val="center"/>
                    <w:rPr>
                      <w:rFonts w:ascii="Times New Roman" w:hAnsi="Times New Roman" w:eastAsia="宋体"/>
                      <w:b/>
                      <w:color w:val="000000"/>
                      <w:sz w:val="18"/>
                      <w:szCs w:val="18"/>
                    </w:rPr>
                  </w:pPr>
                </w:p>
              </w:tc>
              <w:tc>
                <w:tcPr>
                  <w:tcW w:w="673" w:type="dxa"/>
                  <w:vMerge w:val="continue"/>
                  <w:tcBorders>
                    <w:left w:val="nil"/>
                  </w:tcBorders>
                  <w:vAlign w:val="center"/>
                </w:tcPr>
                <w:p>
                  <w:pPr>
                    <w:spacing w:after="0"/>
                    <w:jc w:val="center"/>
                    <w:rPr>
                      <w:rFonts w:ascii="Times New Roman" w:hAnsi="Times New Roman" w:eastAsia="宋体"/>
                      <w:b/>
                      <w:color w:val="000000"/>
                      <w:sz w:val="18"/>
                      <w:szCs w:val="18"/>
                    </w:rPr>
                  </w:pPr>
                </w:p>
              </w:tc>
              <w:tc>
                <w:tcPr>
                  <w:tcW w:w="619" w:type="dxa"/>
                  <w:vMerge w:val="continue"/>
                  <w:tcBorders>
                    <w:left w:val="nil"/>
                  </w:tcBorders>
                  <w:vAlign w:val="center"/>
                </w:tcPr>
                <w:p>
                  <w:pPr>
                    <w:spacing w:after="0"/>
                    <w:jc w:val="center"/>
                    <w:rPr>
                      <w:rFonts w:ascii="Times New Roman" w:hAnsi="Times New Roman" w:eastAsia="宋体"/>
                      <w:b/>
                      <w:color w:val="000000"/>
                      <w:sz w:val="18"/>
                      <w:szCs w:val="18"/>
                    </w:rPr>
                  </w:pPr>
                </w:p>
              </w:tc>
              <w:tc>
                <w:tcPr>
                  <w:tcW w:w="3416" w:type="dxa"/>
                  <w:gridSpan w:val="4"/>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平行双样</w:t>
                  </w:r>
                </w:p>
              </w:tc>
              <w:tc>
                <w:tcPr>
                  <w:tcW w:w="673" w:type="dxa"/>
                  <w:vMerge w:val="restart"/>
                  <w:tcBorders>
                    <w:left w:val="nil"/>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样品/</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标准编号</w:t>
                  </w:r>
                </w:p>
              </w:tc>
              <w:tc>
                <w:tcPr>
                  <w:tcW w:w="1332" w:type="dxa"/>
                  <w:gridSpan w:val="2"/>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标准样品（mg/L）</w:t>
                  </w:r>
                </w:p>
              </w:tc>
              <w:tc>
                <w:tcPr>
                  <w:tcW w:w="1008" w:type="dxa"/>
                  <w:gridSpan w:val="2"/>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加标回收率（%）</w:t>
                  </w:r>
                </w:p>
              </w:tc>
              <w:tc>
                <w:tcPr>
                  <w:tcW w:w="431" w:type="dxa"/>
                  <w:vMerge w:val="continue"/>
                  <w:tcBorders>
                    <w:left w:val="single" w:color="auto" w:sz="4" w:space="0"/>
                  </w:tcBorders>
                  <w:vAlign w:val="center"/>
                </w:tcPr>
                <w:p>
                  <w:pPr>
                    <w:spacing w:after="0"/>
                    <w:jc w:val="center"/>
                    <w:rPr>
                      <w:rFonts w:ascii="Times New Roman" w:hAnsi="Times New Roman"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8" w:hRule="atLeast"/>
                <w:jc w:val="center"/>
              </w:trPr>
              <w:tc>
                <w:tcPr>
                  <w:tcW w:w="568" w:type="dxa"/>
                  <w:vMerge w:val="continue"/>
                  <w:vAlign w:val="center"/>
                </w:tcPr>
                <w:p>
                  <w:pPr>
                    <w:spacing w:after="0"/>
                    <w:jc w:val="center"/>
                    <w:rPr>
                      <w:rFonts w:ascii="Times New Roman" w:hAnsi="Times New Roman" w:eastAsia="宋体"/>
                      <w:b/>
                      <w:color w:val="000000"/>
                      <w:sz w:val="18"/>
                      <w:szCs w:val="18"/>
                    </w:rPr>
                  </w:pPr>
                </w:p>
              </w:tc>
              <w:tc>
                <w:tcPr>
                  <w:tcW w:w="673" w:type="dxa"/>
                  <w:vMerge w:val="continue"/>
                  <w:tcBorders>
                    <w:left w:val="nil"/>
                  </w:tcBorders>
                  <w:vAlign w:val="center"/>
                </w:tcPr>
                <w:p>
                  <w:pPr>
                    <w:spacing w:after="0"/>
                    <w:jc w:val="center"/>
                    <w:rPr>
                      <w:rFonts w:ascii="Times New Roman" w:hAnsi="Times New Roman" w:eastAsia="宋体"/>
                      <w:b/>
                      <w:color w:val="000000"/>
                      <w:sz w:val="18"/>
                      <w:szCs w:val="18"/>
                    </w:rPr>
                  </w:pPr>
                </w:p>
              </w:tc>
              <w:tc>
                <w:tcPr>
                  <w:tcW w:w="619" w:type="dxa"/>
                  <w:vMerge w:val="continue"/>
                  <w:tcBorders>
                    <w:left w:val="nil"/>
                  </w:tcBorders>
                  <w:vAlign w:val="center"/>
                </w:tcPr>
                <w:p>
                  <w:pPr>
                    <w:spacing w:after="0"/>
                    <w:jc w:val="center"/>
                    <w:rPr>
                      <w:rFonts w:ascii="Times New Roman" w:hAnsi="Times New Roman" w:eastAsia="宋体"/>
                      <w:b/>
                      <w:color w:val="000000"/>
                      <w:sz w:val="18"/>
                      <w:szCs w:val="18"/>
                    </w:rPr>
                  </w:pPr>
                </w:p>
              </w:tc>
              <w:tc>
                <w:tcPr>
                  <w:tcW w:w="1006" w:type="dxa"/>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样品编号</w:t>
                  </w:r>
                </w:p>
              </w:tc>
              <w:tc>
                <w:tcPr>
                  <w:tcW w:w="774" w:type="dxa"/>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测定值</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（mg/L）</w:t>
                  </w:r>
                </w:p>
              </w:tc>
              <w:tc>
                <w:tcPr>
                  <w:tcW w:w="785" w:type="dxa"/>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绝对/相对偏差（%）</w:t>
                  </w:r>
                </w:p>
              </w:tc>
              <w:tc>
                <w:tcPr>
                  <w:tcW w:w="851" w:type="dxa"/>
                  <w:tcBorders>
                    <w:left w:val="nil"/>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质控</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指标（%）</w:t>
                  </w:r>
                </w:p>
              </w:tc>
              <w:tc>
                <w:tcPr>
                  <w:tcW w:w="673" w:type="dxa"/>
                  <w:vMerge w:val="continue"/>
                  <w:tcBorders>
                    <w:left w:val="nil"/>
                    <w:right w:val="single" w:color="auto" w:sz="4" w:space="0"/>
                  </w:tcBorders>
                  <w:vAlign w:val="center"/>
                </w:tcPr>
                <w:p>
                  <w:pPr>
                    <w:spacing w:after="0"/>
                    <w:jc w:val="center"/>
                    <w:rPr>
                      <w:rFonts w:ascii="Times New Roman" w:hAnsi="Times New Roman" w:eastAsia="宋体"/>
                      <w:b/>
                      <w:color w:val="000000"/>
                      <w:sz w:val="18"/>
                      <w:szCs w:val="18"/>
                    </w:rPr>
                  </w:pPr>
                </w:p>
              </w:tc>
              <w:tc>
                <w:tcPr>
                  <w:tcW w:w="535" w:type="dxa"/>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测定值</w:t>
                  </w:r>
                </w:p>
              </w:tc>
              <w:tc>
                <w:tcPr>
                  <w:tcW w:w="797" w:type="dxa"/>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标准值</w:t>
                  </w:r>
                </w:p>
              </w:tc>
              <w:tc>
                <w:tcPr>
                  <w:tcW w:w="466" w:type="dxa"/>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测定值</w:t>
                  </w:r>
                </w:p>
              </w:tc>
              <w:tc>
                <w:tcPr>
                  <w:tcW w:w="542" w:type="dxa"/>
                  <w:tcBorders>
                    <w:left w:val="single" w:color="auto" w:sz="4" w:space="0"/>
                    <w:right w:val="single" w:color="auto" w:sz="4" w:space="0"/>
                  </w:tcBorders>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质控</w:t>
                  </w:r>
                </w:p>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指标</w:t>
                  </w:r>
                </w:p>
              </w:tc>
              <w:tc>
                <w:tcPr>
                  <w:tcW w:w="431" w:type="dxa"/>
                  <w:vMerge w:val="continue"/>
                  <w:tcBorders>
                    <w:left w:val="single" w:color="auto" w:sz="4" w:space="0"/>
                  </w:tcBorders>
                  <w:vAlign w:val="center"/>
                </w:tcPr>
                <w:p>
                  <w:pPr>
                    <w:spacing w:after="0"/>
                    <w:jc w:val="center"/>
                    <w:rPr>
                      <w:rFonts w:ascii="Times New Roman" w:hAnsi="Times New Roman"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exact"/>
                <w:jc w:val="center"/>
              </w:trPr>
              <w:tc>
                <w:tcPr>
                  <w:tcW w:w="568"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pacing w:val="-20"/>
                      <w:sz w:val="18"/>
                      <w:szCs w:val="18"/>
                    </w:rPr>
                    <w:t>pH值</w:t>
                  </w: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19"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SW210803230802</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7.6</w:t>
                  </w:r>
                </w:p>
              </w:tc>
              <w:tc>
                <w:tcPr>
                  <w:tcW w:w="785"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w:t>
                  </w:r>
                </w:p>
              </w:tc>
              <w:tc>
                <w:tcPr>
                  <w:tcW w:w="851"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w:t>
                  </w:r>
                </w:p>
                <w:p>
                  <w:pPr>
                    <w:spacing w:after="0"/>
                    <w:jc w:val="center"/>
                    <w:rPr>
                      <w:rFonts w:ascii="Times New Roman" w:hAnsi="Times New Roman" w:eastAsia="宋体"/>
                      <w:color w:val="000000"/>
                      <w:sz w:val="18"/>
                      <w:szCs w:val="18"/>
                    </w:rPr>
                  </w:pPr>
                  <w:r>
                    <w:rPr>
                      <w:rFonts w:ascii="Times New Roman" w:hAnsi="Times New Roman" w:eastAsia="宋体"/>
                      <w:color w:val="000000"/>
                      <w:spacing w:val="-20"/>
                      <w:sz w:val="18"/>
                      <w:szCs w:val="18"/>
                    </w:rPr>
                    <w:t>(允许差)</w:t>
                  </w:r>
                </w:p>
              </w:tc>
              <w:tc>
                <w:tcPr>
                  <w:tcW w:w="673" w:type="dxa"/>
                  <w:vMerge w:val="restart"/>
                  <w:tcBorders>
                    <w:left w:val="nil"/>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2021101</w:t>
                  </w:r>
                </w:p>
              </w:tc>
              <w:tc>
                <w:tcPr>
                  <w:tcW w:w="535"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7.30</w:t>
                  </w:r>
                </w:p>
              </w:tc>
              <w:tc>
                <w:tcPr>
                  <w:tcW w:w="797"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7.35±0.06</w:t>
                  </w:r>
                </w:p>
              </w:tc>
              <w:tc>
                <w:tcPr>
                  <w:tcW w:w="466"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542"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31" w:type="dxa"/>
                  <w:vMerge w:val="restart"/>
                  <w:tcBorders>
                    <w:lef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exact"/>
                <w:jc w:val="center"/>
              </w:trPr>
              <w:tc>
                <w:tcPr>
                  <w:tcW w:w="568" w:type="dxa"/>
                  <w:vMerge w:val="continue"/>
                  <w:vAlign w:val="center"/>
                </w:tcPr>
                <w:p>
                  <w:pPr>
                    <w:spacing w:after="0"/>
                    <w:jc w:val="center"/>
                    <w:rPr>
                      <w:rFonts w:ascii="Times New Roman" w:hAnsi="Times New Roman" w:eastAsia="宋体"/>
                      <w:color w:val="000000"/>
                      <w:sz w:val="18"/>
                      <w:szCs w:val="18"/>
                    </w:rPr>
                  </w:pP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619" w:type="dxa"/>
                  <w:vMerge w:val="continue"/>
                  <w:tcBorders>
                    <w:left w:val="nil"/>
                  </w:tcBorders>
                  <w:vAlign w:val="center"/>
                </w:tcPr>
                <w:p>
                  <w:pPr>
                    <w:spacing w:after="0"/>
                    <w:jc w:val="center"/>
                    <w:rPr>
                      <w:rFonts w:ascii="Times New Roman" w:hAnsi="Times New Roman" w:eastAsia="宋体"/>
                      <w:color w:val="000000"/>
                      <w:sz w:val="18"/>
                      <w:szCs w:val="18"/>
                    </w:rPr>
                  </w:pP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SW210803230802'</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7.6</w:t>
                  </w:r>
                </w:p>
              </w:tc>
              <w:tc>
                <w:tcPr>
                  <w:tcW w:w="785"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851"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673" w:type="dxa"/>
                  <w:vMerge w:val="continue"/>
                  <w:tcBorders>
                    <w:left w:val="nil"/>
                    <w:right w:val="single" w:color="auto" w:sz="4" w:space="0"/>
                  </w:tcBorders>
                  <w:vAlign w:val="center"/>
                </w:tcPr>
                <w:p>
                  <w:pPr>
                    <w:spacing w:after="0"/>
                    <w:jc w:val="center"/>
                    <w:rPr>
                      <w:rFonts w:ascii="Times New Roman" w:hAnsi="Times New Roman" w:eastAsia="宋体"/>
                      <w:color w:val="000000"/>
                      <w:sz w:val="18"/>
                      <w:szCs w:val="18"/>
                    </w:rPr>
                  </w:pPr>
                </w:p>
              </w:tc>
              <w:tc>
                <w:tcPr>
                  <w:tcW w:w="535"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797"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66"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42"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31" w:type="dxa"/>
                  <w:vMerge w:val="continue"/>
                  <w:tcBorders>
                    <w:left w:val="single" w:color="auto" w:sz="4" w:space="0"/>
                  </w:tcBorders>
                  <w:vAlign w:val="center"/>
                </w:tcPr>
                <w:p>
                  <w:pPr>
                    <w:spacing w:after="0"/>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exact"/>
                <w:jc w:val="center"/>
              </w:trPr>
              <w:tc>
                <w:tcPr>
                  <w:tcW w:w="568"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化学需氧量</w:t>
                  </w: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4L</w:t>
                  </w:r>
                </w:p>
              </w:tc>
              <w:tc>
                <w:tcPr>
                  <w:tcW w:w="619"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4</w:t>
                  </w: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SW210803230805</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21</w:t>
                  </w:r>
                </w:p>
              </w:tc>
              <w:tc>
                <w:tcPr>
                  <w:tcW w:w="785"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5.0</w:t>
                  </w:r>
                </w:p>
              </w:tc>
              <w:tc>
                <w:tcPr>
                  <w:tcW w:w="851"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w:t>
                  </w:r>
                </w:p>
              </w:tc>
              <w:tc>
                <w:tcPr>
                  <w:tcW w:w="673" w:type="dxa"/>
                  <w:vMerge w:val="restart"/>
                  <w:tcBorders>
                    <w:left w:val="nil"/>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535"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97"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66"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542"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31" w:type="dxa"/>
                  <w:vMerge w:val="restart"/>
                  <w:tcBorders>
                    <w:lef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exact"/>
                <w:jc w:val="center"/>
              </w:trPr>
              <w:tc>
                <w:tcPr>
                  <w:tcW w:w="568" w:type="dxa"/>
                  <w:vMerge w:val="continue"/>
                  <w:vAlign w:val="center"/>
                </w:tcPr>
                <w:p>
                  <w:pPr>
                    <w:spacing w:after="0"/>
                    <w:jc w:val="center"/>
                    <w:rPr>
                      <w:rFonts w:ascii="Times New Roman" w:hAnsi="Times New Roman" w:eastAsia="宋体"/>
                      <w:color w:val="000000"/>
                      <w:sz w:val="18"/>
                      <w:szCs w:val="18"/>
                    </w:rPr>
                  </w:pP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4L</w:t>
                  </w:r>
                </w:p>
              </w:tc>
              <w:tc>
                <w:tcPr>
                  <w:tcW w:w="619" w:type="dxa"/>
                  <w:vMerge w:val="continue"/>
                  <w:tcBorders>
                    <w:left w:val="nil"/>
                  </w:tcBorders>
                  <w:vAlign w:val="center"/>
                </w:tcPr>
                <w:p>
                  <w:pPr>
                    <w:spacing w:after="0"/>
                    <w:jc w:val="center"/>
                    <w:rPr>
                      <w:rFonts w:ascii="Times New Roman" w:hAnsi="Times New Roman" w:eastAsia="宋体"/>
                      <w:color w:val="000000"/>
                      <w:sz w:val="18"/>
                      <w:szCs w:val="18"/>
                    </w:rPr>
                  </w:pP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SW210803230805'</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19</w:t>
                  </w:r>
                </w:p>
              </w:tc>
              <w:tc>
                <w:tcPr>
                  <w:tcW w:w="785"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851"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673" w:type="dxa"/>
                  <w:vMerge w:val="continue"/>
                  <w:tcBorders>
                    <w:left w:val="nil"/>
                    <w:right w:val="single" w:color="auto" w:sz="4" w:space="0"/>
                  </w:tcBorders>
                  <w:vAlign w:val="center"/>
                </w:tcPr>
                <w:p>
                  <w:pPr>
                    <w:spacing w:after="0"/>
                    <w:jc w:val="center"/>
                    <w:rPr>
                      <w:rFonts w:ascii="Times New Roman" w:hAnsi="Times New Roman" w:eastAsia="宋体"/>
                      <w:color w:val="000000"/>
                      <w:sz w:val="18"/>
                      <w:szCs w:val="18"/>
                    </w:rPr>
                  </w:pPr>
                </w:p>
              </w:tc>
              <w:tc>
                <w:tcPr>
                  <w:tcW w:w="535"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797"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66"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42"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31" w:type="dxa"/>
                  <w:vMerge w:val="continue"/>
                  <w:tcBorders>
                    <w:left w:val="single" w:color="auto" w:sz="4" w:space="0"/>
                  </w:tcBorders>
                  <w:vAlign w:val="center"/>
                </w:tcPr>
                <w:p>
                  <w:pPr>
                    <w:spacing w:after="0"/>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568"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氨氮</w:t>
                  </w: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0.025L</w:t>
                  </w:r>
                </w:p>
              </w:tc>
              <w:tc>
                <w:tcPr>
                  <w:tcW w:w="619"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0.025</w:t>
                  </w: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SW210803230807</w:t>
                  </w:r>
                </w:p>
              </w:tc>
              <w:tc>
                <w:tcPr>
                  <w:tcW w:w="774" w:type="dxa"/>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pacing w:val="-20"/>
                      <w:sz w:val="18"/>
                      <w:szCs w:val="18"/>
                    </w:rPr>
                    <w:t>8.55</w:t>
                  </w:r>
                </w:p>
              </w:tc>
              <w:tc>
                <w:tcPr>
                  <w:tcW w:w="785" w:type="dxa"/>
                  <w:vMerge w:val="restart"/>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pacing w:val="-20"/>
                      <w:sz w:val="18"/>
                      <w:szCs w:val="18"/>
                    </w:rPr>
                    <w:t>1.6</w:t>
                  </w:r>
                </w:p>
              </w:tc>
              <w:tc>
                <w:tcPr>
                  <w:tcW w:w="851" w:type="dxa"/>
                  <w:vMerge w:val="restart"/>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z w:val="18"/>
                      <w:szCs w:val="18"/>
                    </w:rPr>
                    <w:t>≤15</w:t>
                  </w:r>
                </w:p>
              </w:tc>
              <w:tc>
                <w:tcPr>
                  <w:tcW w:w="673" w:type="dxa"/>
                  <w:vMerge w:val="restart"/>
                  <w:tcBorders>
                    <w:left w:val="nil"/>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2005149</w:t>
                  </w:r>
                </w:p>
              </w:tc>
              <w:tc>
                <w:tcPr>
                  <w:tcW w:w="535"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5.35</w:t>
                  </w:r>
                </w:p>
              </w:tc>
              <w:tc>
                <w:tcPr>
                  <w:tcW w:w="797"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5.23±0.25</w:t>
                  </w:r>
                </w:p>
              </w:tc>
              <w:tc>
                <w:tcPr>
                  <w:tcW w:w="466"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542"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31" w:type="dxa"/>
                  <w:vMerge w:val="restart"/>
                  <w:tcBorders>
                    <w:lef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exact"/>
                <w:jc w:val="center"/>
              </w:trPr>
              <w:tc>
                <w:tcPr>
                  <w:tcW w:w="568" w:type="dxa"/>
                  <w:vMerge w:val="continue"/>
                  <w:vAlign w:val="center"/>
                </w:tcPr>
                <w:p>
                  <w:pPr>
                    <w:spacing w:after="0"/>
                    <w:jc w:val="center"/>
                    <w:rPr>
                      <w:rFonts w:ascii="Times New Roman" w:hAnsi="Times New Roman" w:eastAsia="宋体"/>
                      <w:color w:val="000000"/>
                      <w:sz w:val="18"/>
                      <w:szCs w:val="18"/>
                    </w:rPr>
                  </w:pP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0.025L</w:t>
                  </w:r>
                </w:p>
              </w:tc>
              <w:tc>
                <w:tcPr>
                  <w:tcW w:w="619" w:type="dxa"/>
                  <w:vMerge w:val="continue"/>
                  <w:tcBorders>
                    <w:left w:val="nil"/>
                  </w:tcBorders>
                  <w:vAlign w:val="center"/>
                </w:tcPr>
                <w:p>
                  <w:pPr>
                    <w:spacing w:after="0"/>
                    <w:jc w:val="center"/>
                    <w:rPr>
                      <w:rFonts w:ascii="Times New Roman" w:hAnsi="Times New Roman" w:eastAsia="宋体"/>
                      <w:color w:val="000000"/>
                      <w:sz w:val="18"/>
                      <w:szCs w:val="18"/>
                    </w:rPr>
                  </w:pP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SW210803230807'</w:t>
                  </w:r>
                </w:p>
              </w:tc>
              <w:tc>
                <w:tcPr>
                  <w:tcW w:w="774" w:type="dxa"/>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pacing w:val="-20"/>
                      <w:sz w:val="18"/>
                      <w:szCs w:val="18"/>
                    </w:rPr>
                    <w:t>8.82</w:t>
                  </w:r>
                </w:p>
              </w:tc>
              <w:tc>
                <w:tcPr>
                  <w:tcW w:w="785"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851" w:type="dxa"/>
                  <w:vMerge w:val="continue"/>
                  <w:tcBorders>
                    <w:left w:val="nil"/>
                  </w:tcBorders>
                  <w:vAlign w:val="center"/>
                </w:tcPr>
                <w:p>
                  <w:pPr>
                    <w:spacing w:after="0"/>
                    <w:jc w:val="center"/>
                    <w:rPr>
                      <w:rFonts w:ascii="Times New Roman" w:hAnsi="Times New Roman" w:eastAsia="宋体"/>
                      <w:color w:val="000000"/>
                      <w:spacing w:val="-20"/>
                      <w:sz w:val="18"/>
                      <w:szCs w:val="18"/>
                    </w:rPr>
                  </w:pPr>
                </w:p>
              </w:tc>
              <w:tc>
                <w:tcPr>
                  <w:tcW w:w="673" w:type="dxa"/>
                  <w:vMerge w:val="continue"/>
                  <w:tcBorders>
                    <w:left w:val="nil"/>
                    <w:right w:val="single" w:color="auto" w:sz="4" w:space="0"/>
                  </w:tcBorders>
                  <w:vAlign w:val="center"/>
                </w:tcPr>
                <w:p>
                  <w:pPr>
                    <w:spacing w:after="0"/>
                    <w:jc w:val="center"/>
                    <w:rPr>
                      <w:rFonts w:ascii="Times New Roman" w:hAnsi="Times New Roman" w:eastAsia="宋体"/>
                      <w:color w:val="000000"/>
                      <w:sz w:val="18"/>
                      <w:szCs w:val="18"/>
                    </w:rPr>
                  </w:pPr>
                </w:p>
              </w:tc>
              <w:tc>
                <w:tcPr>
                  <w:tcW w:w="535"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797"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66"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42"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431" w:type="dxa"/>
                  <w:vMerge w:val="continue"/>
                  <w:tcBorders>
                    <w:left w:val="single" w:color="auto" w:sz="4" w:space="0"/>
                  </w:tcBorders>
                  <w:vAlign w:val="center"/>
                </w:tcPr>
                <w:p>
                  <w:pPr>
                    <w:spacing w:after="0"/>
                    <w:jc w:val="center"/>
                    <w:rPr>
                      <w:rFonts w:ascii="Times New Roman" w:hAnsi="Times New Roman"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exact"/>
                <w:jc w:val="center"/>
              </w:trPr>
              <w:tc>
                <w:tcPr>
                  <w:tcW w:w="568"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总氮</w:t>
                  </w:r>
                </w:p>
              </w:tc>
              <w:tc>
                <w:tcPr>
                  <w:tcW w:w="673"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0.05L</w:t>
                  </w:r>
                </w:p>
              </w:tc>
              <w:tc>
                <w:tcPr>
                  <w:tcW w:w="619" w:type="dxa"/>
                  <w:vMerge w:val="restart"/>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0.05</w:t>
                  </w: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SW210803230809</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pacing w:val="-20"/>
                      <w:sz w:val="18"/>
                      <w:szCs w:val="18"/>
                    </w:rPr>
                    <w:t>37.5</w:t>
                  </w:r>
                </w:p>
              </w:tc>
              <w:tc>
                <w:tcPr>
                  <w:tcW w:w="785" w:type="dxa"/>
                  <w:vMerge w:val="restart"/>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pacing w:val="-20"/>
                      <w:sz w:val="18"/>
                      <w:szCs w:val="18"/>
                    </w:rPr>
                    <w:t>0.27</w:t>
                  </w:r>
                </w:p>
              </w:tc>
              <w:tc>
                <w:tcPr>
                  <w:tcW w:w="851" w:type="dxa"/>
                  <w:vMerge w:val="restart"/>
                  <w:tcBorders>
                    <w:left w:val="nil"/>
                  </w:tcBorders>
                  <w:vAlign w:val="center"/>
                </w:tcPr>
                <w:p>
                  <w:pPr>
                    <w:spacing w:after="0"/>
                    <w:jc w:val="center"/>
                    <w:rPr>
                      <w:rFonts w:ascii="Times New Roman" w:hAnsi="Times New Roman" w:eastAsia="宋体"/>
                      <w:color w:val="000000"/>
                      <w:spacing w:val="-20"/>
                      <w:sz w:val="18"/>
                      <w:szCs w:val="18"/>
                    </w:rPr>
                  </w:pPr>
                  <w:r>
                    <w:rPr>
                      <w:rFonts w:ascii="Times New Roman" w:hAnsi="Times New Roman" w:eastAsia="宋体"/>
                      <w:color w:val="000000"/>
                      <w:sz w:val="18"/>
                      <w:szCs w:val="18"/>
                    </w:rPr>
                    <w:t>≤5</w:t>
                  </w:r>
                </w:p>
              </w:tc>
              <w:tc>
                <w:tcPr>
                  <w:tcW w:w="673" w:type="dxa"/>
                  <w:vMerge w:val="restart"/>
                  <w:tcBorders>
                    <w:left w:val="nil"/>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SW210803230809</w:t>
                  </w:r>
                </w:p>
              </w:tc>
              <w:tc>
                <w:tcPr>
                  <w:tcW w:w="535"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97"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466"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98.2</w:t>
                  </w:r>
                </w:p>
              </w:tc>
              <w:tc>
                <w:tcPr>
                  <w:tcW w:w="542"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90-110</w:t>
                  </w:r>
                </w:p>
              </w:tc>
              <w:tc>
                <w:tcPr>
                  <w:tcW w:w="431" w:type="dxa"/>
                  <w:vMerge w:val="restart"/>
                  <w:tcBorders>
                    <w:lef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exact"/>
                <w:jc w:val="center"/>
              </w:trPr>
              <w:tc>
                <w:tcPr>
                  <w:tcW w:w="568" w:type="dxa"/>
                  <w:vMerge w:val="continue"/>
                  <w:vAlign w:val="center"/>
                </w:tcPr>
                <w:p>
                  <w:pPr>
                    <w:spacing w:after="0" w:line="360" w:lineRule="auto"/>
                    <w:jc w:val="center"/>
                    <w:rPr>
                      <w:rFonts w:ascii="Times New Roman" w:hAnsi="Times New Roman" w:eastAsia="宋体"/>
                      <w:color w:val="000000"/>
                      <w:sz w:val="18"/>
                      <w:szCs w:val="18"/>
                    </w:rPr>
                  </w:pPr>
                </w:p>
              </w:tc>
              <w:tc>
                <w:tcPr>
                  <w:tcW w:w="673" w:type="dxa"/>
                  <w:tcBorders>
                    <w:left w:val="nil"/>
                  </w:tcBorders>
                  <w:vAlign w:val="center"/>
                </w:tcPr>
                <w:p>
                  <w:pPr>
                    <w:spacing w:after="0" w:line="36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0.05L</w:t>
                  </w:r>
                </w:p>
              </w:tc>
              <w:tc>
                <w:tcPr>
                  <w:tcW w:w="619" w:type="dxa"/>
                  <w:vMerge w:val="continue"/>
                  <w:tcBorders>
                    <w:left w:val="nil"/>
                  </w:tcBorders>
                  <w:vAlign w:val="center"/>
                </w:tcPr>
                <w:p>
                  <w:pPr>
                    <w:spacing w:after="0" w:line="360" w:lineRule="auto"/>
                    <w:jc w:val="center"/>
                    <w:rPr>
                      <w:rFonts w:ascii="Times New Roman" w:hAnsi="Times New Roman" w:eastAsia="宋体"/>
                      <w:color w:val="000000"/>
                      <w:sz w:val="18"/>
                      <w:szCs w:val="18"/>
                    </w:rPr>
                  </w:pPr>
                </w:p>
              </w:tc>
              <w:tc>
                <w:tcPr>
                  <w:tcW w:w="1006"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SW210803230809'</w:t>
                  </w:r>
                </w:p>
              </w:tc>
              <w:tc>
                <w:tcPr>
                  <w:tcW w:w="774" w:type="dxa"/>
                  <w:tcBorders>
                    <w:left w:val="nil"/>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pacing w:val="-20"/>
                      <w:sz w:val="18"/>
                      <w:szCs w:val="18"/>
                    </w:rPr>
                    <w:t>37.3</w:t>
                  </w:r>
                </w:p>
              </w:tc>
              <w:tc>
                <w:tcPr>
                  <w:tcW w:w="785" w:type="dxa"/>
                  <w:vMerge w:val="continue"/>
                  <w:tcBorders>
                    <w:left w:val="nil"/>
                  </w:tcBorders>
                  <w:vAlign w:val="center"/>
                </w:tcPr>
                <w:p>
                  <w:pPr>
                    <w:spacing w:after="0" w:line="360" w:lineRule="auto"/>
                    <w:jc w:val="center"/>
                    <w:rPr>
                      <w:rFonts w:ascii="Times New Roman" w:hAnsi="Times New Roman" w:eastAsia="宋体"/>
                      <w:color w:val="000000"/>
                      <w:spacing w:val="-20"/>
                      <w:sz w:val="18"/>
                      <w:szCs w:val="18"/>
                    </w:rPr>
                  </w:pPr>
                </w:p>
              </w:tc>
              <w:tc>
                <w:tcPr>
                  <w:tcW w:w="851" w:type="dxa"/>
                  <w:vMerge w:val="continue"/>
                  <w:tcBorders>
                    <w:left w:val="nil"/>
                  </w:tcBorders>
                  <w:vAlign w:val="center"/>
                </w:tcPr>
                <w:p>
                  <w:pPr>
                    <w:spacing w:after="0" w:line="360" w:lineRule="auto"/>
                    <w:jc w:val="center"/>
                    <w:rPr>
                      <w:rFonts w:ascii="Times New Roman" w:hAnsi="Times New Roman" w:eastAsia="宋体"/>
                      <w:color w:val="000000"/>
                      <w:spacing w:val="-20"/>
                      <w:sz w:val="18"/>
                      <w:szCs w:val="18"/>
                    </w:rPr>
                  </w:pPr>
                </w:p>
              </w:tc>
              <w:tc>
                <w:tcPr>
                  <w:tcW w:w="673" w:type="dxa"/>
                  <w:vMerge w:val="continue"/>
                  <w:tcBorders>
                    <w:left w:val="nil"/>
                    <w:right w:val="single" w:color="auto" w:sz="4" w:space="0"/>
                  </w:tcBorders>
                  <w:vAlign w:val="center"/>
                </w:tcPr>
                <w:p>
                  <w:pPr>
                    <w:spacing w:after="0" w:line="360" w:lineRule="auto"/>
                    <w:jc w:val="center"/>
                    <w:rPr>
                      <w:rFonts w:ascii="Times New Roman" w:hAnsi="Times New Roman" w:eastAsia="宋体"/>
                      <w:color w:val="000000"/>
                      <w:sz w:val="18"/>
                      <w:szCs w:val="18"/>
                    </w:rPr>
                  </w:pPr>
                </w:p>
              </w:tc>
              <w:tc>
                <w:tcPr>
                  <w:tcW w:w="535" w:type="dxa"/>
                  <w:vMerge w:val="continue"/>
                  <w:tcBorders>
                    <w:left w:val="single" w:color="auto" w:sz="4" w:space="0"/>
                    <w:right w:val="single" w:color="auto" w:sz="4" w:space="0"/>
                  </w:tcBorders>
                  <w:vAlign w:val="center"/>
                </w:tcPr>
                <w:p>
                  <w:pPr>
                    <w:spacing w:after="0" w:line="360" w:lineRule="auto"/>
                    <w:jc w:val="center"/>
                    <w:rPr>
                      <w:rFonts w:ascii="Times New Roman" w:hAnsi="Times New Roman" w:eastAsia="宋体"/>
                      <w:color w:val="000000"/>
                      <w:sz w:val="18"/>
                      <w:szCs w:val="18"/>
                    </w:rPr>
                  </w:pPr>
                </w:p>
              </w:tc>
              <w:tc>
                <w:tcPr>
                  <w:tcW w:w="797" w:type="dxa"/>
                  <w:vMerge w:val="continue"/>
                  <w:tcBorders>
                    <w:left w:val="single" w:color="auto" w:sz="4" w:space="0"/>
                    <w:right w:val="single" w:color="auto" w:sz="4" w:space="0"/>
                  </w:tcBorders>
                  <w:vAlign w:val="center"/>
                </w:tcPr>
                <w:p>
                  <w:pPr>
                    <w:spacing w:after="0" w:line="360" w:lineRule="auto"/>
                    <w:jc w:val="center"/>
                    <w:rPr>
                      <w:rFonts w:ascii="Times New Roman" w:hAnsi="Times New Roman" w:eastAsia="宋体"/>
                      <w:color w:val="000000"/>
                      <w:sz w:val="18"/>
                      <w:szCs w:val="18"/>
                    </w:rPr>
                  </w:pPr>
                </w:p>
              </w:tc>
              <w:tc>
                <w:tcPr>
                  <w:tcW w:w="466" w:type="dxa"/>
                  <w:vMerge w:val="continue"/>
                  <w:tcBorders>
                    <w:left w:val="single" w:color="auto" w:sz="4" w:space="0"/>
                    <w:right w:val="single" w:color="auto" w:sz="4" w:space="0"/>
                  </w:tcBorders>
                  <w:vAlign w:val="center"/>
                </w:tcPr>
                <w:p>
                  <w:pPr>
                    <w:spacing w:after="0" w:line="360" w:lineRule="auto"/>
                    <w:jc w:val="center"/>
                    <w:rPr>
                      <w:rFonts w:ascii="Times New Roman" w:hAnsi="Times New Roman" w:eastAsia="宋体"/>
                      <w:color w:val="000000"/>
                      <w:sz w:val="18"/>
                      <w:szCs w:val="18"/>
                    </w:rPr>
                  </w:pPr>
                </w:p>
              </w:tc>
              <w:tc>
                <w:tcPr>
                  <w:tcW w:w="542" w:type="dxa"/>
                  <w:vMerge w:val="continue"/>
                  <w:tcBorders>
                    <w:left w:val="single" w:color="auto" w:sz="4" w:space="0"/>
                    <w:right w:val="single" w:color="auto" w:sz="4" w:space="0"/>
                  </w:tcBorders>
                  <w:vAlign w:val="center"/>
                </w:tcPr>
                <w:p>
                  <w:pPr>
                    <w:spacing w:after="0" w:line="360" w:lineRule="auto"/>
                    <w:jc w:val="center"/>
                    <w:rPr>
                      <w:rFonts w:ascii="Times New Roman" w:hAnsi="Times New Roman" w:eastAsia="宋体"/>
                      <w:color w:val="000000"/>
                      <w:sz w:val="18"/>
                      <w:szCs w:val="18"/>
                    </w:rPr>
                  </w:pPr>
                </w:p>
              </w:tc>
              <w:tc>
                <w:tcPr>
                  <w:tcW w:w="431" w:type="dxa"/>
                  <w:vMerge w:val="continue"/>
                  <w:tcBorders>
                    <w:left w:val="single" w:color="auto" w:sz="4" w:space="0"/>
                  </w:tcBorders>
                  <w:vAlign w:val="center"/>
                </w:tcPr>
                <w:p>
                  <w:pPr>
                    <w:spacing w:after="0" w:line="360" w:lineRule="auto"/>
                    <w:jc w:val="center"/>
                    <w:rPr>
                      <w:rFonts w:ascii="Times New Roman" w:hAnsi="Times New Roman" w:eastAsia="宋体"/>
                      <w:color w:val="000000"/>
                      <w:sz w:val="18"/>
                      <w:szCs w:val="18"/>
                    </w:rPr>
                  </w:pPr>
                </w:p>
              </w:tc>
            </w:tr>
          </w:tbl>
          <w:p>
            <w:pPr>
              <w:pStyle w:val="46"/>
              <w:spacing w:before="48" w:beforeLines="20" w:line="360" w:lineRule="auto"/>
              <w:ind w:left="360" w:firstLine="480"/>
              <w:rPr>
                <w:rFonts w:ascii="宋体" w:hAnsi="宋体" w:eastAsia="宋体"/>
                <w:color w:val="000000"/>
                <w:kern w:val="0"/>
                <w:sz w:val="24"/>
                <w:szCs w:val="24"/>
              </w:rPr>
            </w:pPr>
          </w:p>
        </w:tc>
      </w:tr>
    </w:tbl>
    <w:p>
      <w:pPr>
        <w:pStyle w:val="56"/>
        <w:numPr>
          <w:ilvl w:val="0"/>
          <w:numId w:val="0"/>
        </w:numPr>
        <w:tabs>
          <w:tab w:val="left" w:pos="2760"/>
        </w:tabs>
        <w:spacing w:line="360" w:lineRule="auto"/>
        <w:jc w:val="both"/>
        <w:rPr>
          <w:rFonts w:ascii="仿宋" w:hAnsi="仿宋" w:eastAsia="仿宋" w:cs="宋体"/>
          <w:color w:val="000000"/>
          <w:sz w:val="24"/>
          <w:szCs w:val="24"/>
        </w:rPr>
        <w:sectPr>
          <w:pgSz w:w="11906" w:h="16838"/>
          <w:pgMar w:top="1440" w:right="1800" w:bottom="1440" w:left="1800" w:header="708" w:footer="708" w:gutter="0"/>
          <w:cols w:space="720" w:num="1"/>
          <w:docGrid w:linePitch="360" w:charSpace="0"/>
        </w:sectPr>
      </w:pPr>
    </w:p>
    <w:p>
      <w:pPr>
        <w:pStyle w:val="56"/>
        <w:numPr>
          <w:ilvl w:val="0"/>
          <w:numId w:val="0"/>
        </w:numPr>
        <w:tabs>
          <w:tab w:val="left" w:pos="2760"/>
        </w:tabs>
        <w:spacing w:line="360" w:lineRule="auto"/>
        <w:jc w:val="both"/>
        <w:rPr>
          <w:rFonts w:ascii="仿宋" w:hAnsi="仿宋" w:eastAsia="仿宋" w:cs="宋体"/>
          <w:color w:val="000000"/>
          <w:sz w:val="24"/>
          <w:szCs w:val="24"/>
        </w:rPr>
      </w:pPr>
      <w:bookmarkStart w:id="7" w:name="_Toc17999558"/>
      <w:r>
        <w:rPr>
          <w:rFonts w:hint="eastAsia" w:ascii="仿宋" w:hAnsi="仿宋" w:eastAsia="仿宋" w:cs="宋体"/>
          <w:color w:val="000000"/>
          <w:sz w:val="24"/>
          <w:szCs w:val="24"/>
        </w:rPr>
        <w:t>表六  验收监测内容</w:t>
      </w:r>
      <w:bookmarkEnd w:id="7"/>
    </w:p>
    <w:tbl>
      <w:tblPr>
        <w:tblStyle w:val="43"/>
        <w:tblW w:w="823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87" w:hRule="atLeast"/>
        </w:trPr>
        <w:tc>
          <w:tcPr>
            <w:tcW w:w="8233" w:type="dxa"/>
            <w:vAlign w:val="top"/>
          </w:tcPr>
          <w:p>
            <w:pPr>
              <w:spacing w:before="120" w:beforeLines="50"/>
              <w:ind w:firstLine="480" w:firstLineChars="200"/>
              <w:rPr>
                <w:rFonts w:ascii="Times New Roman" w:hAnsi="Times New Roman" w:eastAsia="宋体"/>
                <w:color w:val="000000"/>
                <w:sz w:val="24"/>
              </w:rPr>
            </w:pPr>
            <w:r>
              <w:rPr>
                <w:rFonts w:ascii="Times New Roman" w:hAnsi="Times New Roman" w:eastAsia="宋体"/>
                <w:color w:val="000000"/>
                <w:sz w:val="24"/>
              </w:rPr>
              <w:t>本次验收监测内容及方法见表6-1</w:t>
            </w:r>
            <w:r>
              <w:rPr>
                <w:rFonts w:hint="eastAsia" w:ascii="Times New Roman" w:hAnsi="Times New Roman" w:eastAsia="宋体"/>
                <w:color w:val="000000"/>
                <w:sz w:val="24"/>
              </w:rPr>
              <w:t>：</w:t>
            </w:r>
          </w:p>
          <w:p>
            <w:pPr>
              <w:spacing w:after="0"/>
              <w:jc w:val="center"/>
              <w:rPr>
                <w:rFonts w:ascii="Times New Roman" w:hAnsi="Times New Roman" w:eastAsia="宋体"/>
                <w:color w:val="000000"/>
                <w:sz w:val="24"/>
                <w:szCs w:val="21"/>
              </w:rPr>
            </w:pPr>
            <w:r>
              <w:rPr>
                <w:rFonts w:ascii="Times New Roman" w:hAnsi="Times New Roman" w:eastAsia="宋体"/>
                <w:color w:val="000000"/>
                <w:sz w:val="24"/>
                <w:szCs w:val="21"/>
              </w:rPr>
              <w:t>表6-1  监测内容一览表</w:t>
            </w:r>
          </w:p>
          <w:tbl>
            <w:tblPr>
              <w:tblStyle w:val="43"/>
              <w:tblpPr w:leftFromText="180" w:rightFromText="180" w:vertAnchor="text" w:horzAnchor="page" w:tblpXSpec="center" w:tblpY="52"/>
              <w:tblOverlap w:val="never"/>
              <w:tblW w:w="801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
            <w:tblGrid>
              <w:gridCol w:w="848"/>
              <w:gridCol w:w="1276"/>
              <w:gridCol w:w="1559"/>
              <w:gridCol w:w="1417"/>
              <w:gridCol w:w="1276"/>
              <w:gridCol w:w="16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Ex>
              <w:trPr>
                <w:trHeight w:val="369" w:hRule="atLeast"/>
                <w:tblHeader/>
              </w:trPr>
              <w:tc>
                <w:tcPr>
                  <w:tcW w:w="848" w:type="dxa"/>
                  <w:vAlign w:val="center"/>
                </w:tcPr>
                <w:p>
                  <w:pPr>
                    <w:autoSpaceDE w:val="0"/>
                    <w:autoSpaceDN w:val="0"/>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lang w:val="zh-CN"/>
                    </w:rPr>
                    <w:t>分类</w:t>
                  </w:r>
                </w:p>
              </w:tc>
              <w:tc>
                <w:tcPr>
                  <w:tcW w:w="1276" w:type="dxa"/>
                  <w:vAlign w:val="center"/>
                </w:tcPr>
                <w:p>
                  <w:pPr>
                    <w:autoSpaceDE w:val="0"/>
                    <w:autoSpaceDN w:val="0"/>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lang w:val="zh-CN"/>
                    </w:rPr>
                    <w:t>污染源</w:t>
                  </w:r>
                </w:p>
              </w:tc>
              <w:tc>
                <w:tcPr>
                  <w:tcW w:w="1559" w:type="dxa"/>
                  <w:vAlign w:val="center"/>
                </w:tcPr>
                <w:p>
                  <w:pPr>
                    <w:autoSpaceDE w:val="0"/>
                    <w:autoSpaceDN w:val="0"/>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监测点位</w:t>
                  </w:r>
                </w:p>
              </w:tc>
              <w:tc>
                <w:tcPr>
                  <w:tcW w:w="1417" w:type="dxa"/>
                  <w:tcBorders>
                    <w:bottom w:val="single" w:color="auto" w:sz="8" w:space="0"/>
                  </w:tcBorders>
                  <w:vAlign w:val="center"/>
                </w:tcPr>
                <w:p>
                  <w:pPr>
                    <w:autoSpaceDE w:val="0"/>
                    <w:autoSpaceDN w:val="0"/>
                    <w:spacing w:after="0"/>
                    <w:jc w:val="center"/>
                    <w:rPr>
                      <w:rFonts w:ascii="Times New Roman" w:hAnsi="Times New Roman" w:eastAsia="宋体"/>
                      <w:b/>
                      <w:color w:val="000000"/>
                      <w:sz w:val="21"/>
                      <w:szCs w:val="21"/>
                      <w:lang w:val="zh-CN"/>
                    </w:rPr>
                  </w:pPr>
                  <w:r>
                    <w:rPr>
                      <w:rFonts w:ascii="Times New Roman" w:hAnsi="Times New Roman" w:eastAsia="宋体"/>
                      <w:b/>
                      <w:color w:val="000000"/>
                      <w:sz w:val="21"/>
                      <w:szCs w:val="21"/>
                      <w:lang w:val="zh-CN"/>
                    </w:rPr>
                    <w:t>监测项目</w:t>
                  </w:r>
                </w:p>
              </w:tc>
              <w:tc>
                <w:tcPr>
                  <w:tcW w:w="1276" w:type="dxa"/>
                  <w:vAlign w:val="center"/>
                </w:tcPr>
                <w:p>
                  <w:pPr>
                    <w:autoSpaceDE w:val="0"/>
                    <w:autoSpaceDN w:val="0"/>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lang w:val="zh-CN"/>
                    </w:rPr>
                    <w:t>监测频次</w:t>
                  </w:r>
                </w:p>
              </w:tc>
              <w:tc>
                <w:tcPr>
                  <w:tcW w:w="1635" w:type="dxa"/>
                  <w:vAlign w:val="center"/>
                </w:tcPr>
                <w:p>
                  <w:pPr>
                    <w:autoSpaceDE w:val="0"/>
                    <w:autoSpaceDN w:val="0"/>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监测要求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Ex>
              <w:trPr>
                <w:trHeight w:val="580" w:hRule="atLeast"/>
              </w:trPr>
              <w:tc>
                <w:tcPr>
                  <w:tcW w:w="848" w:type="dxa"/>
                  <w:vAlign w:val="center"/>
                </w:tcPr>
                <w:p>
                  <w:pPr>
                    <w:autoSpaceDE w:val="0"/>
                    <w:autoSpaceDN w:val="0"/>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无组织废气</w:t>
                  </w:r>
                </w:p>
              </w:tc>
              <w:tc>
                <w:tcPr>
                  <w:tcW w:w="1276"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无组织排放</w:t>
                  </w:r>
                </w:p>
              </w:tc>
              <w:tc>
                <w:tcPr>
                  <w:tcW w:w="1559" w:type="dxa"/>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下风向布设4个监控点</w:t>
                  </w:r>
                  <w:r>
                    <w:rPr>
                      <w:rFonts w:ascii="Times New Roman" w:hAnsi="Times New Roman" w:eastAsia="宋体"/>
                      <w:color w:val="000000"/>
                      <w:sz w:val="21"/>
                      <w:szCs w:val="21"/>
                    </w:rPr>
                    <w:t xml:space="preserve"> </w:t>
                  </w:r>
                </w:p>
              </w:tc>
              <w:tc>
                <w:tcPr>
                  <w:tcW w:w="1417"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硫化氢和氨，臭气浓度</w:t>
                  </w:r>
                </w:p>
              </w:tc>
              <w:tc>
                <w:tcPr>
                  <w:tcW w:w="1276" w:type="dxa"/>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监测 2天，每天采样3次。</w:t>
                  </w:r>
                </w:p>
              </w:tc>
              <w:tc>
                <w:tcPr>
                  <w:tcW w:w="1635" w:type="dxa"/>
                  <w:tcBorders>
                    <w:bottom w:val="single" w:color="auto" w:sz="4" w:space="0"/>
                  </w:tcBorders>
                  <w:vAlign w:val="center"/>
                </w:tcPr>
                <w:p>
                  <w:pPr>
                    <w:autoSpaceDE w:val="0"/>
                    <w:autoSpaceDN w:val="0"/>
                    <w:spacing w:after="0"/>
                    <w:rPr>
                      <w:rFonts w:ascii="Times New Roman" w:hAnsi="Times New Roman" w:eastAsia="宋体"/>
                      <w:color w:val="000000"/>
                      <w:sz w:val="21"/>
                      <w:szCs w:val="21"/>
                    </w:rPr>
                  </w:pPr>
                  <w:r>
                    <w:rPr>
                      <w:rFonts w:hint="eastAsia" w:ascii="Times New Roman" w:hAnsi="Times New Roman" w:eastAsia="宋体"/>
                      <w:color w:val="000000"/>
                      <w:sz w:val="21"/>
                      <w:szCs w:val="21"/>
                    </w:rPr>
                    <w:t>运行负荷≥75%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Ex>
              <w:trPr>
                <w:trHeight w:val="855" w:hRule="atLeast"/>
              </w:trPr>
              <w:tc>
                <w:tcPr>
                  <w:tcW w:w="848" w:type="dxa"/>
                  <w:vAlign w:val="center"/>
                </w:tcPr>
                <w:p>
                  <w:pPr>
                    <w:autoSpaceDE w:val="0"/>
                    <w:autoSpaceDN w:val="0"/>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噪声</w:t>
                  </w:r>
                </w:p>
              </w:tc>
              <w:tc>
                <w:tcPr>
                  <w:tcW w:w="1276"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厂内各类机器设备</w:t>
                  </w:r>
                </w:p>
              </w:tc>
              <w:tc>
                <w:tcPr>
                  <w:tcW w:w="1559"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厂界四周共设</w:t>
                  </w:r>
                </w:p>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10个监测点位</w:t>
                  </w:r>
                </w:p>
              </w:tc>
              <w:tc>
                <w:tcPr>
                  <w:tcW w:w="1417" w:type="dxa"/>
                  <w:vAlign w:val="center"/>
                </w:tcPr>
                <w:p>
                  <w:pPr>
                    <w:tabs>
                      <w:tab w:val="left" w:pos="540"/>
                    </w:tabs>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Leq、L</w:t>
                  </w:r>
                  <w:r>
                    <w:rPr>
                      <w:rFonts w:ascii="Times New Roman" w:hAnsi="Times New Roman" w:eastAsia="宋体"/>
                      <w:color w:val="000000"/>
                      <w:sz w:val="21"/>
                      <w:szCs w:val="21"/>
                      <w:vertAlign w:val="subscript"/>
                    </w:rPr>
                    <w:t>90</w:t>
                  </w:r>
                  <w:r>
                    <w:rPr>
                      <w:rFonts w:ascii="Times New Roman" w:hAnsi="Times New Roman" w:eastAsia="宋体"/>
                      <w:color w:val="000000"/>
                      <w:sz w:val="21"/>
                      <w:szCs w:val="21"/>
                    </w:rPr>
                    <w:t>、L</w:t>
                  </w:r>
                  <w:r>
                    <w:rPr>
                      <w:rFonts w:ascii="Times New Roman" w:hAnsi="Times New Roman" w:eastAsia="宋体"/>
                      <w:color w:val="000000"/>
                      <w:sz w:val="21"/>
                      <w:szCs w:val="21"/>
                      <w:vertAlign w:val="subscript"/>
                    </w:rPr>
                    <w:t>50</w:t>
                  </w:r>
                  <w:r>
                    <w:rPr>
                      <w:rFonts w:ascii="Times New Roman" w:hAnsi="Times New Roman" w:eastAsia="宋体"/>
                      <w:color w:val="000000"/>
                      <w:sz w:val="21"/>
                      <w:szCs w:val="21"/>
                    </w:rPr>
                    <w:t>、L</w:t>
                  </w:r>
                  <w:r>
                    <w:rPr>
                      <w:rFonts w:ascii="Times New Roman" w:hAnsi="Times New Roman" w:eastAsia="宋体"/>
                      <w:color w:val="000000"/>
                      <w:sz w:val="21"/>
                      <w:szCs w:val="21"/>
                      <w:vertAlign w:val="subscript"/>
                    </w:rPr>
                    <w:t>10</w:t>
                  </w:r>
                  <w:r>
                    <w:rPr>
                      <w:rFonts w:ascii="Times New Roman" w:hAnsi="Times New Roman" w:eastAsia="宋体"/>
                      <w:color w:val="000000"/>
                      <w:sz w:val="21"/>
                      <w:szCs w:val="21"/>
                    </w:rPr>
                    <w:t>、SD</w:t>
                  </w:r>
                </w:p>
              </w:tc>
              <w:tc>
                <w:tcPr>
                  <w:tcW w:w="1276" w:type="dxa"/>
                  <w:vAlign w:val="center"/>
                </w:tcPr>
                <w:p>
                  <w:pPr>
                    <w:autoSpaceDE w:val="0"/>
                    <w:autoSpaceDN w:val="0"/>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监测2天，</w:t>
                  </w:r>
                </w:p>
                <w:p>
                  <w:pPr>
                    <w:autoSpaceDE w:val="0"/>
                    <w:autoSpaceDN w:val="0"/>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昼夜各1次。</w:t>
                  </w:r>
                </w:p>
              </w:tc>
              <w:tc>
                <w:tcPr>
                  <w:tcW w:w="1635" w:type="dxa"/>
                  <w:tcBorders>
                    <w:top w:val="single" w:color="auto" w:sz="4" w:space="0"/>
                    <w:bottom w:val="single" w:color="auto" w:sz="4" w:space="0"/>
                  </w:tcBorders>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运行负荷≥75%，工况稳定；监测在无雨、无雪的天气条件下进行，风速小于5m/s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Ex>
              <w:trPr>
                <w:trHeight w:val="842" w:hRule="atLeast"/>
              </w:trPr>
              <w:tc>
                <w:tcPr>
                  <w:tcW w:w="848" w:type="dxa"/>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废水</w:t>
                  </w:r>
                </w:p>
              </w:tc>
              <w:tc>
                <w:tcPr>
                  <w:tcW w:w="1276"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污水处理系统</w:t>
                  </w:r>
                </w:p>
              </w:tc>
              <w:tc>
                <w:tcPr>
                  <w:tcW w:w="1559" w:type="dxa"/>
                  <w:vAlign w:val="center"/>
                </w:tcPr>
                <w:p>
                  <w:pPr>
                    <w:spacing w:after="0"/>
                    <w:rPr>
                      <w:rFonts w:ascii="Times New Roman" w:hAnsi="Times New Roman" w:eastAsia="宋体"/>
                      <w:color w:val="000000"/>
                      <w:sz w:val="21"/>
                      <w:szCs w:val="21"/>
                    </w:rPr>
                  </w:pPr>
                  <w:r>
                    <w:rPr>
                      <w:rFonts w:hint="eastAsia" w:ascii="Times New Roman" w:hAnsi="Times New Roman" w:eastAsia="宋体"/>
                      <w:color w:val="000000"/>
                      <w:sz w:val="21"/>
                      <w:szCs w:val="21"/>
                    </w:rPr>
                    <w:t>污水处理设施进、出口2个点位</w:t>
                  </w:r>
                </w:p>
              </w:tc>
              <w:tc>
                <w:tcPr>
                  <w:tcW w:w="1417" w:type="dxa"/>
                  <w:vAlign w:val="center"/>
                </w:tcPr>
                <w:p>
                  <w:pPr>
                    <w:tabs>
                      <w:tab w:val="left" w:pos="540"/>
                    </w:tabs>
                    <w:spacing w:after="0"/>
                    <w:jc w:val="center"/>
                    <w:rPr>
                      <w:rFonts w:ascii="Times New Roman" w:hAnsi="Times New Roman" w:eastAsia="宋体"/>
                      <w:color w:val="000000"/>
                      <w:sz w:val="21"/>
                      <w:szCs w:val="21"/>
                    </w:rPr>
                  </w:pPr>
                  <w:r>
                    <w:rPr>
                      <w:rFonts w:hint="eastAsia" w:ascii="Times New Roman" w:hAnsi="Times New Roman" w:eastAsia="宋体"/>
                      <w:color w:val="000000"/>
                      <w:szCs w:val="21"/>
                    </w:rPr>
                    <w:t>pH、COD、氨氮、总氮</w:t>
                  </w:r>
                  <w:r>
                    <w:rPr>
                      <w:rFonts w:ascii="Times New Roman" w:hAnsi="Times New Roman" w:eastAsia="宋体"/>
                      <w:color w:val="000000"/>
                      <w:sz w:val="21"/>
                      <w:szCs w:val="21"/>
                    </w:rPr>
                    <w:t xml:space="preserve"> </w:t>
                  </w:r>
                </w:p>
              </w:tc>
              <w:tc>
                <w:tcPr>
                  <w:tcW w:w="1276" w:type="dxa"/>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Cs w:val="21"/>
                    </w:rPr>
                    <w:t>监测2天，每天采样4次</w:t>
                  </w:r>
                </w:p>
              </w:tc>
              <w:tc>
                <w:tcPr>
                  <w:tcW w:w="1635" w:type="dxa"/>
                  <w:tcBorders>
                    <w:top w:val="single" w:color="auto" w:sz="4" w:space="0"/>
                  </w:tcBorders>
                  <w:vAlign w:val="center"/>
                </w:tcPr>
                <w:p>
                  <w:pPr>
                    <w:autoSpaceDE w:val="0"/>
                    <w:autoSpaceDN w:val="0"/>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运行负荷≥75%，记录流量，2天4次，</w:t>
                  </w:r>
                </w:p>
              </w:tc>
            </w:tr>
          </w:tbl>
          <w:p>
            <w:pPr>
              <w:jc w:val="center"/>
              <w:rPr>
                <w:color w:val="000000"/>
              </w:rPr>
            </w:pPr>
            <w:r>
              <w:rPr>
                <w:rFonts w:ascii="Tahoma" w:hAnsi="Tahoma" w:eastAsia="微软雅黑" w:cs="Times New Roman"/>
                <w:color w:val="000000"/>
                <w:sz w:val="22"/>
                <w:szCs w:val="22"/>
                <w:lang w:val="en-US" w:eastAsia="zh-CN" w:bidi="ar-SA"/>
              </w:rPr>
              <w:object>
                <v:shape id="Picture 1" type="#_x0000_t75" style="height:152.55pt;width:257.95pt;rotation:0f;" o:ole="t" fillcolor="#FFFFFF" filled="f" o:preferrelative="t" stroked="f" coordorigin="0,0" coordsize="21600,21600">
                  <v:fill on="f" color2="#FFFFFF" focus="0%"/>
                  <v:imagedata gain="65536f" blacklevel="0f" gamma="0" o:title="" r:id="rId27"/>
                  <o:lock v:ext="edit" position="f" selection="f" grouping="f" rotation="f" cropping="f" text="f" aspectratio="t"/>
                  <w10:wrap type="none"/>
                  <w10:anchorlock/>
                </v:shape>
                <o:OLEObject Type="Embed" ProgID="Visio.Drawing.11" ShapeID="Picture 1" DrawAspect="Content" ObjectID="_13" r:id="rId26"/>
              </w:object>
            </w:r>
          </w:p>
          <w:p>
            <w:pPr>
              <w:jc w:val="center"/>
              <w:rPr>
                <w:color w:val="000000"/>
                <w:szCs w:val="21"/>
              </w:rPr>
            </w:pPr>
            <w:r>
              <w:rPr>
                <w:rFonts w:ascii="Tahoma" w:hAnsi="Tahoma" w:eastAsia="微软雅黑" w:cs="Times New Roman"/>
                <w:color w:val="000000"/>
                <w:sz w:val="22"/>
                <w:szCs w:val="22"/>
                <w:lang w:val="en-US" w:eastAsia="zh-CN" w:bidi="ar-SA"/>
              </w:rPr>
              <w:object>
                <v:shape id="Picture 2" type="#_x0000_t75" style="height:161.2pt;width:271.75pt;rotation:0f;" o:ole="t" fillcolor="#FFFFFF" filled="f" o:preferrelative="t" stroked="f" coordorigin="0,0" coordsize="21600,21600">
                  <v:fill on="f" color2="#FFFFFF" focus="0%"/>
                  <v:imagedata gain="65536f" blacklevel="0f" gamma="0" o:title="" r:id="rId29"/>
                  <o:lock v:ext="edit" position="f" selection="f" grouping="f" rotation="f" cropping="f" text="f" aspectratio="t"/>
                  <w10:wrap type="none"/>
                  <w10:anchorlock/>
                </v:shape>
                <o:OLEObject Type="Embed" ProgID="Visio.Drawing.11" ShapeID="Picture 2" DrawAspect="Content" ObjectID="_14" r:id="rId28"/>
              </w:object>
            </w:r>
          </w:p>
          <w:p>
            <w:pPr>
              <w:rPr>
                <w:color w:val="000000"/>
                <w:szCs w:val="21"/>
              </w:rPr>
            </w:pPr>
          </w:p>
          <w:p>
            <w:pPr>
              <w:rPr>
                <w:color w:val="000000"/>
                <w:szCs w:val="21"/>
              </w:rPr>
            </w:pPr>
            <w:r>
              <w:rPr>
                <w:color w:val="000000"/>
                <w:szCs w:val="21"/>
              </w:rPr>
              <w:t>注：“○”表示无组织废气监测点位。</w:t>
            </w:r>
          </w:p>
          <w:p>
            <w:pPr>
              <w:spacing w:before="120" w:beforeLines="50"/>
              <w:jc w:val="center"/>
              <w:rPr>
                <w:rFonts w:eastAsia="黑体"/>
                <w:color w:val="000000"/>
                <w:sz w:val="24"/>
              </w:rPr>
            </w:pPr>
            <w:r>
              <w:rPr>
                <w:rFonts w:hint="eastAsia" w:eastAsia="黑体"/>
                <w:color w:val="000000"/>
                <w:sz w:val="24"/>
              </w:rPr>
              <w:t>图4-</w:t>
            </w:r>
            <w:r>
              <w:rPr>
                <w:rFonts w:eastAsia="黑体"/>
                <w:color w:val="000000"/>
                <w:sz w:val="24"/>
              </w:rPr>
              <w:t>1  无组织废气监测点位示意图</w:t>
            </w:r>
          </w:p>
          <w:p>
            <w:pPr>
              <w:jc w:val="center"/>
              <w:rPr>
                <w:color w:val="000000"/>
              </w:rPr>
            </w:pPr>
          </w:p>
          <w:p>
            <w:pPr>
              <w:pStyle w:val="2"/>
              <w:spacing w:before="120"/>
              <w:rPr>
                <w:color w:val="000000"/>
              </w:rPr>
            </w:pPr>
            <w:r>
              <w:rPr>
                <w:rFonts w:ascii="楷体" w:hAnsi="楷体" w:eastAsia="楷体" w:cs="Times New Roman"/>
                <w:color w:val="000000"/>
                <w:spacing w:val="28"/>
                <w:sz w:val="21"/>
                <w:szCs w:val="28"/>
                <w:lang w:val="en-US" w:eastAsia="zh-CN" w:bidi="ar-SA"/>
              </w:rPr>
              <w:pict>
                <v:shape id="图片 36" o:spid="_x0000_s1041" type="#_x0000_t75" style="position:absolute;left:0;margin-left:-81.85pt;margin-top:158.45pt;height:350.1pt;width:568.2pt;mso-position-vertical-relative:page;rotation:5898240f;z-index:251661312;" o:ole="f" fillcolor="#FFFFFF" filled="f" o:preferrelative="t" stroked="f" coordorigin="0,0" coordsize="21600,21600">
                  <v:fill on="f" color2="#FFFFFF" focus="0%"/>
                  <v:imagedata gain="65536f" blacklevel="0f" gamma="0" o:title="" r:id="rId30"/>
                  <o:lock v:ext="edit" position="f" selection="f" grouping="f" rotation="f" cropping="f" text="f" aspectratio="t"/>
                </v:shape>
              </w:pict>
            </w:r>
            <w:r>
              <w:rPr>
                <w:rFonts w:hint="eastAsia" w:ascii="楷体" w:hAnsi="楷体" w:eastAsia="楷体"/>
                <w:color w:val="000000"/>
                <w:sz w:val="30"/>
                <w:szCs w:val="30"/>
              </w:rPr>
              <w:t>噪声监测点位示意图</w:t>
            </w:r>
          </w:p>
        </w:tc>
      </w:tr>
    </w:tbl>
    <w:p>
      <w:pPr>
        <w:pStyle w:val="52"/>
        <w:spacing w:after="0" w:line="360" w:lineRule="auto"/>
        <w:ind w:firstLine="0" w:firstLineChars="0"/>
        <w:rPr>
          <w:rFonts w:ascii="仿宋" w:hAnsi="仿宋" w:eastAsia="仿宋" w:cs="宋体"/>
          <w:color w:val="000000"/>
          <w:szCs w:val="24"/>
        </w:rPr>
        <w:sectPr>
          <w:pgSz w:w="11906" w:h="16838"/>
          <w:pgMar w:top="1440" w:right="1800" w:bottom="1440" w:left="1800" w:header="708" w:footer="708" w:gutter="0"/>
          <w:cols w:space="720" w:num="1"/>
          <w:docGrid w:linePitch="360" w:charSpace="0"/>
        </w:sectPr>
      </w:pPr>
      <w:bookmarkStart w:id="8" w:name="_Toc17999559"/>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r>
        <w:rPr>
          <w:rFonts w:ascii="楷体" w:hAnsi="楷体" w:eastAsia="楷体" w:cs="楷体"/>
          <w:bCs/>
          <w:color w:val="000000"/>
          <w:sz w:val="28"/>
          <w:szCs w:val="28"/>
          <w:lang w:val="en-US" w:eastAsia="zh-CN" w:bidi="ar-SA"/>
        </w:rPr>
        <w:pict>
          <v:shape id="图片 1" o:spid="_x0000_s1042" type="#_x0000_t75" style="position:absolute;left:0;margin-top:4.55pt;height:276pt;width:697.15pt;mso-position-horizontal:right;mso-position-horizontal-relative:margin;rotation:0f;z-index:251664384;" o:ole="f" fillcolor="#FFFFFF" filled="f" o:preferrelative="t" stroked="f" coordorigin="0,0" coordsize="21600,21600">
            <v:fill on="f" color2="#FFFFFF" focus="0%"/>
            <v:imagedata cropleft="4197f" cropright="1683f" gain="65536f" blacklevel="0f" gamma="0" o:title="" r:id="rId31"/>
            <o:lock v:ext="edit" position="f" selection="f" grouping="f" rotation="f" cropping="f" text="f" aspectratio="t"/>
          </v:shape>
        </w:pict>
      </w: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p>
    <w:p>
      <w:pPr>
        <w:pStyle w:val="52"/>
        <w:spacing w:after="0" w:line="360" w:lineRule="auto"/>
        <w:ind w:firstLine="0" w:firstLineChars="0"/>
        <w:rPr>
          <w:rFonts w:ascii="仿宋" w:hAnsi="仿宋" w:eastAsia="仿宋" w:cs="宋体"/>
          <w:color w:val="000000"/>
          <w:szCs w:val="24"/>
        </w:rPr>
      </w:pPr>
      <w:r>
        <w:rPr>
          <w:rFonts w:ascii="仿宋" w:hAnsi="仿宋" w:eastAsia="仿宋" w:cs="宋体"/>
          <w:color w:val="000000"/>
          <w:sz w:val="24"/>
          <w:szCs w:val="24"/>
          <w:lang w:val="en-US" w:eastAsia="zh-CN" w:bidi="ar-SA"/>
        </w:rPr>
        <w:pict>
          <v:shape id="星形: 五角 17" o:spid="_x0000_s1043" type="#_x0000_t12" style="position:absolute;left:0;flip:y;margin-left:544.5pt;margin-top:11.8pt;height:7.5pt;width:8.25pt;rotation:0f;z-index:251665408;" o:ole="f" fillcolor="#4F81BD" filled="t" o:preferrelative="t" stroked="t" coordorigin="0,0" coordsize="21600,21600">
            <v:stroke weight="2pt" color="#395E8A" color2="#FFFFFF" miterlimit="2"/>
            <v:imagedata gain="65536f" blacklevel="0f" gamma="0"/>
            <o:lock v:ext="edit" position="f" selection="f" grouping="f" rotation="f" cropping="f" text="f" aspectratio="f"/>
          </v:shape>
        </w:pict>
      </w:r>
    </w:p>
    <w:p>
      <w:pPr>
        <w:pStyle w:val="52"/>
        <w:spacing w:after="0" w:line="360" w:lineRule="auto"/>
        <w:ind w:firstLine="0" w:firstLineChars="0"/>
        <w:rPr>
          <w:rFonts w:ascii="仿宋" w:hAnsi="仿宋" w:eastAsia="仿宋" w:cs="宋体"/>
          <w:color w:val="000000"/>
          <w:szCs w:val="24"/>
        </w:rPr>
      </w:pPr>
      <w:r>
        <w:rPr>
          <w:rFonts w:hint="eastAsia" w:ascii="仿宋" w:hAnsi="仿宋" w:eastAsia="仿宋" w:cs="宋体"/>
          <w:color w:val="000000"/>
          <w:szCs w:val="24"/>
        </w:rPr>
        <w:t xml:space="preserve"> </w:t>
      </w:r>
      <w:r>
        <w:rPr>
          <w:rFonts w:ascii="仿宋" w:hAnsi="仿宋" w:eastAsia="仿宋" w:cs="宋体"/>
          <w:color w:val="000000"/>
          <w:szCs w:val="24"/>
        </w:rPr>
        <w:t xml:space="preserve">                                          </w:t>
      </w:r>
    </w:p>
    <w:p>
      <w:pPr>
        <w:pStyle w:val="52"/>
        <w:spacing w:after="0" w:line="360" w:lineRule="auto"/>
        <w:ind w:firstLine="0" w:firstLineChars="0"/>
        <w:rPr>
          <w:rFonts w:hint="eastAsia" w:ascii="仿宋" w:hAnsi="仿宋" w:eastAsia="仿宋" w:cs="宋体"/>
          <w:color w:val="000000"/>
          <w:szCs w:val="24"/>
        </w:rPr>
      </w:pPr>
      <w:r>
        <w:rPr>
          <w:rFonts w:hint="eastAsia" w:ascii="仿宋" w:hAnsi="仿宋" w:eastAsia="仿宋" w:cs="宋体"/>
          <w:color w:val="000000"/>
          <w:szCs w:val="24"/>
        </w:rPr>
        <w:t xml:space="preserve"> </w:t>
      </w:r>
      <w:r>
        <w:rPr>
          <w:rFonts w:ascii="仿宋" w:hAnsi="仿宋" w:eastAsia="仿宋" w:cs="宋体"/>
          <w:color w:val="000000"/>
          <w:szCs w:val="24"/>
        </w:rPr>
        <w:t xml:space="preserve">                                                 </w:t>
      </w:r>
      <w:r>
        <w:rPr>
          <w:rFonts w:hint="eastAsia" w:ascii="仿宋" w:hAnsi="仿宋" w:eastAsia="仿宋" w:cs="宋体"/>
          <w:color w:val="000000"/>
          <w:szCs w:val="24"/>
        </w:rPr>
        <w:t>废水监测点位示意图</w:t>
      </w:r>
    </w:p>
    <w:p>
      <w:pPr>
        <w:pStyle w:val="52"/>
        <w:spacing w:after="0" w:line="360" w:lineRule="auto"/>
        <w:ind w:firstLine="0" w:firstLineChars="0"/>
        <w:rPr>
          <w:rFonts w:hint="eastAsia" w:ascii="仿宋" w:hAnsi="仿宋" w:eastAsia="仿宋" w:cs="宋体"/>
          <w:color w:val="000000"/>
          <w:szCs w:val="24"/>
        </w:rPr>
        <w:sectPr>
          <w:pgSz w:w="16838" w:h="11906" w:orient="landscape"/>
          <w:pgMar w:top="1797" w:right="1440" w:bottom="1797" w:left="1440" w:header="709" w:footer="709" w:gutter="0"/>
          <w:cols w:space="720" w:num="1"/>
          <w:docGrid w:linePitch="360" w:charSpace="0"/>
        </w:sectPr>
      </w:pPr>
      <w:r>
        <w:rPr>
          <w:rFonts w:hint="eastAsia" w:ascii="仿宋" w:hAnsi="仿宋" w:eastAsia="仿宋" w:cs="宋体"/>
          <w:color w:val="000000"/>
          <w:szCs w:val="24"/>
        </w:rPr>
        <w:t xml:space="preserve"> </w:t>
      </w:r>
      <w:r>
        <w:rPr>
          <w:rFonts w:ascii="仿宋" w:hAnsi="仿宋" w:eastAsia="仿宋" w:cs="宋体"/>
          <w:color w:val="000000"/>
          <w:szCs w:val="24"/>
        </w:rPr>
        <w:t xml:space="preserve">   </w:t>
      </w:r>
    </w:p>
    <w:p>
      <w:pPr>
        <w:pStyle w:val="56"/>
        <w:numPr>
          <w:ilvl w:val="0"/>
          <w:numId w:val="0"/>
        </w:numPr>
        <w:tabs>
          <w:tab w:val="left" w:pos="2760"/>
        </w:tabs>
        <w:spacing w:line="360" w:lineRule="auto"/>
        <w:jc w:val="both"/>
        <w:rPr>
          <w:rFonts w:ascii="仿宋" w:hAnsi="仿宋" w:eastAsia="仿宋" w:cs="宋体"/>
          <w:color w:val="000000"/>
          <w:sz w:val="24"/>
          <w:szCs w:val="24"/>
        </w:rPr>
      </w:pPr>
      <w:r>
        <w:rPr>
          <w:rFonts w:hint="eastAsia" w:ascii="仿宋" w:hAnsi="仿宋" w:eastAsia="仿宋" w:cs="宋体"/>
          <w:color w:val="000000"/>
          <w:sz w:val="24"/>
          <w:szCs w:val="24"/>
        </w:rPr>
        <w:t>表七  验收监测结果</w:t>
      </w:r>
      <w:bookmarkEnd w:id="8"/>
    </w:p>
    <w:tbl>
      <w:tblPr>
        <w:tblStyle w:val="43"/>
        <w:tblW w:w="89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380" w:hRule="atLeast"/>
        </w:trPr>
        <w:tc>
          <w:tcPr>
            <w:tcW w:w="8946" w:type="dxa"/>
            <w:vAlign w:val="top"/>
          </w:tcPr>
          <w:p>
            <w:pPr>
              <w:spacing w:before="240" w:beforeLines="100" w:after="0" w:line="360" w:lineRule="auto"/>
              <w:rPr>
                <w:rFonts w:ascii="宋体" w:hAnsi="宋体" w:eastAsia="宋体"/>
                <w:b/>
                <w:color w:val="000000"/>
                <w:sz w:val="24"/>
                <w:szCs w:val="24"/>
              </w:rPr>
            </w:pPr>
            <w:r>
              <w:rPr>
                <w:rFonts w:hint="eastAsia" w:ascii="宋体" w:hAnsi="宋体" w:eastAsia="宋体"/>
                <w:b/>
                <w:color w:val="000000"/>
                <w:sz w:val="24"/>
                <w:szCs w:val="24"/>
              </w:rPr>
              <w:t>验收监测期间生产工况记录：</w:t>
            </w:r>
          </w:p>
          <w:p>
            <w:pPr>
              <w:pStyle w:val="2"/>
              <w:spacing w:before="120"/>
              <w:rPr>
                <w:rFonts w:ascii="Times New Roman" w:hAnsi="Times New Roman" w:eastAsia="宋体"/>
                <w:bCs/>
                <w:color w:val="000000"/>
                <w:spacing w:val="0"/>
                <w:sz w:val="24"/>
                <w:szCs w:val="21"/>
              </w:rPr>
            </w:pPr>
            <w:r>
              <w:rPr>
                <w:rFonts w:hint="eastAsia" w:ascii="Times New Roman" w:hAnsi="Times New Roman" w:eastAsia="宋体"/>
                <w:bCs/>
                <w:color w:val="000000"/>
                <w:spacing w:val="0"/>
                <w:sz w:val="24"/>
                <w:szCs w:val="21"/>
              </w:rPr>
              <w:t>表</w:t>
            </w:r>
            <w:r>
              <w:rPr>
                <w:rFonts w:ascii="Times New Roman" w:hAnsi="Times New Roman" w:eastAsia="宋体"/>
                <w:bCs/>
                <w:color w:val="000000"/>
                <w:spacing w:val="0"/>
                <w:sz w:val="24"/>
                <w:szCs w:val="21"/>
              </w:rPr>
              <w:t xml:space="preserve">7-1  </w:t>
            </w:r>
            <w:r>
              <w:rPr>
                <w:rFonts w:hint="eastAsia" w:ascii="Times New Roman" w:hAnsi="Times New Roman" w:eastAsia="宋体"/>
                <w:bCs/>
                <w:color w:val="000000"/>
                <w:spacing w:val="0"/>
                <w:sz w:val="24"/>
                <w:szCs w:val="21"/>
              </w:rPr>
              <w:t>验收监测期间生产工况</w:t>
            </w:r>
          </w:p>
          <w:tbl>
            <w:tblPr>
              <w:tblStyle w:val="43"/>
              <w:tblW w:w="8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2754"/>
              <w:gridCol w:w="2411"/>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61" w:type="dxa"/>
                  <w:vAlign w:val="center"/>
                </w:tcPr>
                <w:p>
                  <w:pPr>
                    <w:spacing w:line="280" w:lineRule="exact"/>
                    <w:jc w:val="center"/>
                    <w:rPr>
                      <w:rFonts w:ascii="Times New Roman" w:hAnsi="Times New Roman" w:eastAsia="宋体"/>
                      <w:color w:val="000000"/>
                      <w:spacing w:val="20"/>
                      <w:sz w:val="21"/>
                      <w:szCs w:val="21"/>
                    </w:rPr>
                  </w:pPr>
                  <w:r>
                    <w:rPr>
                      <w:rFonts w:ascii="Times New Roman" w:hAnsi="Times New Roman" w:eastAsia="宋体"/>
                      <w:b/>
                      <w:caps/>
                      <w:color w:val="000000"/>
                      <w:sz w:val="21"/>
                      <w:szCs w:val="21"/>
                    </w:rPr>
                    <w:t>监测日期</w:t>
                  </w:r>
                </w:p>
              </w:tc>
              <w:tc>
                <w:tcPr>
                  <w:tcW w:w="2754" w:type="dxa"/>
                  <w:vAlign w:val="center"/>
                </w:tcPr>
                <w:p>
                  <w:pPr>
                    <w:spacing w:line="280" w:lineRule="exact"/>
                    <w:jc w:val="center"/>
                    <w:rPr>
                      <w:rFonts w:ascii="Times New Roman" w:hAnsi="Times New Roman" w:eastAsia="宋体"/>
                      <w:b/>
                      <w:color w:val="000000"/>
                      <w:sz w:val="21"/>
                      <w:szCs w:val="21"/>
                    </w:rPr>
                  </w:pPr>
                  <w:r>
                    <w:rPr>
                      <w:rFonts w:ascii="Times New Roman" w:hAnsi="Times New Roman" w:eastAsia="宋体"/>
                      <w:b/>
                      <w:color w:val="000000"/>
                      <w:sz w:val="21"/>
                      <w:szCs w:val="21"/>
                    </w:rPr>
                    <w:t>设计处理能力（m</w:t>
                  </w:r>
                  <w:r>
                    <w:rPr>
                      <w:rFonts w:ascii="Times New Roman" w:hAnsi="Times New Roman" w:eastAsia="宋体"/>
                      <w:b/>
                      <w:color w:val="000000"/>
                      <w:sz w:val="21"/>
                      <w:szCs w:val="21"/>
                      <w:vertAlign w:val="superscript"/>
                    </w:rPr>
                    <w:t>3</w:t>
                  </w:r>
                  <w:r>
                    <w:rPr>
                      <w:rFonts w:ascii="Times New Roman" w:hAnsi="Times New Roman" w:eastAsia="宋体"/>
                      <w:b/>
                      <w:color w:val="000000"/>
                      <w:sz w:val="21"/>
                      <w:szCs w:val="21"/>
                    </w:rPr>
                    <w:t>/d）</w:t>
                  </w:r>
                </w:p>
              </w:tc>
              <w:tc>
                <w:tcPr>
                  <w:tcW w:w="2411" w:type="dxa"/>
                  <w:vAlign w:val="center"/>
                </w:tcPr>
                <w:p>
                  <w:pPr>
                    <w:spacing w:line="280" w:lineRule="exact"/>
                    <w:jc w:val="center"/>
                    <w:rPr>
                      <w:rFonts w:ascii="Times New Roman" w:hAnsi="Times New Roman" w:eastAsia="宋体"/>
                      <w:b/>
                      <w:color w:val="000000"/>
                      <w:sz w:val="21"/>
                      <w:szCs w:val="21"/>
                    </w:rPr>
                  </w:pPr>
                  <w:r>
                    <w:rPr>
                      <w:rFonts w:ascii="Times New Roman" w:hAnsi="Times New Roman" w:eastAsia="宋体"/>
                      <w:b/>
                      <w:color w:val="000000"/>
                      <w:sz w:val="21"/>
                      <w:szCs w:val="21"/>
                    </w:rPr>
                    <w:t>实际处理能力（m</w:t>
                  </w:r>
                  <w:r>
                    <w:rPr>
                      <w:rFonts w:ascii="Times New Roman" w:hAnsi="Times New Roman" w:eastAsia="宋体"/>
                      <w:b/>
                      <w:color w:val="000000"/>
                      <w:sz w:val="21"/>
                      <w:szCs w:val="21"/>
                      <w:vertAlign w:val="superscript"/>
                    </w:rPr>
                    <w:t>3</w:t>
                  </w:r>
                  <w:r>
                    <w:rPr>
                      <w:rFonts w:ascii="Times New Roman" w:hAnsi="Times New Roman" w:eastAsia="宋体"/>
                      <w:b/>
                      <w:color w:val="000000"/>
                      <w:sz w:val="21"/>
                      <w:szCs w:val="21"/>
                    </w:rPr>
                    <w:t>/d）</w:t>
                  </w:r>
                </w:p>
              </w:tc>
              <w:tc>
                <w:tcPr>
                  <w:tcW w:w="1521" w:type="dxa"/>
                  <w:vAlign w:val="center"/>
                </w:tcPr>
                <w:p>
                  <w:pPr>
                    <w:spacing w:line="280" w:lineRule="exact"/>
                    <w:jc w:val="center"/>
                    <w:rPr>
                      <w:rFonts w:ascii="Times New Roman" w:hAnsi="Times New Roman" w:eastAsia="宋体"/>
                      <w:b/>
                      <w:color w:val="000000"/>
                      <w:sz w:val="21"/>
                      <w:szCs w:val="21"/>
                    </w:rPr>
                  </w:pPr>
                  <w:r>
                    <w:rPr>
                      <w:rFonts w:ascii="Times New Roman" w:hAnsi="Times New Roman" w:eastAsia="宋体"/>
                      <w:b/>
                      <w:color w:val="000000"/>
                      <w:sz w:val="21"/>
                      <w:szCs w:val="21"/>
                    </w:rPr>
                    <w:t>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61" w:type="dxa"/>
                  <w:vAlign w:val="center"/>
                </w:tcPr>
                <w:p>
                  <w:pPr>
                    <w:spacing w:line="280" w:lineRule="exact"/>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2021-08-03</w:t>
                  </w:r>
                </w:p>
              </w:tc>
              <w:tc>
                <w:tcPr>
                  <w:tcW w:w="2754" w:type="dxa"/>
                  <w:vMerge w:val="restart"/>
                  <w:vAlign w:val="center"/>
                </w:tcPr>
                <w:p>
                  <w:pPr>
                    <w:jc w:val="center"/>
                    <w:rPr>
                      <w:rFonts w:ascii="Times New Roman" w:hAnsi="Times New Roman" w:eastAsia="宋体"/>
                      <w:bCs/>
                      <w:color w:val="000000"/>
                      <w:sz w:val="21"/>
                      <w:szCs w:val="21"/>
                    </w:rPr>
                  </w:pPr>
                  <w:r>
                    <w:rPr>
                      <w:rFonts w:ascii="Times New Roman" w:hAnsi="Times New Roman" w:eastAsia="宋体"/>
                      <w:bCs/>
                      <w:color w:val="000000"/>
                      <w:sz w:val="21"/>
                      <w:szCs w:val="21"/>
                    </w:rPr>
                    <w:t>12960</w:t>
                  </w:r>
                </w:p>
              </w:tc>
              <w:tc>
                <w:tcPr>
                  <w:tcW w:w="2411" w:type="dxa"/>
                  <w:vAlign w:val="center"/>
                </w:tcPr>
                <w:p>
                  <w:pPr>
                    <w:jc w:val="center"/>
                    <w:rPr>
                      <w:rFonts w:ascii="Times New Roman" w:hAnsi="Times New Roman" w:eastAsia="宋体"/>
                      <w:bCs/>
                      <w:color w:val="000000"/>
                      <w:sz w:val="21"/>
                      <w:szCs w:val="21"/>
                    </w:rPr>
                  </w:pPr>
                  <w:r>
                    <w:rPr>
                      <w:rFonts w:ascii="Times New Roman" w:hAnsi="Times New Roman" w:eastAsia="宋体"/>
                      <w:bCs/>
                      <w:color w:val="000000"/>
                      <w:sz w:val="21"/>
                      <w:szCs w:val="21"/>
                    </w:rPr>
                    <w:t>11010</w:t>
                  </w:r>
                </w:p>
              </w:tc>
              <w:tc>
                <w:tcPr>
                  <w:tcW w:w="1521" w:type="dxa"/>
                  <w:vAlign w:val="center"/>
                </w:tcPr>
                <w:p>
                  <w:pPr>
                    <w:jc w:val="center"/>
                    <w:rPr>
                      <w:rFonts w:ascii="Times New Roman" w:hAnsi="Times New Roman" w:eastAsia="宋体"/>
                      <w:bCs/>
                      <w:color w:val="000000"/>
                      <w:sz w:val="21"/>
                      <w:szCs w:val="21"/>
                    </w:rPr>
                  </w:pPr>
                  <w:r>
                    <w:rPr>
                      <w:rFonts w:ascii="Times New Roman" w:hAnsi="Times New Roman" w:eastAsia="宋体"/>
                      <w:bCs/>
                      <w:color w:val="000000"/>
                      <w:sz w:val="21"/>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61" w:type="dxa"/>
                  <w:vAlign w:val="center"/>
                </w:tcPr>
                <w:p>
                  <w:pPr>
                    <w:spacing w:line="280" w:lineRule="exact"/>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2021-08-04</w:t>
                  </w:r>
                </w:p>
              </w:tc>
              <w:tc>
                <w:tcPr>
                  <w:tcW w:w="2754" w:type="dxa"/>
                  <w:vMerge w:val="continue"/>
                  <w:vAlign w:val="center"/>
                </w:tcPr>
                <w:p>
                  <w:pPr>
                    <w:jc w:val="center"/>
                    <w:rPr>
                      <w:rFonts w:ascii="Times New Roman" w:hAnsi="Times New Roman" w:eastAsia="宋体"/>
                      <w:bCs/>
                      <w:color w:val="000000"/>
                      <w:sz w:val="21"/>
                      <w:szCs w:val="21"/>
                    </w:rPr>
                  </w:pPr>
                </w:p>
              </w:tc>
              <w:tc>
                <w:tcPr>
                  <w:tcW w:w="2411" w:type="dxa"/>
                  <w:vAlign w:val="center"/>
                </w:tcPr>
                <w:p>
                  <w:pPr>
                    <w:jc w:val="center"/>
                    <w:rPr>
                      <w:rFonts w:ascii="Times New Roman" w:hAnsi="Times New Roman" w:eastAsia="宋体"/>
                      <w:bCs/>
                      <w:color w:val="000000"/>
                      <w:sz w:val="21"/>
                      <w:szCs w:val="21"/>
                    </w:rPr>
                  </w:pPr>
                  <w:r>
                    <w:rPr>
                      <w:rFonts w:ascii="Times New Roman" w:hAnsi="Times New Roman" w:eastAsia="宋体"/>
                      <w:bCs/>
                      <w:color w:val="000000"/>
                      <w:sz w:val="21"/>
                      <w:szCs w:val="21"/>
                    </w:rPr>
                    <w:t>11082</w:t>
                  </w:r>
                </w:p>
              </w:tc>
              <w:tc>
                <w:tcPr>
                  <w:tcW w:w="1521" w:type="dxa"/>
                  <w:vAlign w:val="center"/>
                </w:tcPr>
                <w:p>
                  <w:pPr>
                    <w:jc w:val="center"/>
                    <w:rPr>
                      <w:rFonts w:ascii="Times New Roman" w:hAnsi="Times New Roman" w:eastAsia="宋体"/>
                      <w:bCs/>
                      <w:color w:val="000000"/>
                      <w:sz w:val="21"/>
                      <w:szCs w:val="21"/>
                    </w:rPr>
                  </w:pPr>
                  <w:r>
                    <w:rPr>
                      <w:rFonts w:ascii="Times New Roman" w:hAnsi="Times New Roman" w:eastAsia="宋体"/>
                      <w:bCs/>
                      <w:color w:val="000000"/>
                      <w:sz w:val="21"/>
                      <w:szCs w:val="21"/>
                    </w:rPr>
                    <w:t>85.5</w:t>
                  </w:r>
                </w:p>
              </w:tc>
            </w:tr>
          </w:tbl>
          <w:p>
            <w:pPr>
              <w:pStyle w:val="22"/>
              <w:tabs>
                <w:tab w:val="left" w:pos="8601"/>
              </w:tabs>
              <w:spacing w:line="360" w:lineRule="exact"/>
              <w:jc w:val="both"/>
              <w:rPr>
                <w:rFonts w:ascii="宋体" w:hAnsi="宋体" w:eastAsia="宋体"/>
                <w:b/>
                <w:color w:val="000000"/>
                <w:sz w:val="24"/>
                <w:szCs w:val="24"/>
              </w:rPr>
            </w:pPr>
            <w:r>
              <w:rPr>
                <w:rFonts w:hint="eastAsia" w:ascii="仿宋" w:hAnsi="仿宋" w:eastAsia="仿宋" w:cs="宋体"/>
                <w:color w:val="000000"/>
                <w:sz w:val="24"/>
                <w:szCs w:val="24"/>
                <w:lang w:val="en-US" w:eastAsia="zh-CN" w:bidi="ar-SA"/>
              </w:rPr>
              <w:pict>
                <v:line id="直接连接符 2" o:spid="_x0000_s1044" style="position:absolute;left:0;flip:y;margin-left:-5.65pt;margin-top:8.95pt;height:1.2pt;width:447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pStyle w:val="22"/>
              <w:tabs>
                <w:tab w:val="left" w:pos="8601"/>
              </w:tabs>
              <w:spacing w:line="360" w:lineRule="exact"/>
              <w:jc w:val="both"/>
              <w:rPr>
                <w:rFonts w:ascii="宋体" w:hAnsi="宋体" w:eastAsia="宋体"/>
                <w:b/>
                <w:color w:val="000000"/>
                <w:sz w:val="24"/>
                <w:szCs w:val="24"/>
              </w:rPr>
            </w:pPr>
            <w:r>
              <w:rPr>
                <w:rFonts w:hint="eastAsia" w:ascii="宋体" w:hAnsi="宋体" w:eastAsia="宋体"/>
                <w:b/>
                <w:color w:val="000000"/>
                <w:sz w:val="24"/>
                <w:szCs w:val="24"/>
              </w:rPr>
              <w:t>验收监测结果</w:t>
            </w:r>
          </w:p>
          <w:p>
            <w:pPr>
              <w:pStyle w:val="22"/>
              <w:tabs>
                <w:tab w:val="left" w:pos="8601"/>
              </w:tabs>
              <w:spacing w:line="360" w:lineRule="exact"/>
              <w:jc w:val="both"/>
              <w:rPr>
                <w:b/>
                <w:bCs/>
                <w:color w:val="000000"/>
              </w:rPr>
            </w:pPr>
            <w:r>
              <w:rPr>
                <w:rFonts w:ascii="宋体" w:hAnsi="宋体" w:eastAsia="宋体"/>
                <w:b/>
                <w:color w:val="000000"/>
                <w:sz w:val="24"/>
                <w:szCs w:val="24"/>
              </w:rPr>
              <w:t>1</w:t>
            </w:r>
            <w:r>
              <w:rPr>
                <w:rFonts w:hint="eastAsia" w:ascii="宋体" w:hAnsi="宋体" w:eastAsia="宋体"/>
                <w:b/>
                <w:color w:val="000000"/>
                <w:sz w:val="24"/>
                <w:szCs w:val="24"/>
              </w:rPr>
              <w:t>、无组织废气监测结果</w:t>
            </w:r>
          </w:p>
          <w:p>
            <w:pPr>
              <w:widowControl w:val="0"/>
              <w:adjustRightInd/>
              <w:snapToGrid/>
              <w:spacing w:after="0" w:line="440" w:lineRule="exact"/>
              <w:ind w:firstLine="496" w:firstLineChars="200"/>
              <w:jc w:val="both"/>
              <w:rPr>
                <w:rFonts w:ascii="Times New Roman" w:hAnsi="宋体" w:eastAsia="宋体"/>
                <w:color w:val="000000"/>
                <w:spacing w:val="4"/>
                <w:kern w:val="2"/>
                <w:sz w:val="24"/>
                <w:szCs w:val="24"/>
              </w:rPr>
            </w:pPr>
            <w:r>
              <w:rPr>
                <w:rFonts w:hint="eastAsia" w:ascii="Times New Roman" w:hAnsi="宋体" w:eastAsia="宋体"/>
                <w:color w:val="000000"/>
                <w:spacing w:val="4"/>
                <w:kern w:val="2"/>
                <w:sz w:val="24"/>
                <w:szCs w:val="24"/>
              </w:rPr>
              <w:t>废气</w:t>
            </w:r>
            <w:r>
              <w:rPr>
                <w:rFonts w:ascii="Times New Roman" w:hAnsi="宋体" w:eastAsia="宋体"/>
                <w:color w:val="000000"/>
                <w:spacing w:val="4"/>
                <w:kern w:val="2"/>
                <w:sz w:val="24"/>
                <w:szCs w:val="24"/>
              </w:rPr>
              <w:t>无组织排放</w:t>
            </w:r>
            <w:r>
              <w:rPr>
                <w:rFonts w:hint="eastAsia" w:ascii="Times New Roman" w:hAnsi="宋体" w:eastAsia="宋体"/>
                <w:color w:val="000000"/>
                <w:spacing w:val="4"/>
                <w:kern w:val="2"/>
                <w:sz w:val="24"/>
                <w:szCs w:val="24"/>
              </w:rPr>
              <w:t>监测因子为硫化氢和氨，臭气浓度，监测时间为2天，监测布点为工业废水处理站厂界下风向，布点数为4个。</w:t>
            </w:r>
          </w:p>
          <w:p>
            <w:pPr>
              <w:pStyle w:val="2"/>
              <w:spacing w:before="120"/>
              <w:ind w:firstLine="480" w:firstLineChars="200"/>
              <w:jc w:val="left"/>
              <w:rPr>
                <w:rFonts w:ascii="Times New Roman" w:hAnsi="Times New Roman" w:eastAsia="宋体"/>
                <w:bCs/>
                <w:color w:val="000000"/>
                <w:spacing w:val="0"/>
                <w:sz w:val="24"/>
                <w:szCs w:val="24"/>
              </w:rPr>
            </w:pPr>
            <w:r>
              <w:rPr>
                <w:rFonts w:hint="eastAsia" w:ascii="Times New Roman" w:hAnsi="Times New Roman" w:eastAsia="宋体"/>
                <w:bCs/>
                <w:color w:val="000000"/>
                <w:spacing w:val="0"/>
                <w:sz w:val="24"/>
                <w:szCs w:val="24"/>
              </w:rPr>
              <w:t>无</w:t>
            </w:r>
            <w:r>
              <w:rPr>
                <w:rFonts w:ascii="Times New Roman" w:hAnsi="Times New Roman" w:eastAsia="宋体"/>
                <w:bCs/>
                <w:color w:val="000000"/>
                <w:spacing w:val="0"/>
                <w:sz w:val="24"/>
                <w:szCs w:val="24"/>
              </w:rPr>
              <w:t>组织废气数据结果见表</w:t>
            </w:r>
            <w:r>
              <w:rPr>
                <w:rFonts w:hint="eastAsia" w:ascii="Times New Roman" w:hAnsi="Times New Roman" w:eastAsia="宋体"/>
                <w:bCs/>
                <w:color w:val="000000"/>
                <w:spacing w:val="0"/>
                <w:sz w:val="24"/>
                <w:szCs w:val="24"/>
              </w:rPr>
              <w:t>7</w:t>
            </w:r>
            <w:r>
              <w:rPr>
                <w:rFonts w:ascii="Times New Roman" w:hAnsi="Times New Roman" w:eastAsia="宋体"/>
                <w:bCs/>
                <w:color w:val="000000"/>
                <w:spacing w:val="0"/>
                <w:sz w:val="24"/>
                <w:szCs w:val="24"/>
              </w:rPr>
              <w:t>-2</w:t>
            </w:r>
            <w:r>
              <w:rPr>
                <w:rFonts w:hint="eastAsia" w:ascii="Times New Roman" w:hAnsi="Times New Roman" w:eastAsia="宋体"/>
                <w:bCs/>
                <w:color w:val="000000"/>
                <w:spacing w:val="0"/>
                <w:sz w:val="24"/>
                <w:szCs w:val="24"/>
              </w:rPr>
              <w:t>。</w:t>
            </w:r>
          </w:p>
          <w:p>
            <w:pPr>
              <w:pStyle w:val="2"/>
              <w:spacing w:beforeLines="0" w:after="0" w:line="240" w:lineRule="auto"/>
              <w:ind w:firstLine="1920" w:firstLineChars="800"/>
              <w:jc w:val="left"/>
              <w:rPr>
                <w:rFonts w:ascii="Times New Roman" w:hAnsi="Times New Roman" w:eastAsia="宋体"/>
                <w:color w:val="000000"/>
                <w:sz w:val="22"/>
                <w:szCs w:val="22"/>
                <w:vertAlign w:val="superscript"/>
              </w:rPr>
            </w:pPr>
            <w:r>
              <w:rPr>
                <w:rFonts w:ascii="Times New Roman" w:hAnsi="Times New Roman" w:eastAsia="宋体"/>
                <w:bCs/>
                <w:color w:val="000000"/>
                <w:spacing w:val="0"/>
                <w:sz w:val="24"/>
                <w:szCs w:val="21"/>
              </w:rPr>
              <w:t>表7-2</w:t>
            </w:r>
            <w:r>
              <w:rPr>
                <w:rFonts w:hint="eastAsia" w:ascii="Times New Roman" w:hAnsi="Times New Roman" w:eastAsia="宋体"/>
                <w:bCs/>
                <w:color w:val="000000"/>
                <w:spacing w:val="0"/>
                <w:sz w:val="24"/>
                <w:szCs w:val="21"/>
              </w:rPr>
              <w:t xml:space="preserve">    无组织废气监测结果一览表    </w:t>
            </w:r>
            <w:r>
              <w:rPr>
                <w:rFonts w:ascii="Times New Roman" w:hAnsi="Times New Roman" w:eastAsia="宋体"/>
                <w:color w:val="000000"/>
                <w:sz w:val="22"/>
                <w:szCs w:val="22"/>
              </w:rPr>
              <w:t>单位：mg/m</w:t>
            </w:r>
            <w:r>
              <w:rPr>
                <w:rFonts w:ascii="Times New Roman" w:hAnsi="Times New Roman" w:eastAsia="宋体"/>
                <w:color w:val="000000"/>
                <w:sz w:val="22"/>
                <w:szCs w:val="22"/>
                <w:vertAlign w:val="superscript"/>
              </w:rPr>
              <w:t>3</w:t>
            </w:r>
          </w:p>
          <w:tbl>
            <w:tblPr>
              <w:tblStyle w:val="43"/>
              <w:tblW w:w="8235"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123"/>
              <w:gridCol w:w="712"/>
              <w:gridCol w:w="712"/>
              <w:gridCol w:w="713"/>
              <w:gridCol w:w="712"/>
              <w:gridCol w:w="712"/>
              <w:gridCol w:w="715"/>
              <w:gridCol w:w="716"/>
              <w:gridCol w:w="720"/>
              <w:gridCol w:w="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7" w:type="dxa"/>
                  <w:vMerge w:val="restart"/>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监测日期</w:t>
                  </w:r>
                </w:p>
              </w:tc>
              <w:tc>
                <w:tcPr>
                  <w:tcW w:w="1123" w:type="dxa"/>
                  <w:vMerge w:val="restart"/>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监测点位</w:t>
                  </w:r>
                </w:p>
              </w:tc>
              <w:tc>
                <w:tcPr>
                  <w:tcW w:w="6405" w:type="dxa"/>
                  <w:gridSpan w:val="9"/>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7" w:type="dxa"/>
                  <w:vMerge w:val="continue"/>
                  <w:vAlign w:val="center"/>
                </w:tcPr>
                <w:p>
                  <w:pPr>
                    <w:spacing w:after="0"/>
                    <w:jc w:val="center"/>
                    <w:rPr>
                      <w:rFonts w:ascii="Times New Roman" w:hAnsi="Times New Roman" w:eastAsia="宋体"/>
                      <w:b/>
                      <w:color w:val="000000"/>
                      <w:sz w:val="18"/>
                      <w:szCs w:val="18"/>
                    </w:rPr>
                  </w:pPr>
                </w:p>
              </w:tc>
              <w:tc>
                <w:tcPr>
                  <w:tcW w:w="1123" w:type="dxa"/>
                  <w:vMerge w:val="continue"/>
                  <w:vAlign w:val="center"/>
                </w:tcPr>
                <w:p>
                  <w:pPr>
                    <w:spacing w:after="0"/>
                    <w:jc w:val="center"/>
                    <w:rPr>
                      <w:rFonts w:ascii="Times New Roman" w:hAnsi="Times New Roman" w:eastAsia="宋体"/>
                      <w:b/>
                      <w:color w:val="000000"/>
                      <w:sz w:val="18"/>
                      <w:szCs w:val="18"/>
                    </w:rPr>
                  </w:pPr>
                </w:p>
              </w:tc>
              <w:tc>
                <w:tcPr>
                  <w:tcW w:w="2137" w:type="dxa"/>
                  <w:gridSpan w:val="3"/>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氨</w:t>
                  </w:r>
                </w:p>
              </w:tc>
              <w:tc>
                <w:tcPr>
                  <w:tcW w:w="2139" w:type="dxa"/>
                  <w:gridSpan w:val="3"/>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硫化氢</w:t>
                  </w:r>
                </w:p>
              </w:tc>
              <w:tc>
                <w:tcPr>
                  <w:tcW w:w="2129" w:type="dxa"/>
                  <w:gridSpan w:val="3"/>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臭气浓度（无量纲）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Merge w:val="continue"/>
                  <w:vAlign w:val="center"/>
                </w:tcPr>
                <w:p>
                  <w:pPr>
                    <w:spacing w:after="0"/>
                    <w:jc w:val="center"/>
                    <w:rPr>
                      <w:rFonts w:ascii="Times New Roman" w:hAnsi="Times New Roman" w:eastAsia="宋体"/>
                      <w:color w:val="000000"/>
                      <w:sz w:val="18"/>
                      <w:szCs w:val="18"/>
                    </w:rPr>
                  </w:pPr>
                </w:p>
              </w:tc>
              <w:tc>
                <w:tcPr>
                  <w:tcW w:w="712"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第一次</w:t>
                  </w:r>
                </w:p>
              </w:tc>
              <w:tc>
                <w:tcPr>
                  <w:tcW w:w="712"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第二次</w:t>
                  </w:r>
                </w:p>
              </w:tc>
              <w:tc>
                <w:tcPr>
                  <w:tcW w:w="713"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第三次</w:t>
                  </w:r>
                </w:p>
              </w:tc>
              <w:tc>
                <w:tcPr>
                  <w:tcW w:w="712"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第一次</w:t>
                  </w:r>
                </w:p>
              </w:tc>
              <w:tc>
                <w:tcPr>
                  <w:tcW w:w="712"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第二次</w:t>
                  </w:r>
                </w:p>
              </w:tc>
              <w:tc>
                <w:tcPr>
                  <w:tcW w:w="715"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第三次</w:t>
                  </w:r>
                </w:p>
              </w:tc>
              <w:tc>
                <w:tcPr>
                  <w:tcW w:w="716"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第一次</w:t>
                  </w:r>
                </w:p>
              </w:tc>
              <w:tc>
                <w:tcPr>
                  <w:tcW w:w="720"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第二次</w:t>
                  </w:r>
                </w:p>
              </w:tc>
              <w:tc>
                <w:tcPr>
                  <w:tcW w:w="693" w:type="dxa"/>
                  <w:vAlign w:val="center"/>
                </w:tcPr>
                <w:p>
                  <w:pPr>
                    <w:spacing w:after="0"/>
                    <w:jc w:val="center"/>
                    <w:rPr>
                      <w:rFonts w:ascii="Times New Roman" w:hAnsi="Times New Roman" w:eastAsia="宋体"/>
                      <w:b/>
                      <w:color w:val="000000"/>
                      <w:sz w:val="18"/>
                      <w:szCs w:val="18"/>
                    </w:rPr>
                  </w:pPr>
                  <w:r>
                    <w:rPr>
                      <w:rFonts w:ascii="Times New Roman" w:hAnsi="Times New Roman" w:eastAsia="宋体"/>
                      <w:b/>
                      <w:color w:val="000000"/>
                      <w:sz w:val="18"/>
                      <w:szCs w:val="18"/>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707"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2021-08-03</w:t>
                  </w: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监控点1</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0.09</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0.07</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0.10</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0.004</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0.004</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18</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监控点2</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0.12</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0.09</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0.09</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监控点3</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0.04</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0.05</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0.10</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监控点4</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0.18</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0.21</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浓度最大值</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0.18</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0.21</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18</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707" w:type="dxa"/>
                  <w:vMerge w:val="restart"/>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2021-08-04</w:t>
                  </w: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监控点1</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0.11</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0.06</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0.08</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监控点2</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0.12</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0.07</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0.09</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0.004</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监控点3</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0.08</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0.08</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0.10</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监控点4</w:t>
                  </w:r>
                  <w:r>
                    <w:rPr>
                      <w:rFonts w:ascii="Times New Roman" w:hAnsi="Times New Roman" w:eastAsia="宋体"/>
                      <w:color w:val="000000"/>
                      <w:sz w:val="18"/>
                      <w:szCs w:val="18"/>
                      <w:vertAlign w:val="superscript"/>
                    </w:rPr>
                    <w:t>#</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0.12</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0.15</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0.20</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0.005</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707" w:type="dxa"/>
                  <w:vMerge w:val="continue"/>
                  <w:vAlign w:val="center"/>
                </w:tcPr>
                <w:p>
                  <w:pPr>
                    <w:spacing w:after="0"/>
                    <w:jc w:val="center"/>
                    <w:rPr>
                      <w:rFonts w:ascii="Times New Roman" w:hAnsi="Times New Roman" w:eastAsia="宋体"/>
                      <w:color w:val="000000"/>
                      <w:sz w:val="18"/>
                      <w:szCs w:val="18"/>
                    </w:rPr>
                  </w:pPr>
                </w:p>
              </w:tc>
              <w:tc>
                <w:tcPr>
                  <w:tcW w:w="112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浓度最大值</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0.12</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0.15</w:t>
                  </w:r>
                </w:p>
              </w:tc>
              <w:tc>
                <w:tcPr>
                  <w:tcW w:w="71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0.20</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0.006</w:t>
                  </w:r>
                </w:p>
              </w:tc>
              <w:tc>
                <w:tcPr>
                  <w:tcW w:w="712"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5"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0.007</w:t>
                  </w:r>
                </w:p>
              </w:tc>
              <w:tc>
                <w:tcPr>
                  <w:tcW w:w="716"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720"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c>
                <w:tcPr>
                  <w:tcW w:w="693" w:type="dxa"/>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&lt;10</w:t>
                  </w:r>
                </w:p>
              </w:tc>
            </w:tr>
          </w:tbl>
          <w:p>
            <w:pPr>
              <w:pStyle w:val="2"/>
              <w:spacing w:beforeLines="0" w:after="0" w:line="240" w:lineRule="auto"/>
              <w:ind w:firstLine="2208" w:firstLineChars="800"/>
              <w:jc w:val="left"/>
              <w:rPr>
                <w:rFonts w:ascii="Times New Roman" w:hAnsi="Times New Roman" w:eastAsia="宋体"/>
                <w:color w:val="000000"/>
                <w:sz w:val="22"/>
                <w:szCs w:val="22"/>
              </w:rPr>
            </w:pPr>
          </w:p>
          <w:p>
            <w:pPr>
              <w:spacing w:before="120" w:beforeLines="50" w:after="0"/>
              <w:jc w:val="center"/>
              <w:rPr>
                <w:rFonts w:ascii="Times New Roman" w:hAnsi="Times New Roman" w:eastAsia="宋体"/>
                <w:bCs/>
                <w:color w:val="000000"/>
                <w:sz w:val="24"/>
                <w:szCs w:val="21"/>
              </w:rPr>
            </w:pPr>
          </w:p>
          <w:p>
            <w:pPr>
              <w:spacing w:before="240" w:beforeLines="100" w:after="0"/>
              <w:jc w:val="center"/>
              <w:rPr>
                <w:rFonts w:ascii="Times New Roman" w:hAnsi="Times New Roman" w:eastAsia="宋体"/>
                <w:bCs/>
                <w:color w:val="000000"/>
                <w:sz w:val="24"/>
                <w:szCs w:val="21"/>
              </w:rPr>
            </w:pPr>
            <w:r>
              <w:rPr>
                <w:rFonts w:ascii="Times New Roman" w:hAnsi="Times New Roman" w:eastAsia="宋体"/>
                <w:bCs/>
                <w:color w:val="000000"/>
                <w:sz w:val="24"/>
                <w:szCs w:val="21"/>
              </w:rPr>
              <w:t>表7-3</w:t>
            </w:r>
            <w:r>
              <w:rPr>
                <w:rFonts w:hint="eastAsia" w:ascii="Times New Roman" w:hAnsi="Times New Roman" w:eastAsia="宋体"/>
                <w:bCs/>
                <w:color w:val="000000"/>
                <w:sz w:val="24"/>
                <w:szCs w:val="21"/>
              </w:rPr>
              <w:t xml:space="preserve">    监测期间无组织废气气象参数一览表</w:t>
            </w:r>
          </w:p>
          <w:tbl>
            <w:tblPr>
              <w:tblStyle w:val="43"/>
              <w:tblW w:w="8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574"/>
              <w:gridCol w:w="1376"/>
              <w:gridCol w:w="1112"/>
              <w:gridCol w:w="1112"/>
              <w:gridCol w:w="1110"/>
              <w:gridCol w:w="790"/>
              <w:gridCol w:w="1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restart"/>
                  <w:vAlign w:val="center"/>
                </w:tcPr>
                <w:p>
                  <w:pPr>
                    <w:spacing w:after="0"/>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监测日期</w:t>
                  </w:r>
                </w:p>
              </w:tc>
              <w:tc>
                <w:tcPr>
                  <w:tcW w:w="1950" w:type="dxa"/>
                  <w:gridSpan w:val="2"/>
                  <w:vMerge w:val="restart"/>
                  <w:vAlign w:val="center"/>
                </w:tcPr>
                <w:p>
                  <w:pPr>
                    <w:spacing w:after="0"/>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监测点位</w:t>
                  </w:r>
                </w:p>
              </w:tc>
              <w:tc>
                <w:tcPr>
                  <w:tcW w:w="5148" w:type="dxa"/>
                  <w:gridSpan w:val="5"/>
                  <w:vAlign w:val="center"/>
                </w:tcPr>
                <w:p>
                  <w:pPr>
                    <w:spacing w:after="0"/>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气象参数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b/>
                      <w:bCs/>
                      <w:color w:val="000000"/>
                      <w:sz w:val="21"/>
                      <w:szCs w:val="21"/>
                    </w:rPr>
                  </w:pPr>
                </w:p>
              </w:tc>
              <w:tc>
                <w:tcPr>
                  <w:tcW w:w="1950" w:type="dxa"/>
                  <w:gridSpan w:val="2"/>
                  <w:vMerge w:val="continue"/>
                  <w:vAlign w:val="center"/>
                </w:tcPr>
                <w:p>
                  <w:pPr>
                    <w:spacing w:after="0"/>
                    <w:jc w:val="center"/>
                    <w:rPr>
                      <w:rFonts w:ascii="Times New Roman" w:hAnsi="Times New Roman" w:eastAsia="宋体"/>
                      <w:b/>
                      <w:bCs/>
                      <w:color w:val="000000"/>
                      <w:sz w:val="21"/>
                      <w:szCs w:val="21"/>
                    </w:rPr>
                  </w:pPr>
                </w:p>
              </w:tc>
              <w:tc>
                <w:tcPr>
                  <w:tcW w:w="1112"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气温(</w:t>
                  </w:r>
                  <w:r>
                    <w:rPr>
                      <w:rFonts w:hint="eastAsia" w:ascii="宋体" w:hAnsi="宋体" w:eastAsia="宋体" w:cs="宋体"/>
                      <w:b/>
                      <w:color w:val="000000"/>
                      <w:sz w:val="21"/>
                      <w:szCs w:val="21"/>
                    </w:rPr>
                    <w:t>℃</w:t>
                  </w:r>
                  <w:r>
                    <w:rPr>
                      <w:rFonts w:ascii="Times New Roman" w:hAnsi="Times New Roman" w:eastAsia="宋体"/>
                      <w:b/>
                      <w:color w:val="000000"/>
                      <w:sz w:val="21"/>
                      <w:szCs w:val="21"/>
                    </w:rPr>
                    <w:t>)</w:t>
                  </w:r>
                </w:p>
              </w:tc>
              <w:tc>
                <w:tcPr>
                  <w:tcW w:w="1112"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气压(kPa)</w:t>
                  </w:r>
                </w:p>
              </w:tc>
              <w:tc>
                <w:tcPr>
                  <w:tcW w:w="1110"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风速(m/s)</w:t>
                  </w:r>
                </w:p>
              </w:tc>
              <w:tc>
                <w:tcPr>
                  <w:tcW w:w="790"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风向</w:t>
                  </w:r>
                </w:p>
              </w:tc>
              <w:tc>
                <w:tcPr>
                  <w:tcW w:w="1024" w:type="dxa"/>
                  <w:vAlign w:val="center"/>
                </w:tcPr>
                <w:p>
                  <w:pPr>
                    <w:spacing w:after="0"/>
                    <w:jc w:val="center"/>
                    <w:rPr>
                      <w:rFonts w:ascii="Times New Roman" w:hAnsi="Times New Roman" w:eastAsia="宋体"/>
                      <w:b/>
                      <w:color w:val="000000"/>
                      <w:sz w:val="21"/>
                      <w:szCs w:val="21"/>
                    </w:rPr>
                  </w:pPr>
                  <w:r>
                    <w:rPr>
                      <w:rFonts w:ascii="Times New Roman" w:hAnsi="Times New Roman" w:eastAsia="宋体"/>
                      <w:b/>
                      <w:color w:val="000000"/>
                      <w:sz w:val="21"/>
                      <w:szCs w:val="21"/>
                    </w:rPr>
                    <w:t>天气状况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2021-08-03</w:t>
                  </w: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第一次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25.0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24.9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25.0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24.9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0.8</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第二次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27.8</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91.9</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0.8</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27.9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91.9</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0.8</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27.9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91.9</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27.7</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91.9</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0.9</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第三次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30.8</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30.8</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30.7</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0.8</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2021-08-04</w:t>
                  </w: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第一次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25.1</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135°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24.9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25.0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25.0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92.0</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0.8</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第二次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28.1</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135°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28.2</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28.1</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28.0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第三次</w:t>
                  </w: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监控点1</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30.9</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0.5</w:t>
                  </w:r>
                </w:p>
              </w:tc>
              <w:tc>
                <w:tcPr>
                  <w:tcW w:w="790" w:type="dxa"/>
                  <w:vMerge w:val="restart"/>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135°</w:t>
                  </w:r>
                </w:p>
              </w:tc>
              <w:tc>
                <w:tcPr>
                  <w:tcW w:w="1024"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监控点2</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监控点3</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31.1</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0.6</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jc w:val="center"/>
              </w:trPr>
              <w:tc>
                <w:tcPr>
                  <w:tcW w:w="1214" w:type="dxa"/>
                  <w:vMerge w:val="continue"/>
                  <w:vAlign w:val="center"/>
                </w:tcPr>
                <w:p>
                  <w:pPr>
                    <w:spacing w:after="0"/>
                    <w:jc w:val="center"/>
                    <w:rPr>
                      <w:rFonts w:ascii="Times New Roman" w:hAnsi="Times New Roman" w:eastAsia="宋体"/>
                      <w:color w:val="000000"/>
                      <w:sz w:val="21"/>
                      <w:szCs w:val="21"/>
                    </w:rPr>
                  </w:pPr>
                </w:p>
              </w:tc>
              <w:tc>
                <w:tcPr>
                  <w:tcW w:w="574" w:type="dxa"/>
                  <w:vMerge w:val="continue"/>
                  <w:vAlign w:val="center"/>
                </w:tcPr>
                <w:p>
                  <w:pPr>
                    <w:spacing w:after="0"/>
                    <w:jc w:val="center"/>
                    <w:rPr>
                      <w:rFonts w:ascii="Times New Roman" w:hAnsi="Times New Roman" w:eastAsia="宋体"/>
                      <w:color w:val="000000"/>
                      <w:sz w:val="21"/>
                      <w:szCs w:val="21"/>
                    </w:rPr>
                  </w:pPr>
                </w:p>
              </w:tc>
              <w:tc>
                <w:tcPr>
                  <w:tcW w:w="137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监控点4</w:t>
                  </w:r>
                  <w:r>
                    <w:rPr>
                      <w:rFonts w:ascii="Times New Roman" w:hAnsi="Times New Roman" w:eastAsia="宋体"/>
                      <w:color w:val="000000"/>
                      <w:sz w:val="21"/>
                      <w:szCs w:val="21"/>
                      <w:vertAlign w:val="superscript"/>
                    </w:rPr>
                    <w:t>#</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31.0</w:t>
                  </w:r>
                </w:p>
              </w:tc>
              <w:tc>
                <w:tcPr>
                  <w:tcW w:w="1112"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91.8</w:t>
                  </w:r>
                </w:p>
              </w:tc>
              <w:tc>
                <w:tcPr>
                  <w:tcW w:w="1110"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0.7</w:t>
                  </w:r>
                </w:p>
              </w:tc>
              <w:tc>
                <w:tcPr>
                  <w:tcW w:w="790" w:type="dxa"/>
                  <w:vMerge w:val="continue"/>
                  <w:vAlign w:val="center"/>
                </w:tcPr>
                <w:p>
                  <w:pPr>
                    <w:spacing w:after="0"/>
                    <w:jc w:val="center"/>
                    <w:rPr>
                      <w:rFonts w:ascii="Times New Roman" w:hAnsi="Times New Roman" w:eastAsia="宋体"/>
                      <w:color w:val="000000"/>
                      <w:sz w:val="21"/>
                      <w:szCs w:val="21"/>
                    </w:rPr>
                  </w:pPr>
                </w:p>
              </w:tc>
              <w:tc>
                <w:tcPr>
                  <w:tcW w:w="1024" w:type="dxa"/>
                  <w:vMerge w:val="continue"/>
                  <w:vAlign w:val="center"/>
                </w:tcPr>
                <w:p>
                  <w:pPr>
                    <w:spacing w:after="0"/>
                    <w:jc w:val="center"/>
                    <w:rPr>
                      <w:rFonts w:ascii="Times New Roman" w:hAnsi="Times New Roman" w:eastAsia="宋体"/>
                      <w:bCs/>
                      <w:color w:val="000000"/>
                      <w:sz w:val="21"/>
                      <w:szCs w:val="21"/>
                    </w:rPr>
                  </w:pPr>
                </w:p>
              </w:tc>
            </w:tr>
          </w:tbl>
          <w:p>
            <w:pPr>
              <w:pStyle w:val="22"/>
              <w:tabs>
                <w:tab w:val="left" w:pos="8601"/>
              </w:tabs>
              <w:spacing w:before="120" w:beforeLines="50"/>
              <w:ind w:firstLine="482" w:firstLineChars="200"/>
              <w:jc w:val="both"/>
              <w:rPr>
                <w:b/>
                <w:bCs/>
                <w:color w:val="000000"/>
              </w:rPr>
            </w:pPr>
            <w:r>
              <w:rPr>
                <w:rFonts w:hint="eastAsia" w:ascii="宋体" w:hAnsi="宋体" w:eastAsia="宋体"/>
                <w:b/>
                <w:color w:val="000000"/>
                <w:sz w:val="24"/>
                <w:szCs w:val="24"/>
              </w:rPr>
              <w:t>3、噪声监测结果</w:t>
            </w:r>
          </w:p>
          <w:p>
            <w:pPr>
              <w:spacing w:before="48" w:beforeLines="20"/>
              <w:ind w:firstLine="480" w:firstLineChars="200"/>
              <w:rPr>
                <w:rFonts w:ascii="Times New Roman" w:hAnsi="Times New Roman" w:eastAsia="宋体"/>
                <w:bCs/>
                <w:color w:val="000000"/>
                <w:sz w:val="24"/>
                <w:szCs w:val="21"/>
              </w:rPr>
            </w:pPr>
            <w:r>
              <w:rPr>
                <w:rFonts w:hint="eastAsia" w:ascii="Times New Roman" w:hAnsi="Times New Roman" w:eastAsia="宋体"/>
                <w:bCs/>
                <w:color w:val="000000"/>
                <w:sz w:val="24"/>
                <w:szCs w:val="24"/>
              </w:rPr>
              <w:t>噪声监测</w:t>
            </w:r>
            <w:r>
              <w:rPr>
                <w:rFonts w:ascii="Times New Roman" w:hAnsi="Times New Roman" w:eastAsia="宋体"/>
                <w:bCs/>
                <w:color w:val="000000"/>
                <w:sz w:val="24"/>
                <w:szCs w:val="24"/>
              </w:rPr>
              <w:t>结果见表</w:t>
            </w:r>
            <w:r>
              <w:rPr>
                <w:rFonts w:hint="eastAsia" w:ascii="Times New Roman" w:hAnsi="Times New Roman" w:eastAsia="宋体"/>
                <w:bCs/>
                <w:color w:val="000000"/>
                <w:sz w:val="24"/>
                <w:szCs w:val="24"/>
              </w:rPr>
              <w:t>7</w:t>
            </w:r>
            <w:r>
              <w:rPr>
                <w:rFonts w:ascii="Times New Roman" w:hAnsi="Times New Roman" w:eastAsia="宋体"/>
                <w:bCs/>
                <w:color w:val="000000"/>
                <w:sz w:val="24"/>
                <w:szCs w:val="24"/>
              </w:rPr>
              <w:t>-4</w:t>
            </w:r>
            <w:r>
              <w:rPr>
                <w:rFonts w:hint="eastAsia" w:ascii="Times New Roman" w:hAnsi="Times New Roman" w:eastAsia="宋体"/>
                <w:bCs/>
                <w:color w:val="000000"/>
                <w:sz w:val="24"/>
                <w:szCs w:val="24"/>
              </w:rPr>
              <w:t>。</w:t>
            </w:r>
          </w:p>
          <w:p>
            <w:pPr>
              <w:spacing w:after="0"/>
              <w:jc w:val="center"/>
              <w:rPr>
                <w:rFonts w:ascii="Times New Roman" w:hAnsi="Times New Roman" w:eastAsia="宋体"/>
                <w:bCs/>
                <w:color w:val="000000"/>
                <w:sz w:val="24"/>
                <w:szCs w:val="21"/>
              </w:rPr>
            </w:pPr>
            <w:r>
              <w:rPr>
                <w:rFonts w:ascii="Times New Roman" w:hAnsi="Times New Roman" w:eastAsia="宋体"/>
                <w:bCs/>
                <w:color w:val="000000"/>
                <w:sz w:val="24"/>
                <w:szCs w:val="21"/>
              </w:rPr>
              <w:t>表7-4</w:t>
            </w:r>
            <w:r>
              <w:rPr>
                <w:rFonts w:hint="eastAsia" w:ascii="Times New Roman" w:hAnsi="Times New Roman" w:eastAsia="宋体"/>
                <w:bCs/>
                <w:color w:val="000000"/>
                <w:sz w:val="24"/>
                <w:szCs w:val="21"/>
              </w:rPr>
              <w:t xml:space="preserve">    噪声监测结果表</w:t>
            </w:r>
          </w:p>
          <w:tbl>
            <w:tblPr>
              <w:tblStyle w:val="43"/>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520"/>
              <w:gridCol w:w="699"/>
              <w:gridCol w:w="709"/>
              <w:gridCol w:w="709"/>
              <w:gridCol w:w="708"/>
              <w:gridCol w:w="709"/>
              <w:gridCol w:w="709"/>
              <w:gridCol w:w="850"/>
              <w:gridCol w:w="851"/>
              <w:gridCol w:w="850"/>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583"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日期</w:t>
                  </w:r>
                </w:p>
              </w:tc>
              <w:tc>
                <w:tcPr>
                  <w:tcW w:w="520"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点位</w:t>
                  </w:r>
                </w:p>
              </w:tc>
              <w:tc>
                <w:tcPr>
                  <w:tcW w:w="3534" w:type="dxa"/>
                  <w:gridSpan w:val="5"/>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昼   间</w:t>
                  </w:r>
                </w:p>
              </w:tc>
              <w:tc>
                <w:tcPr>
                  <w:tcW w:w="3969" w:type="dxa"/>
                  <w:gridSpan w:val="5"/>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583"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eq</w:t>
                  </w:r>
                </w:p>
              </w:tc>
              <w:tc>
                <w:tcPr>
                  <w:tcW w:w="709" w:type="dxa"/>
                  <w:tcBorders>
                    <w:top w:val="single" w:color="auto" w:sz="6"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90</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50</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10</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SD</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eq</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90</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50</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L</w:t>
                  </w:r>
                  <w:r>
                    <w:rPr>
                      <w:rFonts w:ascii="Times New Roman" w:hAnsi="Times New Roman" w:eastAsia="宋体"/>
                      <w:color w:val="000000"/>
                      <w:sz w:val="18"/>
                      <w:szCs w:val="18"/>
                      <w:vertAlign w:val="subscript"/>
                    </w:rPr>
                    <w:t>10</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583" w:type="dxa"/>
                  <w:vMerge w:val="restart"/>
                  <w:tcBorders>
                    <w:top w:val="single" w:color="auto" w:sz="4" w:space="0"/>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2021.8.3</w:t>
                  </w: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62.6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52.9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52.9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53.2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64.7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53.4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54.1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56.1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3</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63.6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53.1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53.3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53.8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4</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62.5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54.2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54.2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64.7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53.7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53.8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54.0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6</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61.5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53.1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53.3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53.8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59.5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59.6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60.0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53.5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53.9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8</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63.5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53.1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53.7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55.3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9</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61.7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54.1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53.6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54.3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56.0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583" w:type="dxa"/>
                  <w:vMerge w:val="continue"/>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10</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64.4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51.6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51.9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jc w:val="center"/>
              </w:trPr>
              <w:tc>
                <w:tcPr>
                  <w:tcW w:w="583" w:type="dxa"/>
                  <w:vMerge w:val="restart"/>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2021.8.4</w:t>
                  </w: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63.8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64.4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54.2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54.2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55.1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2</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62.2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51.3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51.2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3</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64.8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52.2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52.2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53.2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4</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60.8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61.7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54.3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54.3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54.7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55.1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64.6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51.9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51.9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52.3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6</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61.2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53.6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54.0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7</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59.3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59.3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59.7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52.0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52.1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52.4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8</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62.5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62.3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63.2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1.4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54.5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54.5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54.8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55.3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583" w:type="dxa"/>
                  <w:vMerge w:val="continue"/>
                  <w:tcBorders>
                    <w:left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9</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60.9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61.5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61.9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0.3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52.9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52.7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53.1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583" w:type="dxa"/>
                  <w:vMerge w:val="continue"/>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p>
              </w:tc>
              <w:tc>
                <w:tcPr>
                  <w:tcW w:w="52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10</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63.9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63.1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64.0 </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65.0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1.7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52.3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51.3 </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51.6 </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54.6 </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 xml:space="preserve">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103" w:type="dxa"/>
                  <w:gridSpan w:val="2"/>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标准限值</w:t>
                  </w:r>
                </w:p>
              </w:tc>
              <w:tc>
                <w:tcPr>
                  <w:tcW w:w="69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65</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0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55</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5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5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103" w:type="dxa"/>
                  <w:gridSpan w:val="2"/>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评价标准</w:t>
                  </w:r>
                </w:p>
              </w:tc>
              <w:tc>
                <w:tcPr>
                  <w:tcW w:w="7503"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103"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备注</w:t>
                  </w:r>
                </w:p>
              </w:tc>
              <w:tc>
                <w:tcPr>
                  <w:tcW w:w="7503"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昼间、夜间：晴天，风速&lt;5m/s。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1103"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结论</w:t>
                  </w:r>
                </w:p>
              </w:tc>
              <w:tc>
                <w:tcPr>
                  <w:tcW w:w="7503"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厂界噪声范围L</w:t>
                  </w:r>
                  <w:r>
                    <w:rPr>
                      <w:rFonts w:ascii="Times New Roman" w:hAnsi="Times New Roman" w:eastAsia="宋体"/>
                      <w:color w:val="000000"/>
                      <w:sz w:val="18"/>
                      <w:szCs w:val="18"/>
                      <w:vertAlign w:val="subscript"/>
                    </w:rPr>
                    <w:t>eq</w:t>
                  </w:r>
                  <w:r>
                    <w:rPr>
                      <w:rFonts w:hint="eastAsia" w:ascii="Times New Roman" w:hAnsi="Times New Roman" w:eastAsia="宋体"/>
                      <w:color w:val="000000"/>
                      <w:sz w:val="18"/>
                      <w:szCs w:val="18"/>
                    </w:rPr>
                    <w:t>值</w:t>
                  </w:r>
                  <w:r>
                    <w:rPr>
                      <w:rFonts w:ascii="Times New Roman" w:hAnsi="Times New Roman" w:eastAsia="宋体"/>
                      <w:color w:val="000000"/>
                      <w:sz w:val="18"/>
                      <w:szCs w:val="18"/>
                    </w:rPr>
                    <w:t>为昼间：59.3-64.3dB（A），夜间：51.3-54.5dB（A），</w:t>
                  </w:r>
                </w:p>
                <w:p>
                  <w:pPr>
                    <w:spacing w:after="0"/>
                    <w:jc w:val="center"/>
                    <w:rPr>
                      <w:rFonts w:ascii="Times New Roman" w:hAnsi="Times New Roman" w:eastAsia="宋体"/>
                      <w:color w:val="000000"/>
                      <w:sz w:val="18"/>
                      <w:szCs w:val="18"/>
                    </w:rPr>
                  </w:pPr>
                  <w:r>
                    <w:rPr>
                      <w:rFonts w:ascii="Times New Roman" w:hAnsi="Times New Roman" w:eastAsia="宋体"/>
                      <w:color w:val="000000"/>
                      <w:sz w:val="18"/>
                      <w:szCs w:val="18"/>
                    </w:rPr>
                    <w:t>满足评价标准要求。</w:t>
                  </w:r>
                </w:p>
              </w:tc>
            </w:tr>
          </w:tbl>
          <w:p>
            <w:pPr>
              <w:pStyle w:val="22"/>
              <w:tabs>
                <w:tab w:val="left" w:pos="8601"/>
              </w:tabs>
              <w:spacing w:line="360" w:lineRule="exact"/>
              <w:ind w:firstLine="482" w:firstLineChars="200"/>
              <w:jc w:val="both"/>
              <w:rPr>
                <w:rFonts w:ascii="宋体" w:hAnsi="宋体" w:eastAsia="宋体"/>
                <w:b/>
                <w:color w:val="000000"/>
                <w:sz w:val="24"/>
                <w:szCs w:val="24"/>
              </w:rPr>
            </w:pPr>
          </w:p>
          <w:p>
            <w:pPr>
              <w:pStyle w:val="22"/>
              <w:tabs>
                <w:tab w:val="left" w:pos="8601"/>
              </w:tabs>
              <w:spacing w:line="360" w:lineRule="exact"/>
              <w:ind w:firstLine="482" w:firstLineChars="200"/>
              <w:jc w:val="both"/>
              <w:rPr>
                <w:rFonts w:ascii="宋体" w:hAnsi="宋体" w:eastAsia="宋体"/>
                <w:b/>
                <w:color w:val="000000"/>
                <w:sz w:val="24"/>
                <w:szCs w:val="24"/>
              </w:rPr>
            </w:pPr>
          </w:p>
          <w:p>
            <w:pPr>
              <w:pStyle w:val="22"/>
              <w:tabs>
                <w:tab w:val="left" w:pos="8601"/>
              </w:tabs>
              <w:spacing w:line="360" w:lineRule="exact"/>
              <w:ind w:firstLine="482" w:firstLineChars="200"/>
              <w:jc w:val="both"/>
              <w:rPr>
                <w:b/>
                <w:bCs/>
                <w:color w:val="000000"/>
              </w:rPr>
            </w:pPr>
            <w:r>
              <w:rPr>
                <w:rFonts w:hint="eastAsia" w:ascii="宋体" w:hAnsi="宋体" w:eastAsia="宋体"/>
                <w:b/>
                <w:color w:val="000000"/>
                <w:sz w:val="24"/>
                <w:szCs w:val="24"/>
              </w:rPr>
              <w:t>4、废水监测结果</w:t>
            </w:r>
          </w:p>
          <w:p>
            <w:pPr>
              <w:spacing w:after="0" w:line="360" w:lineRule="auto"/>
              <w:ind w:firstLine="480" w:firstLineChars="200"/>
              <w:rPr>
                <w:rFonts w:eastAsia="仿宋_GB2312"/>
                <w:color w:val="000000"/>
                <w:sz w:val="21"/>
                <w:szCs w:val="21"/>
              </w:rPr>
            </w:pPr>
            <w:r>
              <w:rPr>
                <w:rFonts w:hint="eastAsia" w:ascii="Times New Roman" w:hAnsi="Times New Roman" w:eastAsia="宋体"/>
                <w:bCs/>
                <w:color w:val="000000"/>
                <w:sz w:val="24"/>
                <w:szCs w:val="24"/>
              </w:rPr>
              <w:t>废水监测</w:t>
            </w:r>
            <w:r>
              <w:rPr>
                <w:rFonts w:ascii="Times New Roman" w:hAnsi="Times New Roman" w:eastAsia="宋体"/>
                <w:bCs/>
                <w:color w:val="000000"/>
                <w:sz w:val="24"/>
                <w:szCs w:val="24"/>
              </w:rPr>
              <w:t>结果见表</w:t>
            </w:r>
            <w:r>
              <w:rPr>
                <w:rFonts w:hint="eastAsia" w:ascii="Times New Roman" w:hAnsi="Times New Roman" w:eastAsia="宋体"/>
                <w:bCs/>
                <w:color w:val="000000"/>
                <w:sz w:val="24"/>
                <w:szCs w:val="24"/>
              </w:rPr>
              <w:t>7</w:t>
            </w:r>
            <w:r>
              <w:rPr>
                <w:rFonts w:ascii="Times New Roman" w:hAnsi="Times New Roman" w:eastAsia="宋体"/>
                <w:bCs/>
                <w:color w:val="000000"/>
                <w:sz w:val="24"/>
                <w:szCs w:val="24"/>
              </w:rPr>
              <w:t>-5</w:t>
            </w:r>
            <w:r>
              <w:rPr>
                <w:rFonts w:hint="eastAsia" w:ascii="Times New Roman" w:hAnsi="Times New Roman" w:eastAsia="宋体"/>
                <w:bCs/>
                <w:color w:val="000000"/>
                <w:sz w:val="24"/>
                <w:szCs w:val="24"/>
              </w:rPr>
              <w:t>。</w:t>
            </w:r>
          </w:p>
          <w:p>
            <w:pPr>
              <w:spacing w:after="0" w:line="360" w:lineRule="auto"/>
              <w:jc w:val="center"/>
              <w:rPr>
                <w:rFonts w:eastAsia="仿宋_GB2312"/>
                <w:color w:val="000000"/>
                <w:sz w:val="21"/>
                <w:szCs w:val="21"/>
              </w:rPr>
            </w:pPr>
            <w:r>
              <w:rPr>
                <w:rFonts w:ascii="Times New Roman" w:hAnsi="Times New Roman" w:eastAsia="宋体"/>
                <w:bCs/>
                <w:color w:val="000000"/>
                <w:sz w:val="24"/>
                <w:szCs w:val="24"/>
              </w:rPr>
              <w:t>表</w:t>
            </w:r>
            <w:r>
              <w:rPr>
                <w:rFonts w:hint="eastAsia" w:ascii="Times New Roman" w:hAnsi="Times New Roman" w:eastAsia="宋体"/>
                <w:bCs/>
                <w:color w:val="000000"/>
                <w:sz w:val="24"/>
                <w:szCs w:val="24"/>
              </w:rPr>
              <w:t>7</w:t>
            </w:r>
            <w:r>
              <w:rPr>
                <w:rFonts w:ascii="Times New Roman" w:hAnsi="Times New Roman" w:eastAsia="宋体"/>
                <w:bCs/>
                <w:color w:val="000000"/>
                <w:sz w:val="24"/>
                <w:szCs w:val="24"/>
              </w:rPr>
              <w:t xml:space="preserve">-5  </w:t>
            </w:r>
            <w:r>
              <w:rPr>
                <w:rFonts w:hint="eastAsia" w:ascii="Times New Roman" w:hAnsi="Times New Roman" w:eastAsia="宋体"/>
                <w:bCs/>
                <w:color w:val="000000"/>
                <w:sz w:val="24"/>
                <w:szCs w:val="24"/>
              </w:rPr>
              <w:t>废水监测一览表</w:t>
            </w:r>
          </w:p>
          <w:tbl>
            <w:tblPr>
              <w:tblStyle w:val="43"/>
              <w:tblW w:w="8074" w:type="dxa"/>
              <w:tblInd w:w="3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829"/>
              <w:gridCol w:w="1445"/>
              <w:gridCol w:w="1121"/>
              <w:gridCol w:w="1418"/>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trPr>
              <w:tc>
                <w:tcPr>
                  <w:tcW w:w="2842" w:type="dxa"/>
                  <w:gridSpan w:val="3"/>
                  <w:vMerge w:val="restart"/>
                  <w:tcBorders>
                    <w:left w:val="single" w:color="auto" w:sz="4" w:space="0"/>
                    <w:right w:val="single" w:color="auto" w:sz="4" w:space="0"/>
                    <w:tl2br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 xml:space="preserve">             项   目</w:t>
                  </w:r>
                </w:p>
                <w:p>
                  <w:pPr>
                    <w:spacing w:after="0"/>
                    <w:jc w:val="center"/>
                    <w:rPr>
                      <w:rFonts w:ascii="Times New Roman" w:hAnsi="Times New Roman" w:eastAsia="宋体"/>
                      <w:bCs/>
                      <w:color w:val="000000"/>
                      <w:sz w:val="21"/>
                      <w:szCs w:val="21"/>
                    </w:rPr>
                  </w:pPr>
                </w:p>
                <w:p>
                  <w:pPr>
                    <w:spacing w:after="0"/>
                    <w:ind w:firstLine="105" w:firstLineChars="50"/>
                    <w:rPr>
                      <w:rFonts w:ascii="Times New Roman" w:hAnsi="Times New Roman" w:eastAsia="宋体"/>
                      <w:bCs/>
                      <w:color w:val="000000"/>
                      <w:sz w:val="21"/>
                      <w:szCs w:val="21"/>
                    </w:rPr>
                  </w:pPr>
                  <w:r>
                    <w:rPr>
                      <w:rFonts w:ascii="Times New Roman" w:hAnsi="Times New Roman" w:eastAsia="宋体"/>
                      <w:bCs/>
                      <w:color w:val="000000"/>
                      <w:sz w:val="21"/>
                      <w:szCs w:val="21"/>
                    </w:rPr>
                    <w:t>点位    日期</w:t>
                  </w:r>
                </w:p>
              </w:tc>
              <w:tc>
                <w:tcPr>
                  <w:tcW w:w="1121" w:type="dxa"/>
                  <w:vMerge w:val="restart"/>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PH值</w:t>
                  </w:r>
                </w:p>
              </w:tc>
              <w:tc>
                <w:tcPr>
                  <w:tcW w:w="1418" w:type="dxa"/>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化学需氧量</w:t>
                  </w:r>
                </w:p>
              </w:tc>
              <w:tc>
                <w:tcPr>
                  <w:tcW w:w="1417" w:type="dxa"/>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氨氮</w:t>
                  </w:r>
                </w:p>
              </w:tc>
              <w:tc>
                <w:tcPr>
                  <w:tcW w:w="1276" w:type="dxa"/>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总氮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exact"/>
              </w:trPr>
              <w:tc>
                <w:tcPr>
                  <w:tcW w:w="2842" w:type="dxa"/>
                  <w:gridSpan w:val="3"/>
                  <w:vMerge w:val="continue"/>
                  <w:tcBorders>
                    <w:left w:val="single" w:color="auto" w:sz="4" w:space="0"/>
                    <w:bottom w:val="single" w:color="auto" w:sz="4" w:space="0"/>
                    <w:right w:val="single" w:color="auto" w:sz="4" w:space="0"/>
                    <w:tl2br w:val="single" w:color="auto" w:sz="4" w:space="0"/>
                  </w:tcBorders>
                  <w:vAlign w:val="center"/>
                </w:tcPr>
                <w:p>
                  <w:pPr>
                    <w:spacing w:after="0"/>
                    <w:rPr>
                      <w:rFonts w:ascii="Times New Roman" w:hAnsi="Times New Roman" w:eastAsia="宋体"/>
                      <w:bCs/>
                      <w:color w:val="000000"/>
                      <w:sz w:val="21"/>
                      <w:szCs w:val="21"/>
                    </w:rPr>
                  </w:pPr>
                </w:p>
              </w:tc>
              <w:tc>
                <w:tcPr>
                  <w:tcW w:w="1121" w:type="dxa"/>
                  <w:vMerge w:val="continue"/>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18" w:type="dxa"/>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mg/L</w:t>
                  </w:r>
                </w:p>
              </w:tc>
              <w:tc>
                <w:tcPr>
                  <w:tcW w:w="1417" w:type="dxa"/>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mg/L</w:t>
                  </w:r>
                </w:p>
              </w:tc>
              <w:tc>
                <w:tcPr>
                  <w:tcW w:w="1276" w:type="dxa"/>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exact"/>
              </w:trPr>
              <w:tc>
                <w:tcPr>
                  <w:tcW w:w="568" w:type="dxa"/>
                  <w:vMerge w:val="restart"/>
                  <w:tcBorders>
                    <w:lef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脱氮进水</w:t>
                  </w:r>
                </w:p>
              </w:tc>
              <w:tc>
                <w:tcPr>
                  <w:tcW w:w="829"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2021.8.3</w:t>
                  </w: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09: 30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7.2</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338</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40.7</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vAlign w:val="center"/>
                </w:tcPr>
                <w:p>
                  <w:pPr>
                    <w:spacing w:after="0"/>
                    <w:jc w:val="center"/>
                    <w:rPr>
                      <w:rFonts w:ascii="Times New Roman" w:hAnsi="Times New Roman" w:eastAsia="宋体"/>
                      <w:bCs/>
                      <w:color w:val="000000"/>
                      <w:sz w:val="21"/>
                      <w:szCs w:val="21"/>
                    </w:rPr>
                  </w:pP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11：30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7.2</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274</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32.5</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vAlign w:val="center"/>
                </w:tcPr>
                <w:p>
                  <w:pPr>
                    <w:spacing w:after="0"/>
                    <w:jc w:val="center"/>
                    <w:rPr>
                      <w:rFonts w:ascii="Times New Roman" w:hAnsi="Times New Roman" w:eastAsia="宋体"/>
                      <w:bCs/>
                      <w:color w:val="000000"/>
                      <w:sz w:val="21"/>
                      <w:szCs w:val="21"/>
                    </w:rPr>
                  </w:pP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14：00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7.3</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276</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39.4</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bottom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16：00</w:t>
                  </w:r>
                </w:p>
              </w:tc>
              <w:tc>
                <w:tcPr>
                  <w:tcW w:w="1121"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7.0</w:t>
                  </w:r>
                </w:p>
              </w:tc>
              <w:tc>
                <w:tcPr>
                  <w:tcW w:w="1418"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225</w:t>
                  </w:r>
                </w:p>
              </w:tc>
              <w:tc>
                <w:tcPr>
                  <w:tcW w:w="1417"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38.0</w:t>
                  </w:r>
                </w:p>
              </w:tc>
              <w:tc>
                <w:tcPr>
                  <w:tcW w:w="1276" w:type="dxa"/>
                  <w:tcBorders>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restart"/>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2021.8.4</w:t>
                  </w: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08: 30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7.4</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258</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50.3</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vAlign w:val="center"/>
                </w:tcPr>
                <w:p>
                  <w:pPr>
                    <w:spacing w:after="0"/>
                    <w:jc w:val="center"/>
                    <w:rPr>
                      <w:rFonts w:ascii="Times New Roman" w:hAnsi="Times New Roman" w:eastAsia="宋体"/>
                      <w:bCs/>
                      <w:color w:val="000000"/>
                      <w:sz w:val="21"/>
                      <w:szCs w:val="21"/>
                    </w:rPr>
                  </w:pP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10：30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7.1</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309</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44.8</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exact"/>
              </w:trPr>
              <w:tc>
                <w:tcPr>
                  <w:tcW w:w="568" w:type="dxa"/>
                  <w:vMerge w:val="continue"/>
                  <w:tcBorders>
                    <w:lef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vAlign w:val="center"/>
                </w:tcPr>
                <w:p>
                  <w:pPr>
                    <w:spacing w:after="0"/>
                    <w:jc w:val="center"/>
                    <w:rPr>
                      <w:rFonts w:ascii="Times New Roman" w:hAnsi="Times New Roman" w:eastAsia="宋体"/>
                      <w:bCs/>
                      <w:color w:val="000000"/>
                      <w:sz w:val="21"/>
                      <w:szCs w:val="21"/>
                    </w:rPr>
                  </w:pPr>
                </w:p>
              </w:tc>
              <w:tc>
                <w:tcPr>
                  <w:tcW w:w="1445"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14：00</w:t>
                  </w:r>
                </w:p>
              </w:tc>
              <w:tc>
                <w:tcPr>
                  <w:tcW w:w="1121"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7.2</w:t>
                  </w:r>
                </w:p>
              </w:tc>
              <w:tc>
                <w:tcPr>
                  <w:tcW w:w="1418"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358</w:t>
                  </w:r>
                </w:p>
              </w:tc>
              <w:tc>
                <w:tcPr>
                  <w:tcW w:w="1417" w:type="dxa"/>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94.2</w:t>
                  </w:r>
                </w:p>
              </w:tc>
              <w:tc>
                <w:tcPr>
                  <w:tcW w:w="1276" w:type="dxa"/>
                  <w:tcBorders>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exact"/>
              </w:trPr>
              <w:tc>
                <w:tcPr>
                  <w:tcW w:w="568" w:type="dxa"/>
                  <w:vMerge w:val="continue"/>
                  <w:tcBorders>
                    <w:left w:val="single" w:color="auto" w:sz="4" w:space="0"/>
                    <w:bottom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bottom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16：00</w:t>
                  </w:r>
                </w:p>
              </w:tc>
              <w:tc>
                <w:tcPr>
                  <w:tcW w:w="1121"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7.3</w:t>
                  </w:r>
                </w:p>
              </w:tc>
              <w:tc>
                <w:tcPr>
                  <w:tcW w:w="1418"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296</w:t>
                  </w:r>
                </w:p>
              </w:tc>
              <w:tc>
                <w:tcPr>
                  <w:tcW w:w="1417"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42.1</w:t>
                  </w:r>
                </w:p>
              </w:tc>
              <w:tc>
                <w:tcPr>
                  <w:tcW w:w="1276" w:type="dxa"/>
                  <w:tcBorders>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exact"/>
              </w:trPr>
              <w:tc>
                <w:tcPr>
                  <w:tcW w:w="2842" w:type="dxa"/>
                  <w:gridSpan w:val="3"/>
                  <w:tcBorders>
                    <w:left w:val="single" w:color="auto" w:sz="4" w:space="0"/>
                    <w:bottom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进水均值</w:t>
                  </w:r>
                </w:p>
              </w:tc>
              <w:tc>
                <w:tcPr>
                  <w:tcW w:w="1121"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7</w:t>
                  </w:r>
                  <w:r>
                    <w:rPr>
                      <w:rFonts w:ascii="Times New Roman" w:hAnsi="Times New Roman" w:eastAsia="宋体"/>
                      <w:bCs/>
                      <w:color w:val="000000"/>
                      <w:sz w:val="21"/>
                      <w:szCs w:val="21"/>
                    </w:rPr>
                    <w:t>.0-7.4</w:t>
                  </w:r>
                </w:p>
              </w:tc>
              <w:tc>
                <w:tcPr>
                  <w:tcW w:w="1418"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2</w:t>
                  </w:r>
                  <w:r>
                    <w:rPr>
                      <w:rFonts w:ascii="Times New Roman" w:hAnsi="Times New Roman" w:eastAsia="宋体"/>
                      <w:bCs/>
                      <w:color w:val="000000"/>
                      <w:sz w:val="21"/>
                      <w:szCs w:val="21"/>
                    </w:rPr>
                    <w:t>91.75</w:t>
                  </w:r>
                </w:p>
              </w:tc>
              <w:tc>
                <w:tcPr>
                  <w:tcW w:w="1417" w:type="dxa"/>
                  <w:tcBorders>
                    <w:bottom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4</w:t>
                  </w:r>
                  <w:r>
                    <w:rPr>
                      <w:rFonts w:ascii="Times New Roman" w:hAnsi="Times New Roman" w:eastAsia="宋体"/>
                      <w:bCs/>
                      <w:color w:val="000000"/>
                      <w:sz w:val="21"/>
                      <w:szCs w:val="21"/>
                    </w:rPr>
                    <w:t>7.75</w:t>
                  </w:r>
                </w:p>
              </w:tc>
              <w:tc>
                <w:tcPr>
                  <w:tcW w:w="1276" w:type="dxa"/>
                  <w:tcBorders>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7</w:t>
                  </w:r>
                  <w:r>
                    <w:rPr>
                      <w:rFonts w:ascii="Times New Roman" w:hAnsi="Times New Roman" w:eastAsia="宋体"/>
                      <w:bCs/>
                      <w:color w:val="00000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exact"/>
              </w:trPr>
              <w:tc>
                <w:tcPr>
                  <w:tcW w:w="568" w:type="dxa"/>
                  <w:vMerge w:val="restart"/>
                  <w:tcBorders>
                    <w:top w:val="single" w:color="auto" w:sz="4" w:space="0"/>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bookmarkStart w:id="9" w:name="_Hlk63151453"/>
                  <w:r>
                    <w:rPr>
                      <w:rFonts w:ascii="Times New Roman" w:hAnsi="Times New Roman" w:eastAsia="宋体"/>
                      <w:bCs/>
                      <w:color w:val="000000"/>
                      <w:sz w:val="21"/>
                      <w:szCs w:val="21"/>
                    </w:rPr>
                    <w:t>脱氮出水</w:t>
                  </w:r>
                </w:p>
              </w:tc>
              <w:tc>
                <w:tcPr>
                  <w:tcW w:w="829"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2021.8.3</w:t>
                  </w: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09: 40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7.0</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52</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12.0</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8"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11：40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7.0</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36</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7.86</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3"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14：10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7.1</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42</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9.23</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16：10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7.6</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20</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8.68</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37.4</w:t>
                  </w: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2021.8.4</w:t>
                  </w: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08: 40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7.5</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23</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3.49</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10：40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7.3</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38</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2.67</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9" w:hRule="exact"/>
              </w:trPr>
              <w:tc>
                <w:tcPr>
                  <w:tcW w:w="568" w:type="dxa"/>
                  <w:vMerge w:val="continue"/>
                  <w:tcBorders>
                    <w:left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14：10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7.7</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47</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2.94</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exact"/>
              </w:trPr>
              <w:tc>
                <w:tcPr>
                  <w:tcW w:w="568" w:type="dxa"/>
                  <w:vMerge w:val="continue"/>
                  <w:tcBorders>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16：10</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7.7</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35</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2.70</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exact"/>
              </w:trPr>
              <w:tc>
                <w:tcPr>
                  <w:tcW w:w="2842" w:type="dxa"/>
                  <w:gridSpan w:val="3"/>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出水均值</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7</w:t>
                  </w:r>
                  <w:r>
                    <w:rPr>
                      <w:rFonts w:ascii="Times New Roman" w:hAnsi="Times New Roman" w:eastAsia="宋体"/>
                      <w:bCs/>
                      <w:color w:val="000000"/>
                      <w:sz w:val="21"/>
                      <w:szCs w:val="21"/>
                    </w:rPr>
                    <w:t>.0-7.7</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1</w:t>
                  </w:r>
                  <w:r>
                    <w:rPr>
                      <w:rFonts w:ascii="Times New Roman" w:hAnsi="Times New Roman" w:eastAsia="宋体"/>
                      <w:bCs/>
                      <w:color w:val="000000"/>
                      <w:sz w:val="21"/>
                      <w:szCs w:val="21"/>
                    </w:rPr>
                    <w:t>8.31</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3</w:t>
                  </w:r>
                  <w:r>
                    <w:rPr>
                      <w:rFonts w:ascii="Times New Roman" w:hAnsi="Times New Roman" w:eastAsia="宋体"/>
                      <w:bCs/>
                      <w:color w:val="000000"/>
                      <w:sz w:val="21"/>
                      <w:szCs w:val="21"/>
                    </w:rPr>
                    <w:t>.1</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1</w:t>
                  </w:r>
                  <w:r>
                    <w:rPr>
                      <w:rFonts w:ascii="Times New Roman" w:hAnsi="Times New Roman" w:eastAsia="宋体"/>
                      <w:bCs/>
                      <w:color w:val="000000"/>
                      <w:sz w:val="21"/>
                      <w:szCs w:val="21"/>
                    </w:rPr>
                    <w:t>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exact"/>
              </w:trPr>
              <w:tc>
                <w:tcPr>
                  <w:tcW w:w="2842" w:type="dxa"/>
                  <w:gridSpan w:val="3"/>
                  <w:tcBorders>
                    <w:top w:val="single" w:color="auto" w:sz="4" w:space="0"/>
                    <w:left w:val="single" w:color="auto" w:sz="4" w:space="0"/>
                    <w:bottom w:val="single" w:color="auto" w:sz="4" w:space="0"/>
                    <w:right w:val="single" w:color="auto" w:sz="4" w:space="0"/>
                  </w:tcBorders>
                  <w:vAlign w:val="center"/>
                </w:tcPr>
                <w:p>
                  <w:pPr>
                    <w:spacing w:after="0"/>
                    <w:jc w:val="center"/>
                    <w:rPr>
                      <w:rFonts w:hint="eastAsia" w:ascii="Times New Roman" w:hAnsi="Times New Roman" w:eastAsia="宋体"/>
                      <w:bCs/>
                      <w:color w:val="000000"/>
                      <w:sz w:val="21"/>
                      <w:szCs w:val="21"/>
                    </w:rPr>
                  </w:pPr>
                  <w:r>
                    <w:rPr>
                      <w:rFonts w:hint="eastAsia" w:ascii="Times New Roman" w:hAnsi="Times New Roman" w:eastAsia="宋体"/>
                      <w:bCs/>
                      <w:color w:val="000000"/>
                      <w:sz w:val="21"/>
                      <w:szCs w:val="21"/>
                    </w:rPr>
                    <w:t>去除效率</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eastAsia" w:ascii="Times New Roman" w:hAnsi="Times New Roman" w:eastAsia="宋体"/>
                      <w:bCs/>
                      <w:color w:val="000000"/>
                      <w:sz w:val="21"/>
                      <w:szCs w:val="21"/>
                    </w:rPr>
                  </w:pPr>
                  <w:r>
                    <w:rPr>
                      <w:rFonts w:hint="eastAsia" w:ascii="Times New Roman" w:hAnsi="Times New Roman" w:eastAsia="宋体"/>
                      <w:bCs/>
                      <w:color w:val="000000"/>
                      <w:sz w:val="21"/>
                      <w:szCs w:val="21"/>
                    </w:rPr>
                    <w:t>/</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eastAsia" w:ascii="Times New Roman" w:hAnsi="Times New Roman" w:eastAsia="宋体"/>
                      <w:bCs/>
                      <w:color w:val="000000"/>
                      <w:sz w:val="21"/>
                      <w:szCs w:val="21"/>
                    </w:rPr>
                  </w:pPr>
                  <w:r>
                    <w:rPr>
                      <w:rFonts w:hint="eastAsia" w:ascii="Times New Roman" w:hAnsi="Times New Roman" w:eastAsia="宋体"/>
                      <w:bCs/>
                      <w:color w:val="000000"/>
                      <w:sz w:val="21"/>
                      <w:szCs w:val="21"/>
                    </w:rPr>
                    <w:t>93.72</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eastAsia" w:ascii="Times New Roman" w:hAnsi="Times New Roman" w:eastAsia="宋体"/>
                      <w:bCs/>
                      <w:color w:val="000000"/>
                      <w:sz w:val="21"/>
                      <w:szCs w:val="21"/>
                    </w:rPr>
                  </w:pPr>
                  <w:r>
                    <w:rPr>
                      <w:rFonts w:hint="eastAsia" w:ascii="Times New Roman" w:hAnsi="Times New Roman" w:eastAsia="宋体"/>
                      <w:bCs/>
                      <w:color w:val="000000"/>
                      <w:sz w:val="21"/>
                      <w:szCs w:val="21"/>
                    </w:rPr>
                    <w:t>93.51</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jc w:val="center"/>
                    <w:rPr>
                      <w:rFonts w:hint="eastAsia" w:ascii="Times New Roman" w:hAnsi="Times New Roman" w:eastAsia="宋体"/>
                      <w:bCs/>
                      <w:color w:val="000000"/>
                      <w:sz w:val="21"/>
                      <w:szCs w:val="21"/>
                    </w:rPr>
                  </w:pPr>
                  <w:r>
                    <w:rPr>
                      <w:rFonts w:hint="eastAsia" w:ascii="Times New Roman" w:hAnsi="Times New Roman" w:eastAsia="宋体"/>
                      <w:bCs/>
                      <w:color w:val="000000"/>
                      <w:sz w:val="21"/>
                      <w:szCs w:val="21"/>
                    </w:rPr>
                    <w:t>97.40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exact"/>
              </w:trPr>
              <w:tc>
                <w:tcPr>
                  <w:tcW w:w="2842" w:type="dxa"/>
                  <w:gridSpan w:val="3"/>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出水标准限值</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80</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15</w:t>
                  </w:r>
                </w:p>
              </w:tc>
              <w:tc>
                <w:tcPr>
                  <w:tcW w:w="1276" w:type="dxa"/>
                  <w:tcBorders>
                    <w:top w:val="single" w:color="auto" w:sz="4" w:space="0"/>
                    <w:left w:val="single" w:color="auto" w:sz="4" w:space="0"/>
                    <w:bottom w:val="single" w:color="auto" w:sz="4" w:space="0"/>
                    <w:right w:val="single" w:color="auto" w:sz="4" w:space="0"/>
                  </w:tcBorders>
                  <w:vAlign w:val="center"/>
                </w:tcPr>
                <w:tbl>
                  <w:tblPr>
                    <w:tblStyle w:val="43"/>
                    <w:tblW w:w="109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657" w:hRule="exact"/>
                      <w:jc w:val="center"/>
                    </w:trPr>
                    <w:tc>
                      <w:tcPr>
                        <w:tcW w:w="10917" w:type="dxa"/>
                        <w:vAlign w:val="center"/>
                      </w:tcPr>
                      <w:p>
                        <w:pPr>
                          <w:spacing w:after="0"/>
                          <w:jc w:val="center"/>
                          <w:rPr>
                            <w:rFonts w:ascii="Times New Roman" w:hAnsi="Times New Roman" w:eastAsia="宋体"/>
                            <w:bCs/>
                            <w:color w:val="000000"/>
                            <w:sz w:val="21"/>
                            <w:szCs w:val="21"/>
                          </w:rPr>
                        </w:pPr>
                        <w:r>
                          <w:rPr>
                            <w:bCs/>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778" w:hRule="exact"/>
                      <w:jc w:val="center"/>
                    </w:trPr>
                    <w:tc>
                      <w:tcPr>
                        <w:tcW w:w="10917" w:type="dxa"/>
                        <w:vAlign w:val="center"/>
                      </w:tcPr>
                      <w:p>
                        <w:pPr>
                          <w:spacing w:after="0"/>
                          <w:jc w:val="center"/>
                          <w:rPr>
                            <w:rFonts w:ascii="Times New Roman" w:hAnsi="Times New Roman" w:eastAsia="宋体"/>
                            <w:bCs/>
                            <w:color w:val="000000"/>
                            <w:sz w:val="21"/>
                            <w:szCs w:val="21"/>
                          </w:rPr>
                        </w:pPr>
                        <w:r>
                          <w:rPr>
                            <w:bCs/>
                          </w:rPr>
                          <w:t>/</w:t>
                        </w:r>
                      </w:p>
                    </w:tc>
                  </w:tr>
                </w:tbl>
                <w:p>
                  <w:pPr>
                    <w:spacing w:after="0"/>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exact"/>
              </w:trPr>
              <w:tc>
                <w:tcPr>
                  <w:tcW w:w="2842" w:type="dxa"/>
                  <w:gridSpan w:val="3"/>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出水达标情况</w:t>
                  </w:r>
                </w:p>
              </w:tc>
              <w:tc>
                <w:tcPr>
                  <w:tcW w:w="1121"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bCs/>
                      <w:color w:val="000000"/>
                      <w:sz w:val="21"/>
                      <w:szCs w:val="21"/>
                    </w:rPr>
                  </w:pPr>
                  <w:r>
                    <w:rPr>
                      <w:rFonts w:ascii="Times New Roman" w:hAnsi="Times New Roman" w:eastAsia="宋体"/>
                      <w:bCs/>
                      <w:color w:val="000000"/>
                      <w:sz w:val="21"/>
                      <w:szCs w:val="21"/>
                    </w:rPr>
                    <w:t>/</w:t>
                  </w:r>
                </w:p>
              </w:tc>
              <w:tc>
                <w:tcPr>
                  <w:tcW w:w="141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bCs/>
                      <w:color w:val="000000"/>
                      <w:sz w:val="21"/>
                      <w:szCs w:val="21"/>
                    </w:rPr>
                    <w:t>达标</w:t>
                  </w:r>
                </w:p>
              </w:tc>
              <w:tc>
                <w:tcPr>
                  <w:tcW w:w="141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Times New Roman" w:hAnsi="Times New Roman" w:eastAsia="宋体"/>
                      <w:color w:val="000000"/>
                      <w:sz w:val="21"/>
                      <w:szCs w:val="21"/>
                    </w:rPr>
                  </w:pPr>
                  <w:r>
                    <w:rPr>
                      <w:rFonts w:ascii="Times New Roman" w:hAnsi="Times New Roman" w:eastAsia="宋体"/>
                      <w:bCs/>
                      <w:color w:val="000000"/>
                      <w:sz w:val="21"/>
                      <w:szCs w:val="21"/>
                    </w:rPr>
                    <w:t>达标</w:t>
                  </w:r>
                </w:p>
              </w:tc>
              <w:tc>
                <w:tcPr>
                  <w:tcW w:w="1276" w:type="dxa"/>
                  <w:tcBorders>
                    <w:top w:val="single" w:color="auto" w:sz="4" w:space="0"/>
                    <w:left w:val="single" w:color="auto" w:sz="4" w:space="0"/>
                    <w:bottom w:val="single" w:color="auto" w:sz="4" w:space="0"/>
                    <w:right w:val="single" w:color="auto" w:sz="4" w:space="0"/>
                  </w:tcBorders>
                  <w:vAlign w:val="top"/>
                </w:tcPr>
                <w:tbl>
                  <w:tblPr>
                    <w:tblStyle w:val="43"/>
                    <w:tblW w:w="10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exact"/>
                      <w:jc w:val="center"/>
                    </w:trPr>
                    <w:tc>
                      <w:tcPr>
                        <w:tcW w:w="10917" w:type="dxa"/>
                        <w:tcBorders>
                          <w:top w:val="nil"/>
                          <w:left w:val="nil"/>
                          <w:bottom w:val="nil"/>
                          <w:right w:val="nil"/>
                        </w:tcBorders>
                        <w:vAlign w:val="center"/>
                      </w:tcPr>
                      <w:p>
                        <w:pPr>
                          <w:spacing w:after="0"/>
                          <w:jc w:val="center"/>
                          <w:rPr>
                            <w:rFonts w:ascii="Times New Roman" w:hAnsi="Times New Roman" w:eastAsia="宋体"/>
                            <w:color w:val="000000"/>
                            <w:sz w:val="21"/>
                            <w:szCs w:val="21"/>
                          </w:rPr>
                        </w:pPr>
                        <w:r>
                          <w:rPr>
                            <w:rStyle w:val="118"/>
                            <w:rFonts w:eastAsia="宋体"/>
                            <w:color w:val="0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8" w:hRule="exact"/>
                      <w:jc w:val="center"/>
                    </w:trPr>
                    <w:tc>
                      <w:tcPr>
                        <w:tcW w:w="10917" w:type="dxa"/>
                        <w:tcBorders>
                          <w:top w:val="nil"/>
                          <w:right w:val="single" w:color="auto" w:sz="4" w:space="0"/>
                        </w:tcBorders>
                        <w:vAlign w:val="center"/>
                      </w:tcPr>
                      <w:p>
                        <w:pPr>
                          <w:spacing w:after="0"/>
                          <w:jc w:val="center"/>
                          <w:rPr>
                            <w:rFonts w:ascii="Times New Roman" w:hAnsi="Times New Roman" w:eastAsia="宋体"/>
                            <w:color w:val="000000"/>
                            <w:sz w:val="21"/>
                            <w:szCs w:val="21"/>
                          </w:rPr>
                        </w:pPr>
                        <w:r>
                          <w:rPr>
                            <w:rStyle w:val="118"/>
                            <w:rFonts w:eastAsia="宋体"/>
                            <w:color w:val="000000"/>
                            <w:sz w:val="21"/>
                            <w:szCs w:val="21"/>
                          </w:rPr>
                          <w:t>/</w:t>
                        </w:r>
                      </w:p>
                    </w:tc>
                  </w:tr>
                </w:tbl>
                <w:p>
                  <w:pPr>
                    <w:spacing w:after="0"/>
                    <w:rPr>
                      <w:rFonts w:ascii="Times New Roman" w:hAnsi="Times New Roman" w:eastAsia="宋体"/>
                      <w:color w:val="000000"/>
                      <w:sz w:val="21"/>
                      <w:szCs w:val="21"/>
                    </w:rPr>
                  </w:pPr>
                </w:p>
              </w:tc>
            </w:tr>
          </w:tbl>
          <w:p>
            <w:pPr>
              <w:pStyle w:val="2"/>
              <w:spacing w:before="120"/>
              <w:rPr>
                <w:color w:val="000000"/>
              </w:rPr>
            </w:pPr>
          </w:p>
        </w:tc>
      </w:tr>
    </w:tbl>
    <w:p>
      <w:pPr>
        <w:spacing w:after="0" w:line="360" w:lineRule="auto"/>
        <w:rPr>
          <w:rFonts w:eastAsia="仿宋_GB2312"/>
          <w:b/>
          <w:color w:val="000000"/>
          <w:sz w:val="21"/>
          <w:szCs w:val="21"/>
        </w:rPr>
        <w:sectPr>
          <w:pgSz w:w="11906" w:h="16838"/>
          <w:pgMar w:top="1440" w:right="1800" w:bottom="1440" w:left="1800" w:header="708" w:footer="708" w:gutter="0"/>
          <w:cols w:space="720" w:num="1"/>
          <w:docGrid w:linePitch="360" w:charSpace="0"/>
        </w:sectPr>
      </w:pPr>
    </w:p>
    <w:p>
      <w:pPr>
        <w:pStyle w:val="56"/>
        <w:numPr>
          <w:ilvl w:val="0"/>
          <w:numId w:val="0"/>
        </w:numPr>
        <w:tabs>
          <w:tab w:val="left" w:pos="2760"/>
        </w:tabs>
        <w:spacing w:line="360" w:lineRule="auto"/>
        <w:jc w:val="both"/>
        <w:rPr>
          <w:rFonts w:ascii="仿宋" w:hAnsi="仿宋" w:eastAsia="仿宋" w:cs="宋体"/>
          <w:color w:val="000000"/>
          <w:sz w:val="24"/>
          <w:szCs w:val="24"/>
        </w:rPr>
      </w:pPr>
      <w:bookmarkStart w:id="10" w:name="_Toc17999560"/>
      <w:r>
        <w:rPr>
          <w:rFonts w:hint="eastAsia" w:ascii="仿宋" w:hAnsi="仿宋" w:eastAsia="仿宋" w:cs="宋体"/>
          <w:color w:val="000000"/>
          <w:sz w:val="24"/>
          <w:szCs w:val="24"/>
        </w:rPr>
        <w:t>表八  验收监测结论</w:t>
      </w:r>
      <w:bookmarkEnd w:id="10"/>
    </w:p>
    <w:tbl>
      <w:tblPr>
        <w:tblStyle w:val="43"/>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22" w:type="dxa"/>
            <w:vAlign w:val="top"/>
          </w:tcPr>
          <w:p>
            <w:pPr>
              <w:autoSpaceDE w:val="0"/>
              <w:spacing w:before="312" w:beforeLines="100" w:after="0" w:line="360" w:lineRule="auto"/>
              <w:rPr>
                <w:rFonts w:ascii="Times New Roman" w:hAnsi="Times New Roman" w:eastAsia="宋体"/>
                <w:b/>
                <w:bCs/>
                <w:color w:val="000000"/>
                <w:sz w:val="24"/>
                <w:szCs w:val="24"/>
              </w:rPr>
            </w:pPr>
            <w:r>
              <w:rPr>
                <w:rFonts w:ascii="Times New Roman" w:hAnsi="Times New Roman" w:eastAsia="宋体"/>
                <w:b/>
                <w:bCs/>
                <w:color w:val="000000"/>
                <w:sz w:val="24"/>
                <w:szCs w:val="24"/>
              </w:rPr>
              <w:t>一、环保设施运行效果监测结果</w:t>
            </w:r>
          </w:p>
          <w:p>
            <w:pPr>
              <w:autoSpaceDE w:val="0"/>
              <w:spacing w:after="0" w:line="360" w:lineRule="auto"/>
              <w:ind w:firstLine="482" w:firstLineChars="200"/>
              <w:rPr>
                <w:rFonts w:ascii="Times New Roman" w:hAnsi="Times New Roman" w:eastAsia="宋体"/>
                <w:b/>
                <w:bCs/>
                <w:color w:val="000000"/>
                <w:sz w:val="24"/>
                <w:szCs w:val="24"/>
              </w:rPr>
            </w:pPr>
            <w:r>
              <w:rPr>
                <w:rFonts w:ascii="Times New Roman" w:hAnsi="Times New Roman" w:eastAsia="宋体"/>
                <w:b/>
                <w:bCs/>
                <w:color w:val="000000"/>
                <w:sz w:val="24"/>
                <w:szCs w:val="24"/>
              </w:rPr>
              <w:t>1、废气</w:t>
            </w:r>
          </w:p>
          <w:p>
            <w:pPr>
              <w:autoSpaceDE w:val="0"/>
              <w:spacing w:before="156" w:beforeLines="50" w:after="0" w:line="360" w:lineRule="auto"/>
              <w:ind w:firstLine="482" w:firstLineChars="200"/>
              <w:rPr>
                <w:rFonts w:ascii="Times New Roman" w:hAnsi="Times New Roman" w:eastAsia="宋体"/>
                <w:b/>
                <w:bCs/>
                <w:color w:val="000000"/>
                <w:sz w:val="24"/>
                <w:szCs w:val="24"/>
              </w:rPr>
            </w:pPr>
            <w:r>
              <w:rPr>
                <w:rFonts w:ascii="Times New Roman" w:hAnsi="Times New Roman" w:eastAsia="宋体"/>
                <w:b/>
                <w:bCs/>
                <w:color w:val="000000"/>
                <w:sz w:val="24"/>
                <w:szCs w:val="24"/>
              </w:rPr>
              <w:t>无组织废气监测结果</w:t>
            </w:r>
          </w:p>
          <w:p>
            <w:pPr>
              <w:widowControl w:val="0"/>
              <w:adjustRightInd/>
              <w:snapToGrid/>
              <w:spacing w:after="0" w:line="360" w:lineRule="auto"/>
              <w:ind w:firstLine="480" w:firstLineChars="200"/>
              <w:rPr>
                <w:rFonts w:ascii="Times New Roman" w:hAnsi="Times New Roman" w:eastAsia="宋体"/>
                <w:color w:val="000000"/>
                <w:sz w:val="24"/>
                <w:szCs w:val="24"/>
              </w:rPr>
            </w:pPr>
            <w:r>
              <w:rPr>
                <w:rFonts w:hint="eastAsia" w:ascii="Times New Roman" w:hAnsi="Times New Roman" w:eastAsia="宋体"/>
                <w:color w:val="000000"/>
                <w:kern w:val="2"/>
                <w:sz w:val="24"/>
                <w:szCs w:val="24"/>
              </w:rPr>
              <w:t>工业废水处理站厂界下风向</w:t>
            </w:r>
            <w:r>
              <w:rPr>
                <w:rFonts w:ascii="Times New Roman" w:hAnsi="Times New Roman" w:eastAsia="宋体"/>
                <w:color w:val="000000"/>
                <w:sz w:val="24"/>
                <w:szCs w:val="24"/>
              </w:rPr>
              <w:t>无组织</w:t>
            </w:r>
            <w:r>
              <w:rPr>
                <w:rFonts w:hint="eastAsia" w:ascii="Times New Roman" w:hAnsi="Times New Roman" w:eastAsia="宋体"/>
                <w:color w:val="000000"/>
                <w:sz w:val="24"/>
                <w:szCs w:val="24"/>
              </w:rPr>
              <w:t>氨</w:t>
            </w:r>
            <w:r>
              <w:rPr>
                <w:rFonts w:ascii="Times New Roman" w:hAnsi="Times New Roman" w:eastAsia="宋体"/>
                <w:color w:val="000000"/>
                <w:sz w:val="24"/>
                <w:szCs w:val="24"/>
              </w:rPr>
              <w:t>排放浓度范围为：0.06-0.21</w:t>
            </w:r>
            <w:r>
              <w:rPr>
                <w:rFonts w:ascii="Times New Roman" w:hAnsi="Times New Roman" w:eastAsia="宋体"/>
                <w:bCs/>
                <w:color w:val="000000"/>
                <w:sz w:val="24"/>
                <w:szCs w:val="24"/>
              </w:rPr>
              <w:t>mg/m³</w:t>
            </w:r>
            <w:r>
              <w:rPr>
                <w:rFonts w:ascii="Times New Roman" w:hAnsi="Times New Roman" w:eastAsia="宋体"/>
                <w:color w:val="000000"/>
                <w:sz w:val="24"/>
                <w:szCs w:val="24"/>
              </w:rPr>
              <w:t>，无组织</w:t>
            </w:r>
            <w:r>
              <w:rPr>
                <w:rFonts w:hint="eastAsia" w:ascii="Times New Roman" w:hAnsi="Times New Roman" w:eastAsia="宋体"/>
                <w:color w:val="000000"/>
                <w:sz w:val="24"/>
                <w:szCs w:val="24"/>
              </w:rPr>
              <w:t>硫化氢</w:t>
            </w:r>
            <w:r>
              <w:rPr>
                <w:rFonts w:ascii="Times New Roman" w:hAnsi="Times New Roman" w:eastAsia="宋体"/>
                <w:color w:val="000000"/>
                <w:sz w:val="24"/>
                <w:szCs w:val="24"/>
              </w:rPr>
              <w:t>排放浓度范围为：0.004 -0.007</w:t>
            </w:r>
            <w:r>
              <w:rPr>
                <w:rFonts w:ascii="Times New Roman" w:hAnsi="Times New Roman" w:eastAsia="宋体"/>
                <w:bCs/>
                <w:color w:val="000000"/>
                <w:sz w:val="24"/>
                <w:szCs w:val="24"/>
              </w:rPr>
              <w:t>mg/m³</w:t>
            </w:r>
            <w:r>
              <w:rPr>
                <w:rFonts w:ascii="Times New Roman" w:hAnsi="Times New Roman" w:eastAsia="宋体"/>
                <w:color w:val="000000"/>
                <w:sz w:val="24"/>
                <w:szCs w:val="24"/>
              </w:rPr>
              <w:t>，</w:t>
            </w:r>
            <w:r>
              <w:rPr>
                <w:rFonts w:hint="eastAsia" w:ascii="Times New Roman" w:hAnsi="Times New Roman" w:eastAsia="宋体"/>
                <w:color w:val="000000"/>
                <w:sz w:val="24"/>
                <w:szCs w:val="24"/>
              </w:rPr>
              <w:t>监控点3</w:t>
            </w:r>
            <w:r>
              <w:rPr>
                <w:rFonts w:ascii="Times New Roman" w:hAnsi="Times New Roman" w:eastAsia="宋体"/>
                <w:color w:val="000000"/>
                <w:sz w:val="24"/>
                <w:szCs w:val="24"/>
              </w:rPr>
              <w:t>#</w:t>
            </w:r>
            <w:r>
              <w:rPr>
                <w:rFonts w:hint="eastAsia" w:ascii="Times New Roman" w:hAnsi="Times New Roman" w:eastAsia="宋体"/>
                <w:color w:val="000000"/>
                <w:sz w:val="24"/>
                <w:szCs w:val="24"/>
              </w:rPr>
              <w:t>和监控点4</w:t>
            </w:r>
            <w:r>
              <w:rPr>
                <w:rFonts w:ascii="Times New Roman" w:hAnsi="Times New Roman" w:eastAsia="宋体"/>
                <w:color w:val="000000"/>
                <w:sz w:val="24"/>
                <w:szCs w:val="24"/>
              </w:rPr>
              <w:t>#无组织</w:t>
            </w:r>
            <w:r>
              <w:rPr>
                <w:rFonts w:hint="eastAsia" w:ascii="Times New Roman" w:hAnsi="Times New Roman" w:eastAsia="宋体"/>
                <w:color w:val="000000"/>
                <w:sz w:val="24"/>
                <w:szCs w:val="24"/>
              </w:rPr>
              <w:t>臭气</w:t>
            </w:r>
            <w:r>
              <w:rPr>
                <w:rFonts w:ascii="Times New Roman" w:hAnsi="Times New Roman" w:eastAsia="宋体"/>
                <w:color w:val="000000"/>
                <w:sz w:val="24"/>
                <w:szCs w:val="24"/>
              </w:rPr>
              <w:t>排放浓度</w:t>
            </w:r>
            <w:r>
              <w:rPr>
                <w:rFonts w:hint="eastAsia" w:ascii="Times New Roman" w:hAnsi="Times New Roman" w:eastAsia="宋体"/>
                <w:color w:val="000000"/>
                <w:sz w:val="24"/>
                <w:szCs w:val="24"/>
              </w:rPr>
              <w:t>＜1</w:t>
            </w:r>
            <w:r>
              <w:rPr>
                <w:rFonts w:ascii="Times New Roman" w:hAnsi="Times New Roman" w:eastAsia="宋体"/>
                <w:color w:val="000000"/>
                <w:sz w:val="24"/>
                <w:szCs w:val="24"/>
              </w:rPr>
              <w:t>0</w:t>
            </w:r>
            <w:r>
              <w:rPr>
                <w:rFonts w:hint="eastAsia" w:ascii="Times New Roman" w:hAnsi="Times New Roman" w:eastAsia="宋体"/>
                <w:color w:val="000000"/>
                <w:sz w:val="24"/>
                <w:szCs w:val="24"/>
              </w:rPr>
              <w:t>，监控点</w:t>
            </w:r>
            <w:r>
              <w:rPr>
                <w:rFonts w:ascii="Times New Roman" w:hAnsi="Times New Roman" w:eastAsia="宋体"/>
                <w:color w:val="000000"/>
                <w:sz w:val="24"/>
                <w:szCs w:val="24"/>
              </w:rPr>
              <w:t>1#</w:t>
            </w:r>
            <w:r>
              <w:rPr>
                <w:rFonts w:hint="eastAsia" w:ascii="Times New Roman" w:hAnsi="Times New Roman" w:eastAsia="宋体"/>
                <w:color w:val="000000"/>
                <w:sz w:val="24"/>
                <w:szCs w:val="24"/>
              </w:rPr>
              <w:t>和监控点</w:t>
            </w:r>
            <w:r>
              <w:rPr>
                <w:rFonts w:ascii="Times New Roman" w:hAnsi="Times New Roman" w:eastAsia="宋体"/>
                <w:color w:val="000000"/>
                <w:sz w:val="24"/>
                <w:szCs w:val="24"/>
              </w:rPr>
              <w:t>2#无组织</w:t>
            </w:r>
            <w:r>
              <w:rPr>
                <w:rFonts w:hint="eastAsia" w:ascii="Times New Roman" w:hAnsi="Times New Roman" w:eastAsia="宋体"/>
                <w:color w:val="000000"/>
                <w:sz w:val="24"/>
                <w:szCs w:val="24"/>
              </w:rPr>
              <w:t>臭气</w:t>
            </w:r>
            <w:r>
              <w:rPr>
                <w:rFonts w:ascii="Times New Roman" w:hAnsi="Times New Roman" w:eastAsia="宋体"/>
                <w:color w:val="000000"/>
                <w:sz w:val="24"/>
                <w:szCs w:val="24"/>
              </w:rPr>
              <w:t>排放浓度</w:t>
            </w:r>
            <w:r>
              <w:rPr>
                <w:rFonts w:hint="eastAsia" w:ascii="Times New Roman" w:hAnsi="Times New Roman" w:eastAsia="宋体"/>
                <w:color w:val="000000"/>
                <w:sz w:val="24"/>
                <w:szCs w:val="24"/>
              </w:rPr>
              <w:t>＜</w:t>
            </w:r>
            <w:r>
              <w:rPr>
                <w:rFonts w:ascii="Times New Roman" w:hAnsi="Times New Roman" w:eastAsia="宋体"/>
                <w:color w:val="000000"/>
                <w:sz w:val="24"/>
                <w:szCs w:val="24"/>
              </w:rPr>
              <w:t>20</w:t>
            </w:r>
            <w:r>
              <w:rPr>
                <w:rFonts w:hint="eastAsia" w:ascii="Times New Roman" w:hAnsi="Times New Roman" w:eastAsia="宋体"/>
                <w:color w:val="000000"/>
                <w:sz w:val="24"/>
                <w:szCs w:val="24"/>
              </w:rPr>
              <w:t>满足，均《城镇污水处理厂污染物排放标准》（GB18918-2002）表5中二级排放标准，</w:t>
            </w:r>
            <w:r>
              <w:rPr>
                <w:rFonts w:ascii="Times New Roman" w:hAnsi="Times New Roman" w:eastAsia="宋体"/>
                <w:bCs/>
                <w:color w:val="000000"/>
                <w:sz w:val="24"/>
                <w:szCs w:val="24"/>
              </w:rPr>
              <w:t>达标率100%。</w:t>
            </w:r>
          </w:p>
          <w:p>
            <w:pPr>
              <w:autoSpaceDE w:val="0"/>
              <w:spacing w:after="0" w:line="360" w:lineRule="auto"/>
              <w:ind w:firstLine="482" w:firstLineChars="200"/>
              <w:rPr>
                <w:rFonts w:ascii="Times New Roman" w:hAnsi="Times New Roman" w:eastAsia="宋体"/>
                <w:b/>
                <w:bCs/>
                <w:color w:val="000000"/>
                <w:sz w:val="24"/>
                <w:szCs w:val="24"/>
              </w:rPr>
            </w:pPr>
            <w:r>
              <w:rPr>
                <w:rFonts w:ascii="Times New Roman" w:hAnsi="Times New Roman" w:eastAsia="宋体"/>
                <w:b/>
                <w:bCs/>
                <w:color w:val="000000"/>
                <w:sz w:val="24"/>
                <w:szCs w:val="24"/>
              </w:rPr>
              <w:t>2、噪声</w:t>
            </w:r>
          </w:p>
          <w:p>
            <w:pPr>
              <w:autoSpaceDE w:val="0"/>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kern w:val="2"/>
                <w:sz w:val="24"/>
                <w:szCs w:val="24"/>
              </w:rPr>
              <w:t>1#</w:t>
            </w:r>
            <w:r>
              <w:rPr>
                <w:rFonts w:hint="eastAsia" w:ascii="Times New Roman" w:hAnsi="Times New Roman" w:eastAsia="宋体"/>
                <w:color w:val="000000"/>
                <w:kern w:val="2"/>
                <w:sz w:val="24"/>
                <w:szCs w:val="24"/>
              </w:rPr>
              <w:t>-</w:t>
            </w:r>
            <w:r>
              <w:rPr>
                <w:rFonts w:ascii="Times New Roman" w:hAnsi="Times New Roman" w:eastAsia="宋体"/>
                <w:color w:val="000000"/>
                <w:kern w:val="2"/>
                <w:sz w:val="24"/>
                <w:szCs w:val="24"/>
              </w:rPr>
              <w:t>10#</w:t>
            </w:r>
            <w:r>
              <w:rPr>
                <w:rFonts w:hint="eastAsia" w:ascii="Times New Roman" w:hAnsi="Times New Roman" w:eastAsia="宋体"/>
                <w:color w:val="000000"/>
                <w:kern w:val="2"/>
                <w:sz w:val="24"/>
                <w:szCs w:val="24"/>
              </w:rPr>
              <w:t>点位</w:t>
            </w:r>
            <w:r>
              <w:rPr>
                <w:rFonts w:ascii="Times New Roman" w:hAnsi="Times New Roman" w:eastAsia="宋体"/>
                <w:color w:val="000000"/>
                <w:kern w:val="2"/>
                <w:sz w:val="24"/>
                <w:szCs w:val="24"/>
              </w:rPr>
              <w:t>噪声监测</w:t>
            </w:r>
            <w:r>
              <w:rPr>
                <w:rFonts w:hint="eastAsia" w:ascii="Times New Roman" w:hAnsi="Times New Roman" w:eastAsia="宋体"/>
                <w:color w:val="000000"/>
                <w:kern w:val="2"/>
                <w:sz w:val="24"/>
                <w:szCs w:val="24"/>
              </w:rPr>
              <w:t>结果表明：</w:t>
            </w:r>
            <w:r>
              <w:rPr>
                <w:rFonts w:ascii="Times New Roman" w:hAnsi="Times New Roman" w:eastAsia="宋体"/>
                <w:color w:val="000000"/>
                <w:sz w:val="24"/>
                <w:szCs w:val="24"/>
              </w:rPr>
              <w:t>厂界噪声范围为昼间：59.3-64.3dB（A），夜间：51.3-54.5dB（A）</w:t>
            </w:r>
            <w:r>
              <w:rPr>
                <w:rFonts w:hint="eastAsia" w:ascii="Times New Roman" w:hAnsi="Times New Roman" w:eastAsia="宋体"/>
                <w:color w:val="000000"/>
                <w:sz w:val="24"/>
                <w:szCs w:val="24"/>
              </w:rPr>
              <w:t>，</w:t>
            </w:r>
            <w:r>
              <w:rPr>
                <w:rFonts w:ascii="Times New Roman" w:hAnsi="Times New Roman" w:eastAsia="宋体"/>
                <w:color w:val="000000"/>
                <w:kern w:val="2"/>
                <w:sz w:val="24"/>
                <w:szCs w:val="24"/>
              </w:rPr>
              <w:t>满足</w:t>
            </w:r>
            <w:r>
              <w:rPr>
                <w:rFonts w:hint="eastAsia" w:ascii="Times New Roman" w:hAnsi="Times New Roman" w:eastAsia="宋体"/>
                <w:color w:val="000000"/>
                <w:kern w:val="2"/>
                <w:sz w:val="24"/>
                <w:szCs w:val="24"/>
              </w:rPr>
              <w:t>《工业企业厂界环境噪声排放标准》（GB12348-2008）</w:t>
            </w:r>
            <w:r>
              <w:rPr>
                <w:rFonts w:ascii="Times New Roman" w:hAnsi="Times New Roman" w:eastAsia="宋体"/>
                <w:color w:val="000000"/>
                <w:kern w:val="2"/>
                <w:sz w:val="24"/>
                <w:szCs w:val="24"/>
              </w:rPr>
              <w:t>3 类标准</w:t>
            </w:r>
            <w:r>
              <w:rPr>
                <w:rFonts w:ascii="Times New Roman" w:hAnsi="Times New Roman" w:eastAsia="宋体"/>
                <w:color w:val="000000"/>
                <w:sz w:val="24"/>
                <w:szCs w:val="24"/>
              </w:rPr>
              <w:t>。</w:t>
            </w:r>
          </w:p>
          <w:p>
            <w:pPr>
              <w:autoSpaceDE w:val="0"/>
              <w:spacing w:after="0" w:line="360" w:lineRule="auto"/>
              <w:ind w:firstLine="482" w:firstLineChars="200"/>
              <w:rPr>
                <w:rFonts w:ascii="Times New Roman" w:hAnsi="Times New Roman" w:eastAsia="宋体"/>
                <w:b/>
                <w:bCs/>
                <w:color w:val="000000"/>
                <w:sz w:val="24"/>
                <w:szCs w:val="24"/>
              </w:rPr>
            </w:pPr>
            <w:r>
              <w:rPr>
                <w:rFonts w:hint="eastAsia" w:ascii="Times New Roman" w:hAnsi="Times New Roman" w:eastAsia="宋体"/>
                <w:b/>
                <w:bCs/>
                <w:color w:val="000000"/>
                <w:sz w:val="24"/>
                <w:szCs w:val="24"/>
              </w:rPr>
              <w:t>3</w:t>
            </w:r>
            <w:r>
              <w:rPr>
                <w:rFonts w:ascii="Times New Roman" w:hAnsi="Times New Roman" w:eastAsia="宋体"/>
                <w:b/>
                <w:bCs/>
                <w:color w:val="000000"/>
                <w:sz w:val="24"/>
                <w:szCs w:val="24"/>
              </w:rPr>
              <w:t>、</w:t>
            </w:r>
            <w:r>
              <w:rPr>
                <w:rFonts w:hint="eastAsia" w:ascii="Times New Roman" w:hAnsi="Times New Roman" w:eastAsia="宋体"/>
                <w:b/>
                <w:bCs/>
                <w:color w:val="000000"/>
                <w:sz w:val="24"/>
                <w:szCs w:val="24"/>
              </w:rPr>
              <w:t>废水</w:t>
            </w:r>
          </w:p>
          <w:p>
            <w:pPr>
              <w:pStyle w:val="2"/>
              <w:spacing w:beforeLines="0" w:after="0" w:line="360" w:lineRule="auto"/>
              <w:ind w:firstLine="480" w:firstLineChars="200"/>
              <w:jc w:val="both"/>
              <w:rPr>
                <w:rFonts w:ascii="Times New Roman" w:hAnsi="Times New Roman" w:eastAsia="宋体"/>
                <w:color w:val="000000"/>
                <w:spacing w:val="0"/>
                <w:sz w:val="24"/>
                <w:szCs w:val="24"/>
              </w:rPr>
            </w:pPr>
            <w:r>
              <w:rPr>
                <w:rFonts w:hint="eastAsia" w:ascii="宋体" w:hAnsi="宋体" w:eastAsia="宋体"/>
                <w:color w:val="000000"/>
                <w:spacing w:val="0"/>
                <w:sz w:val="24"/>
                <w:szCs w:val="24"/>
              </w:rPr>
              <w:t>本次污水出水水质监测结果表明：</w:t>
            </w:r>
            <w:r>
              <w:rPr>
                <w:rFonts w:ascii="Times New Roman" w:hAnsi="Times New Roman" w:eastAsia="宋体"/>
                <w:color w:val="000000"/>
                <w:spacing w:val="0"/>
                <w:sz w:val="24"/>
                <w:szCs w:val="24"/>
              </w:rPr>
              <w:t>pH</w:t>
            </w:r>
            <w:r>
              <w:rPr>
                <w:rFonts w:hint="eastAsia" w:ascii="Times New Roman" w:hAnsi="Times New Roman" w:eastAsia="宋体"/>
                <w:color w:val="000000"/>
                <w:spacing w:val="0"/>
                <w:sz w:val="24"/>
                <w:szCs w:val="24"/>
              </w:rPr>
              <w:t>为</w:t>
            </w:r>
            <w:r>
              <w:rPr>
                <w:rFonts w:ascii="Times New Roman" w:hAnsi="Times New Roman" w:eastAsia="宋体"/>
                <w:color w:val="000000"/>
                <w:spacing w:val="0"/>
                <w:sz w:val="24"/>
                <w:szCs w:val="24"/>
              </w:rPr>
              <w:t>7.0</w:t>
            </w:r>
            <w:r>
              <w:rPr>
                <w:rFonts w:hint="eastAsia" w:ascii="Times New Roman" w:hAnsi="Times New Roman" w:eastAsia="宋体"/>
                <w:color w:val="000000"/>
                <w:spacing w:val="0"/>
                <w:sz w:val="24"/>
                <w:szCs w:val="24"/>
              </w:rPr>
              <w:t>~</w:t>
            </w:r>
            <w:r>
              <w:rPr>
                <w:rFonts w:ascii="Times New Roman" w:hAnsi="Times New Roman" w:eastAsia="宋体"/>
                <w:color w:val="000000"/>
                <w:spacing w:val="0"/>
                <w:sz w:val="24"/>
                <w:szCs w:val="24"/>
              </w:rPr>
              <w:t>7.7</w:t>
            </w:r>
            <w:r>
              <w:rPr>
                <w:rFonts w:hint="eastAsia" w:ascii="Times New Roman" w:hAnsi="Times New Roman" w:eastAsia="宋体"/>
                <w:color w:val="000000"/>
                <w:spacing w:val="0"/>
                <w:sz w:val="24"/>
                <w:szCs w:val="24"/>
              </w:rPr>
              <w:t>，化学需氧量（C</w:t>
            </w:r>
            <w:r>
              <w:rPr>
                <w:rFonts w:ascii="Times New Roman" w:hAnsi="Times New Roman" w:eastAsia="宋体"/>
                <w:color w:val="000000"/>
                <w:spacing w:val="0"/>
                <w:sz w:val="24"/>
                <w:szCs w:val="24"/>
              </w:rPr>
              <w:t>AD</w:t>
            </w:r>
            <w:r>
              <w:rPr>
                <w:rFonts w:hint="eastAsia" w:ascii="Times New Roman" w:hAnsi="Times New Roman" w:eastAsia="宋体"/>
                <w:color w:val="000000"/>
                <w:spacing w:val="0"/>
                <w:sz w:val="24"/>
                <w:szCs w:val="24"/>
              </w:rPr>
              <w:t>）为</w:t>
            </w:r>
            <w:r>
              <w:rPr>
                <w:rFonts w:ascii="Times New Roman" w:hAnsi="Times New Roman" w:eastAsia="宋体"/>
                <w:color w:val="000000"/>
                <w:spacing w:val="0"/>
                <w:sz w:val="24"/>
                <w:szCs w:val="24"/>
              </w:rPr>
              <w:t>20</w:t>
            </w:r>
            <w:r>
              <w:rPr>
                <w:rFonts w:hint="eastAsia" w:ascii="Times New Roman" w:hAnsi="Times New Roman" w:eastAsia="宋体"/>
                <w:color w:val="000000"/>
                <w:spacing w:val="0"/>
                <w:sz w:val="24"/>
                <w:szCs w:val="24"/>
              </w:rPr>
              <w:t>~</w:t>
            </w:r>
            <w:r>
              <w:rPr>
                <w:rFonts w:ascii="Times New Roman" w:hAnsi="Times New Roman" w:eastAsia="宋体"/>
                <w:color w:val="000000"/>
                <w:spacing w:val="0"/>
                <w:sz w:val="24"/>
                <w:szCs w:val="24"/>
              </w:rPr>
              <w:t>52</w:t>
            </w:r>
            <w:r>
              <w:rPr>
                <w:rFonts w:hint="eastAsia" w:ascii="Times New Roman" w:hAnsi="Times New Roman" w:eastAsia="宋体"/>
                <w:color w:val="000000"/>
                <w:spacing w:val="0"/>
                <w:sz w:val="24"/>
                <w:szCs w:val="24"/>
              </w:rPr>
              <w:t>mg/L，化学需氧量（C</w:t>
            </w:r>
            <w:r>
              <w:rPr>
                <w:rFonts w:ascii="Times New Roman" w:hAnsi="Times New Roman" w:eastAsia="宋体"/>
                <w:color w:val="000000"/>
                <w:spacing w:val="0"/>
                <w:sz w:val="24"/>
                <w:szCs w:val="24"/>
              </w:rPr>
              <w:t>AD</w:t>
            </w:r>
            <w:r>
              <w:rPr>
                <w:rFonts w:hint="eastAsia" w:ascii="Times New Roman" w:hAnsi="Times New Roman" w:eastAsia="宋体"/>
                <w:color w:val="000000"/>
                <w:spacing w:val="0"/>
                <w:sz w:val="24"/>
                <w:szCs w:val="24"/>
              </w:rPr>
              <w:t>）去除率为9</w:t>
            </w:r>
            <w:r>
              <w:rPr>
                <w:rFonts w:ascii="Times New Roman" w:hAnsi="Times New Roman" w:eastAsia="宋体"/>
                <w:color w:val="000000"/>
                <w:spacing w:val="0"/>
                <w:sz w:val="24"/>
                <w:szCs w:val="24"/>
              </w:rPr>
              <w:t>3.72%</w:t>
            </w:r>
            <w:r>
              <w:rPr>
                <w:rFonts w:hint="eastAsia" w:ascii="Times New Roman" w:hAnsi="Times New Roman" w:eastAsia="宋体"/>
                <w:color w:val="000000"/>
                <w:spacing w:val="0"/>
                <w:sz w:val="24"/>
                <w:szCs w:val="24"/>
              </w:rPr>
              <w:t>；氨氮为</w:t>
            </w:r>
            <w:r>
              <w:rPr>
                <w:rFonts w:ascii="Times New Roman" w:hAnsi="Times New Roman" w:eastAsia="宋体"/>
                <w:color w:val="000000"/>
                <w:spacing w:val="0"/>
                <w:sz w:val="24"/>
                <w:szCs w:val="24"/>
              </w:rPr>
              <w:t>2.67</w:t>
            </w:r>
            <w:r>
              <w:rPr>
                <w:rFonts w:hint="eastAsia" w:ascii="Times New Roman" w:hAnsi="Times New Roman" w:eastAsia="宋体"/>
                <w:color w:val="000000"/>
                <w:spacing w:val="0"/>
                <w:sz w:val="24"/>
                <w:szCs w:val="24"/>
              </w:rPr>
              <w:t>~</w:t>
            </w:r>
            <w:r>
              <w:rPr>
                <w:rFonts w:ascii="Times New Roman" w:hAnsi="Times New Roman" w:eastAsia="宋体"/>
                <w:color w:val="000000"/>
                <w:spacing w:val="0"/>
                <w:sz w:val="24"/>
                <w:szCs w:val="24"/>
              </w:rPr>
              <w:t>12</w:t>
            </w:r>
            <w:r>
              <w:rPr>
                <w:rFonts w:hint="eastAsia" w:ascii="Times New Roman" w:hAnsi="Times New Roman" w:eastAsia="宋体"/>
                <w:color w:val="000000"/>
                <w:spacing w:val="0"/>
                <w:sz w:val="24"/>
                <w:szCs w:val="24"/>
              </w:rPr>
              <w:t>mg/L，氨氮效率为9</w:t>
            </w:r>
            <w:r>
              <w:rPr>
                <w:rFonts w:ascii="Times New Roman" w:hAnsi="Times New Roman" w:eastAsia="宋体"/>
                <w:color w:val="000000"/>
                <w:spacing w:val="0"/>
                <w:sz w:val="24"/>
                <w:szCs w:val="24"/>
              </w:rPr>
              <w:t>3.51%</w:t>
            </w:r>
            <w:r>
              <w:rPr>
                <w:rFonts w:hint="eastAsia" w:ascii="Times New Roman" w:hAnsi="Times New Roman" w:eastAsia="宋体"/>
                <w:color w:val="000000"/>
                <w:spacing w:val="0"/>
                <w:sz w:val="24"/>
                <w:szCs w:val="24"/>
              </w:rPr>
              <w:t>；总氮为</w:t>
            </w:r>
            <w:r>
              <w:rPr>
                <w:rFonts w:ascii="Times New Roman" w:hAnsi="Times New Roman" w:eastAsia="宋体"/>
                <w:color w:val="000000"/>
                <w:spacing w:val="0"/>
                <w:sz w:val="24"/>
                <w:szCs w:val="24"/>
              </w:rPr>
              <w:t>35.4</w:t>
            </w:r>
            <w:r>
              <w:rPr>
                <w:rFonts w:hint="eastAsia" w:ascii="Times New Roman" w:hAnsi="Times New Roman" w:eastAsia="宋体"/>
                <w:color w:val="000000"/>
                <w:spacing w:val="0"/>
                <w:sz w:val="24"/>
                <w:szCs w:val="24"/>
              </w:rPr>
              <w:t>~</w:t>
            </w:r>
            <w:r>
              <w:rPr>
                <w:rFonts w:ascii="Times New Roman" w:hAnsi="Times New Roman" w:eastAsia="宋体"/>
                <w:color w:val="000000"/>
                <w:spacing w:val="0"/>
                <w:sz w:val="24"/>
                <w:szCs w:val="24"/>
              </w:rPr>
              <w:t>38.8</w:t>
            </w:r>
            <w:r>
              <w:rPr>
                <w:rFonts w:hint="eastAsia" w:ascii="Times New Roman" w:hAnsi="Times New Roman" w:eastAsia="宋体"/>
                <w:color w:val="000000"/>
                <w:spacing w:val="0"/>
                <w:sz w:val="24"/>
                <w:szCs w:val="24"/>
              </w:rPr>
              <w:t>mg/L，氨氮效率为9</w:t>
            </w:r>
            <w:r>
              <w:rPr>
                <w:rFonts w:ascii="Times New Roman" w:hAnsi="Times New Roman" w:eastAsia="宋体"/>
                <w:color w:val="000000"/>
                <w:spacing w:val="0"/>
                <w:sz w:val="24"/>
                <w:szCs w:val="24"/>
              </w:rPr>
              <w:t>7.4%</w:t>
            </w:r>
            <w:r>
              <w:rPr>
                <w:rFonts w:hint="eastAsia" w:ascii="Times New Roman" w:hAnsi="Times New Roman" w:eastAsia="宋体"/>
                <w:color w:val="000000"/>
                <w:spacing w:val="0"/>
                <w:sz w:val="24"/>
                <w:szCs w:val="24"/>
              </w:rPr>
              <w:t>；满足后续处理设施</w:t>
            </w:r>
            <w:r>
              <w:rPr>
                <w:rFonts w:ascii="Times New Roman" w:hAnsi="Times New Roman" w:eastAsia="宋体"/>
                <w:color w:val="000000"/>
                <w:spacing w:val="0"/>
                <w:sz w:val="24"/>
                <w:szCs w:val="24"/>
              </w:rPr>
              <w:t>pH</w:t>
            </w:r>
            <w:r>
              <w:rPr>
                <w:rFonts w:hint="eastAsia" w:ascii="Times New Roman" w:hAnsi="Times New Roman" w:eastAsia="宋体"/>
                <w:color w:val="000000"/>
                <w:spacing w:val="0"/>
                <w:sz w:val="24"/>
                <w:szCs w:val="24"/>
              </w:rPr>
              <w:t>为</w:t>
            </w:r>
            <w:r>
              <w:rPr>
                <w:rFonts w:ascii="Times New Roman" w:hAnsi="Times New Roman" w:eastAsia="宋体"/>
                <w:color w:val="000000"/>
                <w:spacing w:val="0"/>
                <w:sz w:val="24"/>
                <w:szCs w:val="24"/>
              </w:rPr>
              <w:t>7.0</w:t>
            </w:r>
            <w:r>
              <w:rPr>
                <w:rFonts w:hint="eastAsia" w:ascii="Times New Roman" w:hAnsi="Times New Roman" w:eastAsia="宋体"/>
                <w:color w:val="000000"/>
                <w:spacing w:val="0"/>
                <w:sz w:val="24"/>
                <w:szCs w:val="24"/>
              </w:rPr>
              <w:t>~</w:t>
            </w:r>
            <w:r>
              <w:rPr>
                <w:rFonts w:ascii="Times New Roman" w:hAnsi="Times New Roman" w:eastAsia="宋体"/>
                <w:color w:val="000000"/>
                <w:spacing w:val="0"/>
                <w:sz w:val="24"/>
                <w:szCs w:val="24"/>
              </w:rPr>
              <w:t>9.0</w:t>
            </w:r>
            <w:r>
              <w:rPr>
                <w:rFonts w:hint="eastAsia" w:ascii="Times New Roman" w:hAnsi="Times New Roman" w:eastAsia="宋体"/>
                <w:color w:val="000000"/>
                <w:spacing w:val="0"/>
                <w:sz w:val="24"/>
                <w:szCs w:val="24"/>
              </w:rPr>
              <w:t>，化学需氧量（C</w:t>
            </w:r>
            <w:r>
              <w:rPr>
                <w:rFonts w:ascii="Times New Roman" w:hAnsi="Times New Roman" w:eastAsia="宋体"/>
                <w:color w:val="000000"/>
                <w:spacing w:val="0"/>
                <w:sz w:val="24"/>
                <w:szCs w:val="24"/>
              </w:rPr>
              <w:t>AD</w:t>
            </w:r>
            <w:r>
              <w:rPr>
                <w:rFonts w:hint="eastAsia" w:ascii="Times New Roman" w:hAnsi="Times New Roman" w:eastAsia="宋体"/>
                <w:color w:val="000000"/>
                <w:spacing w:val="0"/>
                <w:sz w:val="24"/>
                <w:szCs w:val="24"/>
              </w:rPr>
              <w:t>）</w:t>
            </w:r>
            <w:r>
              <w:rPr>
                <w:rFonts w:hint="eastAsia" w:ascii="宋体" w:hAnsi="宋体" w:eastAsia="宋体"/>
                <w:color w:val="000000"/>
                <w:spacing w:val="0"/>
                <w:sz w:val="24"/>
                <w:szCs w:val="24"/>
              </w:rPr>
              <w:t>≤</w:t>
            </w:r>
            <w:r>
              <w:rPr>
                <w:rFonts w:ascii="Times New Roman" w:hAnsi="Times New Roman" w:eastAsia="宋体"/>
                <w:color w:val="000000"/>
                <w:spacing w:val="0"/>
                <w:sz w:val="24"/>
                <w:szCs w:val="24"/>
              </w:rPr>
              <w:t>80</w:t>
            </w:r>
            <w:r>
              <w:rPr>
                <w:rFonts w:hint="eastAsia" w:ascii="Times New Roman" w:hAnsi="Times New Roman" w:eastAsia="宋体"/>
                <w:color w:val="000000"/>
                <w:spacing w:val="0"/>
                <w:sz w:val="24"/>
                <w:szCs w:val="24"/>
              </w:rPr>
              <w:t>mg/L，氨氮</w:t>
            </w:r>
            <w:r>
              <w:rPr>
                <w:rFonts w:hint="eastAsia" w:ascii="宋体" w:hAnsi="宋体" w:eastAsia="宋体"/>
                <w:color w:val="000000"/>
                <w:spacing w:val="0"/>
                <w:sz w:val="24"/>
                <w:szCs w:val="24"/>
              </w:rPr>
              <w:t>≤</w:t>
            </w:r>
            <w:r>
              <w:rPr>
                <w:rFonts w:hint="eastAsia" w:ascii="Times New Roman" w:hAnsi="Times New Roman" w:eastAsia="宋体"/>
                <w:color w:val="000000"/>
                <w:spacing w:val="0"/>
                <w:sz w:val="24"/>
                <w:szCs w:val="24"/>
              </w:rPr>
              <w:t>1</w:t>
            </w:r>
            <w:r>
              <w:rPr>
                <w:rFonts w:ascii="Times New Roman" w:hAnsi="Times New Roman" w:eastAsia="宋体"/>
                <w:color w:val="000000"/>
                <w:spacing w:val="0"/>
                <w:sz w:val="24"/>
                <w:szCs w:val="24"/>
              </w:rPr>
              <w:t>5</w:t>
            </w:r>
            <w:r>
              <w:rPr>
                <w:rFonts w:hint="eastAsia" w:ascii="Times New Roman" w:hAnsi="Times New Roman" w:eastAsia="宋体"/>
                <w:color w:val="000000"/>
                <w:spacing w:val="0"/>
                <w:sz w:val="24"/>
                <w:szCs w:val="24"/>
              </w:rPr>
              <w:t>mg/L，总氮</w:t>
            </w:r>
            <w:r>
              <w:rPr>
                <w:rFonts w:hint="eastAsia" w:ascii="宋体" w:hAnsi="宋体" w:eastAsia="宋体"/>
                <w:color w:val="000000"/>
                <w:spacing w:val="0"/>
                <w:sz w:val="24"/>
                <w:szCs w:val="24"/>
              </w:rPr>
              <w:t>≤</w:t>
            </w:r>
            <w:r>
              <w:rPr>
                <w:rFonts w:hint="eastAsia" w:ascii="Times New Roman" w:hAnsi="Times New Roman" w:eastAsia="宋体"/>
                <w:color w:val="000000"/>
                <w:spacing w:val="0"/>
                <w:sz w:val="24"/>
                <w:szCs w:val="24"/>
              </w:rPr>
              <w:t>4</w:t>
            </w:r>
            <w:r>
              <w:rPr>
                <w:rFonts w:ascii="Times New Roman" w:hAnsi="Times New Roman" w:eastAsia="宋体"/>
                <w:color w:val="000000"/>
                <w:spacing w:val="0"/>
                <w:sz w:val="24"/>
                <w:szCs w:val="24"/>
              </w:rPr>
              <w:t>0</w:t>
            </w:r>
            <w:r>
              <w:rPr>
                <w:rFonts w:hint="eastAsia" w:ascii="Times New Roman" w:hAnsi="Times New Roman" w:eastAsia="宋体"/>
                <w:color w:val="000000"/>
                <w:spacing w:val="0"/>
                <w:sz w:val="24"/>
                <w:szCs w:val="24"/>
              </w:rPr>
              <w:t>mg/L的进水水质要求。</w:t>
            </w:r>
          </w:p>
          <w:p>
            <w:pPr>
              <w:spacing w:after="0" w:line="360" w:lineRule="auto"/>
              <w:ind w:firstLine="482" w:firstLineChars="200"/>
              <w:rPr>
                <w:rFonts w:ascii="Times New Roman" w:hAnsi="Times New Roman" w:eastAsia="宋体"/>
                <w:b/>
                <w:color w:val="000000"/>
                <w:sz w:val="24"/>
                <w:szCs w:val="24"/>
              </w:rPr>
            </w:pPr>
            <w:r>
              <w:rPr>
                <w:rFonts w:hint="eastAsia" w:ascii="Times New Roman" w:hAnsi="Times New Roman" w:eastAsia="宋体"/>
                <w:b/>
                <w:color w:val="000000"/>
                <w:sz w:val="24"/>
                <w:szCs w:val="24"/>
              </w:rPr>
              <w:t>4</w:t>
            </w:r>
            <w:r>
              <w:rPr>
                <w:rFonts w:ascii="Times New Roman" w:hAnsi="Times New Roman" w:eastAsia="宋体"/>
                <w:b/>
                <w:color w:val="000000"/>
                <w:sz w:val="24"/>
                <w:szCs w:val="24"/>
              </w:rPr>
              <w:t>、固体废物</w:t>
            </w:r>
          </w:p>
          <w:p>
            <w:pPr>
              <w:spacing w:after="0" w:line="36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项目固废主要包括污水处理过程中产生的污泥以及职工生活垃圾，属于一般固废。污泥进入本项目浓缩池进行浓缩处理以降低污泥含水率及体积，浓缩后污泥送入污泥压滤间使用板框压滤机进行压滤脱水。压滤后的泥饼每天进行清运最终送往太钢2</w:t>
            </w:r>
            <w:r>
              <w:rPr>
                <w:rFonts w:ascii="Times New Roman" w:hAnsi="Times New Roman" w:eastAsia="宋体"/>
                <w:color w:val="000000"/>
                <w:sz w:val="24"/>
                <w:szCs w:val="24"/>
              </w:rPr>
              <w:t>×</w:t>
            </w:r>
            <w:r>
              <w:rPr>
                <w:rFonts w:hint="eastAsia" w:ascii="宋体" w:hAnsi="宋体" w:eastAsia="宋体"/>
                <w:color w:val="000000"/>
                <w:sz w:val="24"/>
                <w:szCs w:val="24"/>
              </w:rPr>
              <w:t>300MW燃煤机组混入电煤进行焚烧处理，处理量约为0.7万t/a，职工生活垃圾交环卫部门统一处理，处理量约为</w:t>
            </w:r>
            <w:r>
              <w:rPr>
                <w:rFonts w:ascii="宋体" w:hAnsi="宋体" w:eastAsia="宋体"/>
                <w:color w:val="000000"/>
                <w:sz w:val="24"/>
                <w:szCs w:val="24"/>
              </w:rPr>
              <w:t>2.8t/a</w:t>
            </w:r>
            <w:r>
              <w:rPr>
                <w:rFonts w:hint="eastAsia" w:ascii="宋体" w:hAnsi="宋体" w:eastAsia="宋体"/>
                <w:color w:val="000000"/>
                <w:sz w:val="24"/>
                <w:szCs w:val="24"/>
              </w:rPr>
              <w:t>。</w:t>
            </w:r>
          </w:p>
          <w:p>
            <w:pPr>
              <w:autoSpaceDE w:val="0"/>
              <w:spacing w:before="156" w:beforeLines="50" w:after="0" w:line="360" w:lineRule="auto"/>
              <w:rPr>
                <w:rFonts w:ascii="Times New Roman" w:hAnsi="Times New Roman" w:eastAsia="宋体"/>
                <w:b/>
                <w:color w:val="000000"/>
                <w:sz w:val="24"/>
                <w:szCs w:val="24"/>
              </w:rPr>
            </w:pPr>
            <w:r>
              <w:rPr>
                <w:rFonts w:ascii="Times New Roman" w:hAnsi="Times New Roman" w:eastAsia="宋体"/>
                <w:b/>
                <w:color w:val="000000"/>
                <w:sz w:val="24"/>
                <w:szCs w:val="24"/>
              </w:rPr>
              <w:t>二、总量</w:t>
            </w:r>
            <w:r>
              <w:rPr>
                <w:rFonts w:hint="eastAsia" w:ascii="Times New Roman" w:hAnsi="Times New Roman" w:eastAsia="宋体"/>
                <w:b/>
                <w:color w:val="000000"/>
                <w:sz w:val="24"/>
                <w:szCs w:val="24"/>
              </w:rPr>
              <w:t>控制和</w:t>
            </w:r>
            <w:r>
              <w:rPr>
                <w:rFonts w:ascii="Times New Roman" w:hAnsi="Times New Roman" w:eastAsia="宋体"/>
                <w:b/>
                <w:color w:val="000000"/>
                <w:sz w:val="24"/>
                <w:szCs w:val="24"/>
              </w:rPr>
              <w:t>核算</w:t>
            </w:r>
          </w:p>
          <w:p>
            <w:pPr>
              <w:spacing w:after="0" w:line="36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本项目废水不直接排放，为中间脱氮工序，后续仍有节水减排项目（已通过环保竣工验收），故本项目不涉及总量控制和核算。</w:t>
            </w:r>
          </w:p>
          <w:p>
            <w:pPr>
              <w:autoSpaceDE w:val="0"/>
              <w:spacing w:before="312" w:beforeLines="100" w:after="0" w:line="360" w:lineRule="auto"/>
              <w:rPr>
                <w:rFonts w:ascii="Times New Roman" w:hAnsi="Times New Roman" w:eastAsia="宋体"/>
                <w:b/>
                <w:bCs/>
                <w:color w:val="000000"/>
                <w:sz w:val="24"/>
                <w:szCs w:val="24"/>
              </w:rPr>
            </w:pPr>
            <w:r>
              <w:rPr>
                <w:rFonts w:ascii="Times New Roman" w:hAnsi="Times New Roman" w:eastAsia="宋体"/>
                <w:b/>
                <w:bCs/>
                <w:color w:val="000000"/>
                <w:sz w:val="24"/>
                <w:szCs w:val="24"/>
              </w:rPr>
              <w:t>三、环境管理</w:t>
            </w:r>
          </w:p>
          <w:p>
            <w:pPr>
              <w:autoSpaceDE w:val="0"/>
              <w:spacing w:line="360" w:lineRule="auto"/>
              <w:ind w:firstLine="480"/>
              <w:rPr>
                <w:rFonts w:ascii="Times New Roman" w:hAnsi="Times New Roman" w:eastAsia="宋体"/>
                <w:bCs/>
                <w:color w:val="000000"/>
                <w:sz w:val="24"/>
                <w:szCs w:val="24"/>
              </w:rPr>
            </w:pPr>
            <w:r>
              <w:rPr>
                <w:rFonts w:hint="eastAsia" w:ascii="Times New Roman" w:hAnsi="Times New Roman" w:eastAsia="宋体"/>
                <w:color w:val="000000"/>
                <w:kern w:val="2"/>
                <w:sz w:val="24"/>
                <w:szCs w:val="24"/>
              </w:rPr>
              <w:t>山西太钢不锈钢股份有限公司不锈钢产品结构升级改造配套水处理改造项目</w:t>
            </w:r>
            <w:r>
              <w:rPr>
                <w:rFonts w:ascii="Times New Roman" w:hAnsi="Times New Roman" w:eastAsia="宋体"/>
                <w:bCs/>
                <w:color w:val="000000"/>
                <w:sz w:val="24"/>
                <w:szCs w:val="24"/>
              </w:rPr>
              <w:t>环保审批手续齐全，工程各项环保审查、批复资料完整，主要环保设施（措施）按环评和批复要求建成</w:t>
            </w:r>
            <w:r>
              <w:rPr>
                <w:rFonts w:hint="eastAsia" w:ascii="Times New Roman" w:hAnsi="Times New Roman" w:eastAsia="宋体"/>
                <w:bCs/>
                <w:color w:val="000000"/>
                <w:sz w:val="24"/>
                <w:szCs w:val="24"/>
              </w:rPr>
              <w:t>，</w:t>
            </w:r>
            <w:r>
              <w:rPr>
                <w:rFonts w:ascii="Times New Roman" w:hAnsi="Times New Roman" w:eastAsia="宋体"/>
                <w:bCs/>
                <w:color w:val="000000"/>
                <w:sz w:val="24"/>
                <w:szCs w:val="24"/>
              </w:rPr>
              <w:t>环保设施（措施）完成率100%</w:t>
            </w:r>
            <w:r>
              <w:rPr>
                <w:rFonts w:hint="eastAsia" w:ascii="Times New Roman" w:hAnsi="Times New Roman" w:eastAsia="宋体"/>
                <w:bCs/>
                <w:color w:val="000000"/>
                <w:sz w:val="24"/>
                <w:szCs w:val="24"/>
              </w:rPr>
              <w:t>，</w:t>
            </w:r>
            <w:r>
              <w:rPr>
                <w:rFonts w:ascii="Times New Roman" w:hAnsi="Times New Roman" w:eastAsia="宋体"/>
                <w:bCs/>
                <w:color w:val="000000"/>
                <w:sz w:val="24"/>
                <w:szCs w:val="24"/>
              </w:rPr>
              <w:t>做到了主体工程与环保设施同时设计、同时施工、同时投入运行。</w:t>
            </w:r>
          </w:p>
          <w:p>
            <w:pPr>
              <w:autoSpaceDE w:val="0"/>
              <w:spacing w:before="156" w:beforeLines="50" w:line="360" w:lineRule="auto"/>
              <w:rPr>
                <w:rFonts w:ascii="Times New Roman" w:hAnsi="Times New Roman" w:eastAsia="宋体"/>
                <w:b/>
                <w:bCs/>
                <w:color w:val="000000"/>
                <w:sz w:val="24"/>
                <w:szCs w:val="24"/>
              </w:rPr>
            </w:pPr>
            <w:r>
              <w:rPr>
                <w:rFonts w:hint="eastAsia" w:ascii="Times New Roman" w:hAnsi="Times New Roman" w:eastAsia="宋体"/>
                <w:b/>
                <w:bCs/>
                <w:color w:val="000000"/>
                <w:sz w:val="24"/>
                <w:szCs w:val="24"/>
              </w:rPr>
              <w:t>四、社会影响调查结果</w:t>
            </w:r>
          </w:p>
          <w:p>
            <w:pPr>
              <w:autoSpaceDE w:val="0"/>
              <w:spacing w:before="156" w:beforeLines="50" w:line="360" w:lineRule="auto"/>
              <w:ind w:firstLine="480" w:firstLineChars="200"/>
              <w:rPr>
                <w:rFonts w:ascii="Times New Roman" w:hAnsi="Times New Roman" w:eastAsia="宋体"/>
                <w:color w:val="000000"/>
                <w:kern w:val="2"/>
                <w:sz w:val="24"/>
                <w:szCs w:val="24"/>
              </w:rPr>
            </w:pPr>
            <w:r>
              <w:rPr>
                <w:rFonts w:hint="eastAsia" w:ascii="Times New Roman" w:hAnsi="Times New Roman" w:eastAsia="宋体"/>
                <w:color w:val="000000"/>
                <w:sz w:val="24"/>
                <w:szCs w:val="24"/>
              </w:rPr>
              <w:t>本项目位于山西省太原市尖草坪街</w:t>
            </w:r>
            <w:r>
              <w:rPr>
                <w:rFonts w:ascii="Times New Roman" w:hAnsi="Times New Roman" w:eastAsia="宋体"/>
                <w:color w:val="000000"/>
                <w:sz w:val="24"/>
                <w:szCs w:val="24"/>
              </w:rPr>
              <w:t>2</w:t>
            </w:r>
            <w:r>
              <w:rPr>
                <w:rFonts w:hint="eastAsia" w:ascii="Times New Roman" w:hAnsi="Times New Roman" w:eastAsia="宋体"/>
                <w:color w:val="000000"/>
                <w:sz w:val="24"/>
                <w:szCs w:val="24"/>
              </w:rPr>
              <w:t>号山西太钢不锈钢股份有限公司厂区内，不涉及拆迁、安置问</w:t>
            </w:r>
            <w:r>
              <w:rPr>
                <w:rFonts w:hint="eastAsia" w:ascii="Times New Roman" w:hAnsi="Times New Roman" w:eastAsia="宋体"/>
                <w:color w:val="000000"/>
                <w:kern w:val="2"/>
                <w:sz w:val="24"/>
                <w:szCs w:val="24"/>
              </w:rPr>
              <w:t>题；项目区内没有自然保护区、珍惜动植物种群、重要水源地、文物古迹等敏感目标，对项目区周边社会环境影响较小.</w:t>
            </w:r>
          </w:p>
          <w:p>
            <w:pPr>
              <w:widowControl w:val="0"/>
              <w:adjustRightInd/>
              <w:snapToGrid/>
              <w:spacing w:before="62" w:beforeLines="20" w:after="0" w:line="360" w:lineRule="auto"/>
              <w:rPr>
                <w:rFonts w:ascii="Times New Roman" w:hAnsi="Times New Roman" w:eastAsia="宋体"/>
                <w:b/>
                <w:color w:val="000000"/>
                <w:sz w:val="24"/>
                <w:szCs w:val="24"/>
              </w:rPr>
            </w:pPr>
            <w:r>
              <w:rPr>
                <w:rFonts w:hint="eastAsia" w:ascii="Times New Roman" w:hAnsi="Times New Roman" w:eastAsia="宋体"/>
                <w:b/>
                <w:color w:val="000000"/>
                <w:sz w:val="24"/>
                <w:szCs w:val="24"/>
              </w:rPr>
              <w:t>五</w:t>
            </w:r>
            <w:r>
              <w:rPr>
                <w:rFonts w:ascii="Times New Roman" w:hAnsi="Times New Roman" w:eastAsia="宋体"/>
                <w:b/>
                <w:color w:val="000000"/>
                <w:sz w:val="24"/>
                <w:szCs w:val="24"/>
              </w:rPr>
              <w:t>、验收</w:t>
            </w:r>
            <w:r>
              <w:rPr>
                <w:rFonts w:hint="eastAsia" w:ascii="Times New Roman" w:hAnsi="Times New Roman" w:eastAsia="宋体"/>
                <w:b/>
                <w:color w:val="000000"/>
                <w:sz w:val="24"/>
                <w:szCs w:val="24"/>
              </w:rPr>
              <w:t>调查</w:t>
            </w:r>
            <w:r>
              <w:rPr>
                <w:rFonts w:ascii="Times New Roman" w:hAnsi="Times New Roman" w:eastAsia="宋体"/>
                <w:b/>
                <w:color w:val="000000"/>
                <w:sz w:val="24"/>
                <w:szCs w:val="24"/>
              </w:rPr>
              <w:t>结论</w:t>
            </w:r>
          </w:p>
          <w:p>
            <w:pPr>
              <w:spacing w:before="156" w:beforeLines="50" w:after="0" w:line="360" w:lineRule="auto"/>
              <w:ind w:firstLine="593" w:firstLineChars="247"/>
              <w:jc w:val="both"/>
              <w:rPr>
                <w:rFonts w:ascii="Times New Roman" w:hAnsi="Times New Roman" w:eastAsia="宋体"/>
                <w:bCs/>
                <w:color w:val="000000"/>
                <w:sz w:val="24"/>
                <w:szCs w:val="24"/>
              </w:rPr>
            </w:pPr>
            <w:r>
              <w:rPr>
                <w:rFonts w:hint="eastAsia" w:ascii="Times New Roman" w:hAnsi="Times New Roman" w:eastAsia="宋体"/>
                <w:bCs/>
                <w:color w:val="000000"/>
                <w:sz w:val="24"/>
                <w:szCs w:val="24"/>
              </w:rPr>
              <w:t>通过对</w:t>
            </w:r>
            <w:r>
              <w:rPr>
                <w:rFonts w:hint="eastAsia" w:ascii="Times New Roman" w:hAnsi="Times New Roman" w:eastAsia="宋体"/>
                <w:color w:val="000000"/>
                <w:kern w:val="2"/>
                <w:sz w:val="24"/>
                <w:szCs w:val="24"/>
              </w:rPr>
              <w:t>山西太钢不锈钢股份有限公司不锈钢产品结构升级改造配套水处理改造项目</w:t>
            </w:r>
            <w:r>
              <w:rPr>
                <w:rFonts w:hint="eastAsia" w:ascii="Times New Roman" w:hAnsi="Times New Roman" w:eastAsia="宋体"/>
                <w:bCs/>
                <w:color w:val="000000"/>
                <w:sz w:val="24"/>
                <w:szCs w:val="24"/>
              </w:rPr>
              <w:t>的现场监测和检查，经综合分析与评价得出结论如下：</w:t>
            </w:r>
          </w:p>
          <w:p>
            <w:pPr>
              <w:spacing w:after="0" w:line="360" w:lineRule="auto"/>
              <w:ind w:firstLine="480" w:firstLineChars="200"/>
              <w:jc w:val="both"/>
              <w:rPr>
                <w:rFonts w:ascii="Times New Roman" w:hAnsi="Times New Roman" w:eastAsia="宋体"/>
                <w:bCs/>
                <w:color w:val="000000"/>
                <w:sz w:val="24"/>
                <w:szCs w:val="24"/>
              </w:rPr>
            </w:pPr>
            <w:r>
              <w:rPr>
                <w:rFonts w:hint="eastAsia" w:ascii="Times New Roman" w:hAnsi="Times New Roman" w:eastAsia="宋体"/>
                <w:bCs/>
                <w:color w:val="000000"/>
                <w:sz w:val="24"/>
                <w:szCs w:val="24"/>
              </w:rPr>
              <w:t>（1）</w:t>
            </w:r>
            <w:r>
              <w:rPr>
                <w:rFonts w:ascii="Times New Roman" w:hAnsi="Times New Roman" w:eastAsia="宋体"/>
                <w:bCs/>
                <w:color w:val="000000"/>
                <w:sz w:val="24"/>
                <w:szCs w:val="24"/>
              </w:rPr>
              <w:t>主体设施按照环评和批复的要求全部建成，</w:t>
            </w:r>
            <w:r>
              <w:rPr>
                <w:rFonts w:hint="eastAsia" w:ascii="Times New Roman" w:hAnsi="Times New Roman" w:eastAsia="宋体"/>
                <w:bCs/>
                <w:color w:val="000000"/>
                <w:sz w:val="24"/>
                <w:szCs w:val="24"/>
              </w:rPr>
              <w:t>运行管理情况良好。</w:t>
            </w:r>
          </w:p>
          <w:p>
            <w:pPr>
              <w:spacing w:after="0" w:line="360" w:lineRule="auto"/>
              <w:ind w:firstLine="480" w:firstLineChars="200"/>
              <w:jc w:val="both"/>
              <w:rPr>
                <w:rFonts w:ascii="Times New Roman" w:hAnsi="Times New Roman" w:eastAsia="宋体"/>
                <w:bCs/>
                <w:color w:val="000000"/>
                <w:sz w:val="24"/>
                <w:szCs w:val="24"/>
              </w:rPr>
            </w:pPr>
            <w:r>
              <w:rPr>
                <w:rFonts w:hint="eastAsia" w:ascii="Times New Roman" w:hAnsi="Times New Roman" w:eastAsia="宋体"/>
                <w:bCs/>
                <w:color w:val="000000"/>
                <w:sz w:val="24"/>
                <w:szCs w:val="24"/>
              </w:rPr>
              <w:t>（2）建设单位制定了较全面的环境保护管理制度，经现场调查，执行情况较好。</w:t>
            </w:r>
          </w:p>
          <w:p>
            <w:pPr>
              <w:spacing w:after="0" w:line="360" w:lineRule="auto"/>
              <w:ind w:firstLine="480" w:firstLineChars="200"/>
              <w:jc w:val="both"/>
              <w:rPr>
                <w:rFonts w:ascii="Times New Roman" w:hAnsi="Times New Roman" w:eastAsia="宋体"/>
                <w:bCs/>
                <w:color w:val="000000"/>
                <w:sz w:val="24"/>
                <w:szCs w:val="24"/>
              </w:rPr>
            </w:pPr>
            <w:r>
              <w:rPr>
                <w:rFonts w:hint="eastAsia" w:ascii="Times New Roman" w:hAnsi="Times New Roman" w:eastAsia="宋体"/>
                <w:bCs/>
                <w:color w:val="000000"/>
                <w:sz w:val="24"/>
                <w:szCs w:val="24"/>
              </w:rPr>
              <w:t>（3）工程主要污染物基本实现了达标排放，满足环保验收条件。</w:t>
            </w:r>
          </w:p>
          <w:p>
            <w:pPr>
              <w:autoSpaceDE w:val="0"/>
              <w:spacing w:after="0" w:line="360" w:lineRule="auto"/>
              <w:rPr>
                <w:rFonts w:ascii="Times New Roman" w:hAnsi="Times New Roman" w:eastAsia="宋体"/>
                <w:b/>
                <w:bCs/>
                <w:color w:val="000000"/>
                <w:sz w:val="24"/>
                <w:szCs w:val="24"/>
              </w:rPr>
            </w:pPr>
            <w:r>
              <w:rPr>
                <w:rFonts w:ascii="Times New Roman" w:hAnsi="Times New Roman" w:eastAsia="宋体"/>
                <w:b/>
                <w:bCs/>
                <w:color w:val="000000"/>
                <w:sz w:val="24"/>
                <w:szCs w:val="24"/>
              </w:rPr>
              <w:t>五、建议</w:t>
            </w:r>
          </w:p>
          <w:p>
            <w:pPr>
              <w:spacing w:before="156" w:beforeLines="50" w:after="0" w:line="360" w:lineRule="auto"/>
              <w:ind w:firstLine="482"/>
              <w:rPr>
                <w:rFonts w:ascii="Times New Roman" w:hAnsi="Times New Roman" w:eastAsia="宋体"/>
                <w:color w:val="000000"/>
                <w:sz w:val="24"/>
                <w:szCs w:val="24"/>
              </w:rPr>
            </w:pPr>
            <w:r>
              <w:rPr>
                <w:rFonts w:hint="eastAsia" w:ascii="Times New Roman" w:hAnsi="Times New Roman" w:eastAsia="宋体"/>
                <w:color w:val="000000"/>
                <w:sz w:val="24"/>
                <w:szCs w:val="24"/>
              </w:rPr>
              <w:t>（1）</w:t>
            </w:r>
            <w:r>
              <w:rPr>
                <w:rFonts w:ascii="Times New Roman" w:hAnsi="Times New Roman" w:eastAsia="宋体"/>
                <w:color w:val="000000"/>
                <w:sz w:val="24"/>
                <w:szCs w:val="24"/>
              </w:rPr>
              <w:t>严格操作规程，强化管理制度，加强对本厂各类设备的检修、维护和保养，杜绝事故</w:t>
            </w:r>
            <w:r>
              <w:rPr>
                <w:rFonts w:hint="eastAsia" w:ascii="Times New Roman" w:hAnsi="Times New Roman" w:eastAsia="宋体"/>
                <w:color w:val="000000"/>
                <w:sz w:val="24"/>
                <w:szCs w:val="24"/>
              </w:rPr>
              <w:t>发生</w:t>
            </w:r>
            <w:r>
              <w:rPr>
                <w:rFonts w:ascii="Times New Roman" w:hAnsi="Times New Roman" w:eastAsia="宋体"/>
                <w:color w:val="000000"/>
                <w:sz w:val="24"/>
                <w:szCs w:val="24"/>
              </w:rPr>
              <w:t>。</w:t>
            </w:r>
          </w:p>
          <w:p>
            <w:pPr>
              <w:spacing w:after="0" w:line="360" w:lineRule="auto"/>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rPr>
              <w:t>（2）</w:t>
            </w:r>
            <w:r>
              <w:rPr>
                <w:rFonts w:ascii="Times New Roman" w:hAnsi="Times New Roman" w:eastAsia="宋体"/>
                <w:color w:val="000000"/>
                <w:sz w:val="24"/>
                <w:szCs w:val="24"/>
              </w:rPr>
              <w:t>加强环境教育，增强环境意识，建议本厂专门设环保人员，落实全厂的环保工作，认真执行环保相关的法律法规，并与环保部门及时联系和沟通。</w:t>
            </w:r>
          </w:p>
          <w:p>
            <w:pPr>
              <w:pStyle w:val="2"/>
              <w:spacing w:before="156"/>
              <w:ind w:firstLine="600" w:firstLineChars="250"/>
              <w:jc w:val="left"/>
              <w:rPr>
                <w:rFonts w:ascii="Times New Roman" w:hAnsi="Times New Roman" w:eastAsia="宋体"/>
                <w:color w:val="000000"/>
                <w:spacing w:val="0"/>
                <w:sz w:val="24"/>
                <w:szCs w:val="24"/>
              </w:rPr>
            </w:pPr>
            <w:r>
              <w:rPr>
                <w:rFonts w:hint="eastAsia" w:ascii="Times New Roman" w:hAnsi="Times New Roman" w:eastAsia="宋体"/>
                <w:color w:val="000000"/>
                <w:spacing w:val="0"/>
                <w:sz w:val="24"/>
                <w:szCs w:val="24"/>
              </w:rPr>
              <w:t>（3）加强风险管控，杜绝出现环境风险事故。</w:t>
            </w:r>
          </w:p>
          <w:p>
            <w:pPr>
              <w:pStyle w:val="2"/>
              <w:spacing w:before="156"/>
              <w:ind w:firstLine="600" w:firstLineChars="250"/>
              <w:jc w:val="left"/>
              <w:rPr>
                <w:rFonts w:ascii="Times New Roman" w:hAnsi="Times New Roman" w:eastAsia="宋体"/>
                <w:color w:val="000000"/>
                <w:spacing w:val="0"/>
                <w:sz w:val="24"/>
                <w:szCs w:val="24"/>
              </w:rPr>
            </w:pPr>
          </w:p>
          <w:p>
            <w:pPr>
              <w:pStyle w:val="2"/>
              <w:spacing w:before="156"/>
              <w:ind w:firstLine="600" w:firstLineChars="250"/>
              <w:jc w:val="left"/>
              <w:rPr>
                <w:rFonts w:ascii="Times New Roman" w:hAnsi="Times New Roman" w:eastAsia="宋体"/>
                <w:color w:val="000000"/>
                <w:spacing w:val="0"/>
                <w:sz w:val="24"/>
                <w:szCs w:val="24"/>
              </w:rPr>
            </w:pPr>
          </w:p>
          <w:p>
            <w:pPr>
              <w:pStyle w:val="2"/>
              <w:spacing w:before="156"/>
              <w:ind w:firstLine="600" w:firstLineChars="250"/>
              <w:jc w:val="left"/>
              <w:rPr>
                <w:rFonts w:ascii="Times New Roman" w:hAnsi="Times New Roman" w:eastAsia="宋体"/>
                <w:color w:val="000000"/>
                <w:spacing w:val="0"/>
                <w:sz w:val="24"/>
                <w:szCs w:val="24"/>
              </w:rPr>
            </w:pPr>
          </w:p>
        </w:tc>
      </w:tr>
    </w:tbl>
    <w:p>
      <w:pPr>
        <w:pStyle w:val="47"/>
        <w:spacing w:before="0" w:beforeAutospacing="0" w:after="0" w:afterAutospacing="0" w:line="360" w:lineRule="exact"/>
        <w:jc w:val="both"/>
        <w:outlineLvl w:val="0"/>
        <w:rPr>
          <w:color w:val="000000"/>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rPr>
      </w:pPr>
      <w:bookmarkStart w:id="11" w:name="_Toc68798032"/>
      <w:bookmarkStart w:id="12" w:name="_Hlk83672399"/>
      <w:bookmarkStart w:id="13" w:name="_Toc17999561"/>
      <w:bookmarkStart w:id="14" w:name="_Toc15455_WPSOffice_Level1"/>
      <w:bookmarkStart w:id="15" w:name="_Hlk71730412"/>
      <w:r>
        <w:rPr>
          <w:rFonts w:ascii="Times New Roman" w:hAnsi="Times New Roman"/>
        </w:rPr>
        <w:t>附件</w:t>
      </w:r>
      <w:bookmarkEnd w:id="11"/>
    </w:p>
    <w:p>
      <w:pPr>
        <w:pStyle w:val="57"/>
        <w:tabs>
          <w:tab w:val="right" w:leader="dot" w:pos="8306"/>
        </w:tabs>
        <w:spacing w:line="360" w:lineRule="auto"/>
        <w:rPr>
          <w:rFonts w:ascii="Times New Roman" w:hAnsi="Times New Roman"/>
          <w:sz w:val="24"/>
          <w:szCs w:val="24"/>
        </w:rPr>
      </w:pPr>
      <w:r>
        <w:rPr>
          <w:rFonts w:ascii="Times New Roman" w:hAnsi="Times New Roman"/>
          <w:sz w:val="24"/>
          <w:szCs w:val="24"/>
        </w:rPr>
        <w:t>附图</w:t>
      </w:r>
    </w:p>
    <w:p>
      <w:pPr>
        <w:pStyle w:val="57"/>
        <w:tabs>
          <w:tab w:val="right" w:leader="dot" w:pos="8306"/>
        </w:tabs>
        <w:spacing w:line="360" w:lineRule="auto"/>
        <w:ind w:firstLine="472" w:firstLineChars="236"/>
        <w:rPr>
          <w:rFonts w:ascii="Times New Roman" w:hAnsi="Times New Roman"/>
          <w:sz w:val="24"/>
          <w:szCs w:val="24"/>
        </w:rPr>
      </w:pPr>
      <w:r>
        <w:fldChar w:fldCharType="begin"/>
      </w:r>
      <w:r>
        <w:instrText xml:space="preserve">HYPERLINK  \l "_Toc24896_WPSOffice_Level1" </w:instrText>
      </w:r>
      <w:r>
        <w:fldChar w:fldCharType="separate"/>
      </w:r>
      <w:r>
        <w:rPr>
          <w:rFonts w:ascii="Times New Roman" w:hAnsi="Times New Roman"/>
          <w:sz w:val="24"/>
          <w:szCs w:val="24"/>
        </w:rPr>
        <w:t>附图1 项目地理位置图</w:t>
      </w:r>
      <w:r>
        <w:fldChar w:fldCharType="end"/>
      </w:r>
    </w:p>
    <w:p>
      <w:pPr>
        <w:pStyle w:val="57"/>
        <w:tabs>
          <w:tab w:val="right" w:leader="dot" w:pos="8306"/>
        </w:tabs>
        <w:spacing w:line="360" w:lineRule="auto"/>
        <w:ind w:firstLine="472" w:firstLineChars="236"/>
        <w:rPr>
          <w:rFonts w:ascii="Times New Roman" w:hAnsi="Times New Roman"/>
          <w:sz w:val="24"/>
          <w:szCs w:val="24"/>
        </w:rPr>
      </w:pPr>
      <w:r>
        <w:fldChar w:fldCharType="begin"/>
      </w:r>
      <w:r>
        <w:instrText xml:space="preserve">HYPERLINK  \l "_Toc32458_WPSOffice_Level1" </w:instrText>
      </w:r>
      <w:r>
        <w:fldChar w:fldCharType="separate"/>
      </w:r>
      <w:r>
        <w:rPr>
          <w:rFonts w:ascii="Times New Roman" w:hAnsi="Times New Roman"/>
          <w:sz w:val="24"/>
          <w:szCs w:val="24"/>
        </w:rPr>
        <w:t xml:space="preserve">附图2 </w:t>
      </w:r>
      <w:r>
        <w:fldChar w:fldCharType="end"/>
      </w:r>
      <w:r>
        <w:rPr>
          <w:rFonts w:ascii="Times New Roman" w:hAnsi="Times New Roman"/>
          <w:sz w:val="24"/>
          <w:szCs w:val="24"/>
        </w:rPr>
        <w:t>项目总平面布置图</w:t>
      </w:r>
    </w:p>
    <w:p>
      <w:pPr>
        <w:pStyle w:val="57"/>
        <w:tabs>
          <w:tab w:val="right" w:leader="dot" w:pos="8306"/>
        </w:tabs>
        <w:spacing w:line="360" w:lineRule="auto"/>
        <w:rPr>
          <w:rFonts w:ascii="Times New Roman" w:hAnsi="Times New Roman"/>
          <w:sz w:val="24"/>
          <w:szCs w:val="24"/>
        </w:rPr>
      </w:pPr>
      <w:r>
        <w:rPr>
          <w:rFonts w:ascii="Times New Roman" w:hAnsi="Times New Roman"/>
          <w:sz w:val="24"/>
          <w:szCs w:val="24"/>
        </w:rPr>
        <w:t>附件</w:t>
      </w:r>
    </w:p>
    <w:p>
      <w:pPr>
        <w:pStyle w:val="57"/>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w:t>
      </w:r>
      <w:r>
        <w:rPr>
          <w:rFonts w:hint="eastAsia" w:ascii="Times New Roman" w:hAnsi="Times New Roman"/>
          <w:sz w:val="24"/>
          <w:szCs w:val="24"/>
        </w:rPr>
        <w:t>1</w:t>
      </w:r>
      <w:r>
        <w:rPr>
          <w:rFonts w:ascii="Times New Roman" w:hAnsi="Times New Roman"/>
          <w:sz w:val="24"/>
          <w:szCs w:val="24"/>
        </w:rPr>
        <w:t xml:space="preserve"> </w:t>
      </w:r>
      <w:r>
        <w:rPr>
          <w:rFonts w:hint="eastAsia" w:ascii="Times New Roman" w:hAnsi="Times New Roman"/>
          <w:sz w:val="24"/>
          <w:szCs w:val="24"/>
        </w:rPr>
        <w:t>核准批复</w:t>
      </w:r>
    </w:p>
    <w:p>
      <w:pPr>
        <w:pStyle w:val="57"/>
        <w:tabs>
          <w:tab w:val="right" w:leader="dot" w:pos="8306"/>
        </w:tabs>
        <w:spacing w:line="360" w:lineRule="auto"/>
        <w:ind w:firstLine="566" w:firstLineChars="236"/>
        <w:rPr>
          <w:rFonts w:ascii="Times New Roman" w:hAnsi="Times New Roman"/>
          <w:sz w:val="24"/>
          <w:szCs w:val="24"/>
        </w:rPr>
      </w:pPr>
      <w:r>
        <w:rPr>
          <w:rFonts w:hint="eastAsia" w:ascii="Times New Roman" w:hAnsi="Times New Roman"/>
          <w:sz w:val="24"/>
          <w:szCs w:val="24"/>
        </w:rPr>
        <w:t>附件2</w:t>
      </w:r>
      <w:r>
        <w:rPr>
          <w:rFonts w:ascii="Times New Roman" w:hAnsi="Times New Roman"/>
          <w:sz w:val="24"/>
          <w:szCs w:val="24"/>
        </w:rPr>
        <w:t xml:space="preserve"> 环境影响评价批复</w:t>
      </w:r>
    </w:p>
    <w:p>
      <w:pPr>
        <w:pStyle w:val="57"/>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w:t>
      </w:r>
      <w:r>
        <w:rPr>
          <w:rFonts w:hint="eastAsia" w:ascii="Times New Roman" w:hAnsi="Times New Roman"/>
          <w:sz w:val="24"/>
          <w:szCs w:val="24"/>
        </w:rPr>
        <w:t>3</w:t>
      </w:r>
      <w:r>
        <w:rPr>
          <w:rFonts w:ascii="Times New Roman" w:hAnsi="Times New Roman"/>
          <w:sz w:val="24"/>
          <w:szCs w:val="24"/>
        </w:rPr>
        <w:t xml:space="preserve"> 验收监测报告</w:t>
      </w:r>
    </w:p>
    <w:p>
      <w:pPr>
        <w:pStyle w:val="57"/>
        <w:tabs>
          <w:tab w:val="right" w:leader="dot" w:pos="8306"/>
        </w:tabs>
        <w:spacing w:line="360" w:lineRule="auto"/>
        <w:ind w:firstLine="566" w:firstLineChars="236"/>
        <w:rPr>
          <w:rFonts w:ascii="Times New Roman" w:hAnsi="Times New Roman"/>
          <w:sz w:val="24"/>
          <w:szCs w:val="24"/>
        </w:rPr>
      </w:pPr>
      <w:r>
        <w:rPr>
          <w:rFonts w:hint="eastAsia" w:ascii="Times New Roman" w:hAnsi="Times New Roman"/>
          <w:sz w:val="24"/>
          <w:szCs w:val="24"/>
        </w:rPr>
        <w:t xml:space="preserve">附件4 </w:t>
      </w:r>
      <w:r>
        <w:rPr>
          <w:rFonts w:ascii="Times New Roman" w:hAnsi="Times New Roman"/>
          <w:sz w:val="24"/>
          <w:szCs w:val="24"/>
        </w:rPr>
        <w:t>排污许可证</w:t>
      </w:r>
    </w:p>
    <w:p>
      <w:pPr>
        <w:pStyle w:val="57"/>
        <w:tabs>
          <w:tab w:val="right" w:leader="dot" w:pos="8306"/>
        </w:tabs>
        <w:spacing w:line="360" w:lineRule="auto"/>
        <w:ind w:firstLine="566" w:firstLineChars="236"/>
        <w:rPr>
          <w:rFonts w:ascii="Times New Roman" w:hAnsi="Times New Roman"/>
          <w:sz w:val="24"/>
          <w:szCs w:val="24"/>
        </w:rPr>
      </w:pPr>
      <w:r>
        <w:rPr>
          <w:rFonts w:hint="eastAsia" w:ascii="Times New Roman" w:hAnsi="Times New Roman"/>
          <w:sz w:val="24"/>
          <w:szCs w:val="24"/>
        </w:rPr>
        <w:t>附件5</w:t>
      </w:r>
      <w:r>
        <w:rPr>
          <w:rFonts w:ascii="Times New Roman" w:hAnsi="Times New Roman"/>
          <w:sz w:val="24"/>
          <w:szCs w:val="24"/>
        </w:rPr>
        <w:t xml:space="preserve"> </w:t>
      </w:r>
      <w:r>
        <w:rPr>
          <w:rFonts w:hint="eastAsia" w:ascii="Times New Roman" w:hAnsi="Times New Roman"/>
          <w:sz w:val="24"/>
          <w:szCs w:val="24"/>
        </w:rPr>
        <w:t>其他情况说明</w:t>
      </w:r>
    </w:p>
    <w:p>
      <w:pPr>
        <w:pStyle w:val="57"/>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w:t>
      </w:r>
      <w:r>
        <w:rPr>
          <w:rFonts w:hint="eastAsia" w:ascii="Times New Roman" w:hAnsi="Times New Roman"/>
          <w:sz w:val="24"/>
          <w:szCs w:val="24"/>
        </w:rPr>
        <w:t>6</w:t>
      </w:r>
      <w:r>
        <w:rPr>
          <w:rFonts w:ascii="Times New Roman" w:hAnsi="Times New Roman"/>
          <w:sz w:val="24"/>
          <w:szCs w:val="24"/>
        </w:rPr>
        <w:t xml:space="preserve"> 建设项目竣工环境保护“三同时”验收登记表</w:t>
      </w:r>
    </w:p>
    <w:bookmarkEnd w:id="12"/>
    <w:p>
      <w:pPr>
        <w:pStyle w:val="57"/>
        <w:tabs>
          <w:tab w:val="right" w:leader="dot" w:pos="8306"/>
        </w:tabs>
        <w:spacing w:line="360" w:lineRule="auto"/>
        <w:ind w:firstLine="560" w:firstLineChars="200"/>
        <w:rPr>
          <w:rFonts w:ascii="Times New Roman" w:hAnsi="Times New Roman"/>
          <w:sz w:val="28"/>
          <w:szCs w:val="28"/>
        </w:rPr>
      </w:pPr>
    </w:p>
    <w:p>
      <w:pPr>
        <w:pStyle w:val="57"/>
        <w:tabs>
          <w:tab w:val="right" w:leader="dot" w:pos="8306"/>
        </w:tabs>
        <w:spacing w:line="360" w:lineRule="auto"/>
        <w:ind w:firstLine="560" w:firstLineChars="200"/>
        <w:rPr>
          <w:rFonts w:ascii="Times New Roman" w:hAnsi="Times New Roman"/>
          <w:sz w:val="28"/>
          <w:szCs w:val="28"/>
        </w:rPr>
      </w:pPr>
    </w:p>
    <w:p>
      <w:pPr>
        <w:pStyle w:val="5"/>
        <w:rPr>
          <w:rFonts w:ascii="Times New Roman"/>
        </w:rPr>
      </w:pPr>
      <w:r>
        <w:rPr>
          <w:rFonts w:ascii="Times New Roman"/>
        </w:rPr>
        <w:br w:type="page"/>
      </w:r>
      <w:r>
        <w:fldChar w:fldCharType="begin"/>
      </w:r>
      <w:r>
        <w:instrText xml:space="preserve">HYPERLINK  \l "_Toc24896_WPSOffice_Level1" </w:instrText>
      </w:r>
      <w:r>
        <w:fldChar w:fldCharType="separate"/>
      </w:r>
      <w:r>
        <w:rPr>
          <w:rFonts w:ascii="Times New Roman"/>
        </w:rPr>
        <w:t>附图1 项目地理位置图</w:t>
      </w:r>
      <w:r>
        <w:fldChar w:fldCharType="end"/>
      </w:r>
    </w:p>
    <w:p>
      <w:pPr>
        <w:pStyle w:val="57"/>
        <w:tabs>
          <w:tab w:val="right" w:leader="dot" w:pos="8306"/>
        </w:tabs>
        <w:spacing w:line="360" w:lineRule="auto"/>
        <w:ind w:firstLine="400" w:firstLineChars="200"/>
        <w:rPr>
          <w:rFonts w:ascii="Times New Roman" w:hAnsi="Times New Roman"/>
          <w:sz w:val="28"/>
          <w:szCs w:val="28"/>
        </w:rPr>
      </w:pPr>
      <w:r>
        <w:rPr>
          <w:rFonts w:ascii="Calibri" w:hAnsi="Calibri" w:eastAsia="宋体" w:cs="Times New Roman"/>
          <w:lang w:val="en-US" w:eastAsia="zh-CN" w:bidi="ar-SA"/>
        </w:rPr>
        <w:pict>
          <v:shape id="图片 21" o:spid="_x0000_s1045" type="#_x0000_t75" style="height:538.95pt;width:407.05pt;rotation:0f;" o:ole="f" fillcolor="#FFFFFF" filled="f" o:preferrelative="t" stroked="f" coordorigin="0,0" coordsize="21600,21600">
            <v:fill on="f" color2="#FFFFFF" focus="0%"/>
            <v:imagedata cropleft="3117f" croptop="4851f" cropright="3083f" cropbottom="5119f" gain="65536f" blacklevel="0f" gamma="0" o:title="" r:id="rId32"/>
            <o:lock v:ext="edit" position="f" selection="f" grouping="f" rotation="f" cropping="f" text="f" aspectratio="t"/>
            <w10:wrap type="none"/>
            <w10:anchorlock/>
          </v:shape>
        </w:pict>
      </w:r>
    </w:p>
    <w:p>
      <w:pPr>
        <w:pStyle w:val="5"/>
        <w:rPr>
          <w:rFonts w:ascii="Times New Roman"/>
        </w:rPr>
        <w:sectPr>
          <w:headerReference r:id="rId9" w:type="default"/>
          <w:footerReference r:id="rId10" w:type="default"/>
          <w:pgSz w:w="11906" w:h="16838"/>
          <w:pgMar w:top="1440" w:right="1457" w:bottom="1440" w:left="1457" w:header="851" w:footer="992" w:gutter="0"/>
          <w:cols w:space="720" w:num="1"/>
          <w:docGrid w:type="linesAndChars" w:linePitch="312" w:charSpace="0"/>
        </w:sectPr>
      </w:pPr>
    </w:p>
    <w:p>
      <w:pPr>
        <w:pStyle w:val="5"/>
        <w:rPr>
          <w:rFonts w:ascii="Times New Roman"/>
        </w:rPr>
      </w:pPr>
      <w:r>
        <w:fldChar w:fldCharType="begin"/>
      </w:r>
      <w:r>
        <w:instrText xml:space="preserve">HYPERLINK  \l "_Toc32458_WPSOffice_Level1" </w:instrText>
      </w:r>
      <w:r>
        <w:fldChar w:fldCharType="separate"/>
      </w:r>
      <w:r>
        <w:rPr>
          <w:rFonts w:ascii="Times New Roman"/>
        </w:rPr>
        <w:t xml:space="preserve">附图2 </w:t>
      </w:r>
      <w:r>
        <w:rPr>
          <w:rFonts w:hint="eastAsia" w:ascii="Times New Roman"/>
        </w:rPr>
        <w:t>项目</w:t>
      </w:r>
      <w:r>
        <w:rPr>
          <w:rFonts w:ascii="Times New Roman"/>
        </w:rPr>
        <w:t>总平面布置图</w:t>
      </w:r>
      <w:r>
        <w:fldChar w:fldCharType="end"/>
      </w:r>
    </w:p>
    <w:p>
      <w:r>
        <w:rPr>
          <w:rFonts w:ascii="Tahoma" w:hAnsi="Tahoma" w:eastAsia="微软雅黑" w:cs="Times New Roman"/>
          <w:sz w:val="22"/>
          <w:szCs w:val="22"/>
          <w:lang w:val="en-US" w:eastAsia="zh-CN" w:bidi="ar-SA"/>
        </w:rPr>
        <w:pict>
          <v:shape id="图片 22" o:spid="_x0000_s1046" type="#_x0000_t75" style="height:635.9pt;width:414.9pt;rotation:0f;" o:ole="f" fillcolor="#FFFFFF" filled="f" o:preferrelative="t" stroked="f" coordorigin="0,0" coordsize="21600,21600">
            <v:fill on="f" color2="#FFFFFF" focus="0%"/>
            <v:imagedata cropright="5059f" gain="65536f" blacklevel="0f" gamma="0" o:title="" r:id="rId33"/>
            <o:lock v:ext="edit" position="f" selection="f" grouping="f" rotation="f" cropping="f" text="f" aspectratio="t"/>
            <w10:wrap type="none"/>
            <w10:anchorlock/>
          </v:shape>
        </w:pict>
      </w:r>
    </w:p>
    <w:p>
      <w:pPr>
        <w:pStyle w:val="2"/>
        <w:spacing w:before="156"/>
      </w:pPr>
    </w:p>
    <w:p>
      <w:pPr>
        <w:pStyle w:val="5"/>
      </w:pPr>
      <w:r>
        <w:rPr>
          <w:rFonts w:hint="eastAsia"/>
        </w:rPr>
        <w:t>附件1</w:t>
      </w:r>
      <w:r>
        <w:t xml:space="preserve"> </w:t>
      </w:r>
      <w:r>
        <w:rPr>
          <w:rFonts w:hint="eastAsia"/>
        </w:rPr>
        <w:t>核准批复</w:t>
      </w:r>
    </w:p>
    <w:p>
      <w:r>
        <w:rPr>
          <w:rFonts w:ascii="Tahoma" w:hAnsi="Tahoma" w:eastAsia="微软雅黑" w:cs="Times New Roman"/>
          <w:sz w:val="22"/>
          <w:szCs w:val="22"/>
          <w:lang w:val="en-US" w:eastAsia="zh-CN" w:bidi="ar-SA"/>
        </w:rPr>
        <w:pict>
          <v:shape id="图片 23" o:spid="_x0000_s1047" type="#_x0000_t75" style="height:602.35pt;width:435.55pt;rotation:0f;" o:ole="f" fillcolor="#FFFFFF" filled="f" o:preferrelative="t" stroked="f" coordorigin="0,0" coordsize="21600,21600">
            <v:fill on="f" color2="#FFFFFF" focus="0%"/>
            <v:imagedata croptop="1057f" cropright="2045f" cropbottom="667f" gain="65536f" blacklevel="0f" gamma="0" o:title="" r:id="rId34"/>
            <o:lock v:ext="edit" position="f" selection="f" grouping="f" rotation="f" cropping="f" text="f" aspectratio="t"/>
            <w10:wrap type="none"/>
            <w10:anchorlock/>
          </v:shape>
        </w:pict>
      </w:r>
    </w:p>
    <w:p>
      <w:pPr>
        <w:pStyle w:val="2"/>
        <w:spacing w:before="156"/>
      </w:pPr>
    </w:p>
    <w:p>
      <w:pPr>
        <w:pStyle w:val="2"/>
        <w:spacing w:before="156"/>
      </w:pPr>
    </w:p>
    <w:p>
      <w:pPr>
        <w:pStyle w:val="2"/>
        <w:spacing w:before="156"/>
      </w:pPr>
    </w:p>
    <w:p>
      <w:pPr>
        <w:pStyle w:val="2"/>
        <w:spacing w:before="156"/>
      </w:pPr>
    </w:p>
    <w:p>
      <w:pPr>
        <w:pStyle w:val="2"/>
        <w:spacing w:before="156"/>
      </w:pPr>
      <w:r>
        <w:rPr>
          <w:rFonts w:ascii="Tahoma" w:hAnsi="Tahoma" w:eastAsia="黑体" w:cs="Times New Roman"/>
          <w:spacing w:val="28"/>
          <w:sz w:val="21"/>
          <w:szCs w:val="28"/>
          <w:lang w:val="en-US" w:eastAsia="zh-CN" w:bidi="ar-SA"/>
        </w:rPr>
        <w:pict>
          <v:shape id="图片 24" o:spid="_x0000_s1048" type="#_x0000_t75" style="position:absolute;left:0;margin-top:34.85pt;height:606.65pt;width:432.7pt;mso-position-horizontal:left;mso-position-horizontal-relative:margin;mso-wrap-distance-bottom:0pt;mso-wrap-distance-top:0pt;rotation:0f;z-index:251663360;" o:ole="f" fillcolor="#FFFFFF" filled="f" o:preferrelative="t" stroked="f" coordorigin="0,0" coordsize="21600,21600">
            <v:fill on="f" color2="#FFFFFF" focus="0%"/>
            <v:imagedata croptop="1284f" cropright="2454f" gain="65536f" blacklevel="0f" gamma="0" o:title="" r:id="rId35"/>
            <o:lock v:ext="edit" position="f" selection="f" grouping="f" rotation="f" cropping="f" text="f" aspectratio="t"/>
            <w10:wrap type="topAndBottom"/>
          </v:shape>
        </w:pict>
      </w:r>
    </w:p>
    <w:p>
      <w:pPr>
        <w:pStyle w:val="5"/>
        <w:rPr>
          <w:rFonts w:ascii="Times New Roman"/>
          <w:szCs w:val="28"/>
        </w:rPr>
      </w:pPr>
      <w:r>
        <w:fldChar w:fldCharType="begin"/>
      </w:r>
      <w:r>
        <w:instrText xml:space="preserve">HYPERLINK  \l "_Toc31225_WPSOffice_Level1" </w:instrText>
      </w:r>
      <w:r>
        <w:fldChar w:fldCharType="separate"/>
      </w:r>
      <w:r>
        <w:rPr>
          <w:rFonts w:ascii="Times New Roman"/>
          <w:szCs w:val="28"/>
        </w:rPr>
        <w:t>附件2 环境影响评价批复</w:t>
      </w:r>
      <w:r>
        <w:fldChar w:fldCharType="end"/>
      </w:r>
    </w:p>
    <w:p>
      <w:pPr>
        <w:rPr>
          <w:rFonts w:eastAsia="宋体"/>
        </w:rPr>
      </w:pPr>
      <w:r>
        <w:rPr>
          <w:rFonts w:hint="eastAsia" w:ascii="Tahoma" w:hAnsi="Tahoma" w:eastAsia="宋体" w:cs="Times New Roman"/>
          <w:sz w:val="22"/>
          <w:szCs w:val="22"/>
          <w:lang w:val="en-US" w:eastAsia="zh-CN" w:bidi="ar-SA"/>
        </w:rPr>
        <w:pict>
          <v:shape id="图片 27" o:spid="_x0000_s1049" type="#_x0000_t75" style="height:637.15pt;width:449.6pt;rotation:0f;" o:ole="f" fillcolor="#FFFFFF" filled="f" o:preferrelative="t" stroked="f" coordorigin="0,0" coordsize="21600,21600">
            <v:fill on="f" color2="#FFFFFF" focus="0%"/>
            <v:imagedata gain="65536f" blacklevel="0f" gamma="0" o:title="" r:id="rId36"/>
            <o:lock v:ext="edit" position="f" selection="f" grouping="f" rotation="f" cropping="f" text="f" aspectratio="t"/>
            <w10:wrap type="none"/>
            <w10:anchorlock/>
          </v:shape>
        </w:pict>
      </w:r>
    </w:p>
    <w:p>
      <w:pPr>
        <w:rPr>
          <w:rFonts w:eastAsia="宋体"/>
        </w:rPr>
      </w:pPr>
    </w:p>
    <w:p>
      <w:pPr>
        <w:pStyle w:val="2"/>
        <w:spacing w:before="156"/>
      </w:pPr>
    </w:p>
    <w:p>
      <w:pPr>
        <w:rPr>
          <w:rFonts w:eastAsia="宋体"/>
        </w:rPr>
      </w:pPr>
      <w:r>
        <w:rPr>
          <w:rFonts w:hint="eastAsia" w:ascii="Tahoma" w:hAnsi="Tahoma" w:eastAsia="宋体" w:cs="Times New Roman"/>
          <w:sz w:val="22"/>
          <w:szCs w:val="22"/>
          <w:lang w:val="en-US" w:eastAsia="zh-CN" w:bidi="ar-SA"/>
        </w:rPr>
        <w:pict>
          <v:shape id="图片 26" o:spid="_x0000_s1050" type="#_x0000_t75" style="height:636.35pt;width:449.6pt;rotation:0f;" o:ole="f" fillcolor="#FFFFFF" filled="f" o:preferrelative="t" stroked="f" coordorigin="0,0" coordsize="21600,21600">
            <v:fill on="f" color2="#FFFFFF" focus="0%"/>
            <v:imagedata gain="65536f" blacklevel="0f" gamma="0" o:title="" r:id="rId37"/>
            <o:lock v:ext="edit" position="f" selection="f" grouping="f" rotation="f" cropping="f" text="f" aspectratio="t"/>
            <w10:wrap type="none"/>
            <w10:anchorlock/>
          </v:shape>
        </w:pict>
      </w:r>
    </w:p>
    <w:p>
      <w:pPr>
        <w:rPr>
          <w:rFonts w:eastAsia="宋体"/>
        </w:rPr>
      </w:pPr>
    </w:p>
    <w:p>
      <w:pPr>
        <w:rPr>
          <w:rFonts w:ascii="Times New Roman" w:hAnsi="Times New Roman"/>
        </w:rPr>
      </w:pPr>
      <w:r>
        <w:rPr>
          <w:rFonts w:hint="eastAsia" w:ascii="Tahoma" w:hAnsi="Tahoma" w:eastAsia="宋体" w:cs="Times New Roman"/>
          <w:sz w:val="22"/>
          <w:szCs w:val="22"/>
          <w:lang w:val="en-US" w:eastAsia="zh-CN" w:bidi="ar-SA"/>
        </w:rPr>
        <w:pict>
          <v:shape id="图片 25" o:spid="_x0000_s1051" type="#_x0000_t75" style="height:652.15pt;width:449.6pt;rotation:0f;" o:ole="f" fillcolor="#FFFFFF" filled="f" o:preferrelative="t" stroked="f" coordorigin="0,0" coordsize="21600,21600">
            <v:fill on="f" color2="#FFFFFF" focus="0%"/>
            <v:imagedata gain="65536f" blacklevel="0f" gamma="0" o:title="" r:id="rId38"/>
            <o:lock v:ext="edit" position="f" selection="f" grouping="f" rotation="f" cropping="f" text="f" aspectratio="t"/>
            <w10:wrap type="none"/>
            <w10:anchorlock/>
          </v:shape>
        </w:pict>
      </w:r>
    </w:p>
    <w:p>
      <w:pPr>
        <w:pStyle w:val="57"/>
        <w:tabs>
          <w:tab w:val="right" w:leader="dot" w:pos="8306"/>
        </w:tabs>
        <w:spacing w:line="360" w:lineRule="auto"/>
        <w:jc w:val="center"/>
        <w:rPr>
          <w:rFonts w:ascii="Times New Roman" w:hAnsi="Times New Roman"/>
          <w:sz w:val="28"/>
          <w:szCs w:val="28"/>
        </w:rPr>
      </w:pPr>
    </w:p>
    <w:p>
      <w:pPr>
        <w:pStyle w:val="57"/>
        <w:tabs>
          <w:tab w:val="right" w:leader="dot" w:pos="8306"/>
        </w:tabs>
        <w:spacing w:line="360" w:lineRule="auto"/>
        <w:jc w:val="center"/>
        <w:rPr>
          <w:rFonts w:ascii="Times New Roman" w:hAnsi="Times New Roman"/>
        </w:rPr>
        <w:sectPr>
          <w:pgSz w:w="11906" w:h="16838"/>
          <w:pgMar w:top="1440" w:right="1457" w:bottom="1440" w:left="1457" w:header="851" w:footer="992" w:gutter="0"/>
          <w:cols w:space="720" w:num="1"/>
          <w:docGrid w:type="linesAndChars" w:linePitch="312" w:charSpace="0"/>
        </w:sectPr>
      </w:pPr>
    </w:p>
    <w:p>
      <w:pPr>
        <w:pStyle w:val="5"/>
        <w:rPr>
          <w:rFonts w:ascii="Times New Roman"/>
        </w:rPr>
      </w:pPr>
      <w:r>
        <w:rPr>
          <w:rFonts w:ascii="黑体" w:hAnsi="Times New Roman" w:eastAsia="宋体" w:cs="Times New Roman"/>
          <w:b/>
          <w:kern w:val="2"/>
          <w:sz w:val="18"/>
          <w:szCs w:val="24"/>
          <w:lang w:val="en-US" w:eastAsia="zh-CN" w:bidi="ar-SA"/>
        </w:rPr>
        <w:pict>
          <v:shape id="图片 13" o:spid="_x0000_s1052" type="#_x0000_t75" style="position:absolute;left:0;margin-left:49.55pt;margin-top:16.8pt;height:421.85pt;width:580.95pt;mso-wrap-distance-bottom:0pt;mso-wrap-distance-top:0pt;rotation:0f;z-index:251662336;" o:ole="f" fillcolor="#FFFFFF" filled="f" o:preferrelative="t" stroked="f" coordorigin="0,0" coordsize="21600,21600">
            <v:fill on="f" color2="#FFFFFF" focus="0%"/>
            <v:imagedata cropleft="992f" croptop="2077f" cropright="1013f" cropbottom="1973f" gain="65536f" blacklevel="0f" gamma="0" o:title="" r:id="rId39"/>
            <o:lock v:ext="edit" position="f" selection="f" grouping="f" rotation="f" cropping="f" text="f" aspectratio="t"/>
            <w10:wrap type="topAndBottom"/>
          </v:shape>
        </w:pict>
      </w:r>
      <w:r>
        <w:rPr>
          <w:rFonts w:ascii="Times New Roman"/>
        </w:rPr>
        <w:t>附件4 排污许可证</w:t>
      </w:r>
    </w:p>
    <w:p/>
    <w:p>
      <w:pPr>
        <w:keepNext/>
        <w:keepLines/>
        <w:widowControl w:val="0"/>
        <w:tabs>
          <w:tab w:val="left" w:pos="480"/>
          <w:tab w:val="left" w:pos="2760"/>
        </w:tabs>
        <w:spacing w:after="0" w:line="360" w:lineRule="auto"/>
        <w:jc w:val="center"/>
        <w:outlineLvl w:val="0"/>
        <w:rPr>
          <w:rFonts w:ascii="仿宋" w:hAnsi="仿宋" w:eastAsia="仿宋" w:cs="宋体"/>
          <w:b/>
          <w:snapToGrid w:val="0"/>
          <w:color w:val="000000"/>
          <w:kern w:val="44"/>
          <w:sz w:val="24"/>
          <w:szCs w:val="24"/>
        </w:rPr>
      </w:pPr>
    </w:p>
    <w:p>
      <w:pPr>
        <w:adjustRightInd/>
        <w:snapToGrid/>
        <w:spacing w:after="0"/>
        <w:rPr>
          <w:rFonts w:ascii="仿宋" w:hAnsi="仿宋" w:eastAsia="仿宋" w:cs="宋体"/>
          <w:b/>
          <w:snapToGrid w:val="0"/>
          <w:color w:val="000000"/>
          <w:kern w:val="44"/>
          <w:sz w:val="24"/>
          <w:szCs w:val="24"/>
        </w:rPr>
      </w:pPr>
      <w:r>
        <w:rPr>
          <w:rFonts w:ascii="仿宋" w:hAnsi="仿宋" w:eastAsia="仿宋" w:cs="宋体"/>
          <w:b/>
          <w:snapToGrid w:val="0"/>
          <w:color w:val="000000"/>
          <w:kern w:val="44"/>
          <w:sz w:val="24"/>
          <w:szCs w:val="24"/>
        </w:rPr>
        <w:br w:type="page"/>
      </w:r>
    </w:p>
    <w:p>
      <w:pPr>
        <w:keepNext/>
        <w:keepLines/>
        <w:widowControl w:val="0"/>
        <w:tabs>
          <w:tab w:val="left" w:pos="480"/>
          <w:tab w:val="left" w:pos="2760"/>
        </w:tabs>
        <w:spacing w:after="0" w:line="360" w:lineRule="auto"/>
        <w:jc w:val="center"/>
        <w:outlineLvl w:val="0"/>
        <w:rPr>
          <w:rFonts w:ascii="仿宋" w:hAnsi="仿宋" w:eastAsia="仿宋" w:cs="宋体"/>
          <w:b/>
          <w:snapToGrid w:val="0"/>
          <w:color w:val="000000"/>
          <w:kern w:val="44"/>
          <w:sz w:val="24"/>
          <w:szCs w:val="24"/>
        </w:rPr>
      </w:pPr>
      <w:bookmarkStart w:id="16" w:name="_Hlk83673438"/>
      <w:bookmarkStart w:id="17" w:name="_Hlk83673392"/>
      <w:r>
        <w:rPr>
          <w:rFonts w:ascii="仿宋" w:hAnsi="仿宋" w:eastAsia="仿宋" w:cs="宋体"/>
          <w:b/>
          <w:snapToGrid w:val="0"/>
          <w:color w:val="000000"/>
          <w:kern w:val="44"/>
          <w:sz w:val="24"/>
          <w:szCs w:val="24"/>
        </w:rPr>
        <w:t>建设项目竣工环境保护</w:t>
      </w:r>
      <w:r>
        <w:rPr>
          <w:rFonts w:hint="eastAsia" w:ascii="仿宋" w:hAnsi="仿宋" w:eastAsia="仿宋" w:cs="宋体"/>
          <w:b/>
          <w:snapToGrid w:val="0"/>
          <w:color w:val="000000"/>
          <w:kern w:val="44"/>
          <w:sz w:val="24"/>
          <w:szCs w:val="24"/>
        </w:rPr>
        <w:t>“</w:t>
      </w:r>
      <w:r>
        <w:rPr>
          <w:rFonts w:ascii="仿宋" w:hAnsi="仿宋" w:eastAsia="仿宋" w:cs="宋体"/>
          <w:b/>
          <w:snapToGrid w:val="0"/>
          <w:color w:val="000000"/>
          <w:kern w:val="44"/>
          <w:sz w:val="24"/>
          <w:szCs w:val="24"/>
        </w:rPr>
        <w:t>三同时</w:t>
      </w:r>
      <w:r>
        <w:rPr>
          <w:rFonts w:hint="eastAsia" w:ascii="仿宋" w:hAnsi="仿宋" w:eastAsia="仿宋" w:cs="宋体"/>
          <w:b/>
          <w:snapToGrid w:val="0"/>
          <w:color w:val="000000"/>
          <w:kern w:val="44"/>
          <w:sz w:val="24"/>
          <w:szCs w:val="24"/>
        </w:rPr>
        <w:t>”</w:t>
      </w:r>
      <w:r>
        <w:rPr>
          <w:rFonts w:ascii="仿宋" w:hAnsi="仿宋" w:eastAsia="仿宋" w:cs="宋体"/>
          <w:b/>
          <w:snapToGrid w:val="0"/>
          <w:color w:val="000000"/>
          <w:kern w:val="44"/>
          <w:sz w:val="24"/>
          <w:szCs w:val="24"/>
        </w:rPr>
        <w:t>验收登记表</w:t>
      </w:r>
      <w:bookmarkEnd w:id="13"/>
      <w:bookmarkEnd w:id="14"/>
    </w:p>
    <w:p>
      <w:pPr>
        <w:widowControl w:val="0"/>
        <w:adjustRightInd/>
        <w:snapToGrid/>
        <w:spacing w:after="0"/>
        <w:jc w:val="both"/>
        <w:rPr>
          <w:rFonts w:ascii="宋体" w:hAnsi="宋体" w:eastAsia="宋体"/>
          <w:b/>
          <w:color w:val="000000"/>
          <w:kern w:val="2"/>
          <w:sz w:val="21"/>
          <w:szCs w:val="21"/>
        </w:rPr>
      </w:pPr>
      <w:bookmarkStart w:id="18" w:name="_Toc24974_WPSOffice_Level1"/>
      <w:bookmarkStart w:id="19" w:name="_Toc32632_WPSOffice_Level1"/>
      <w:bookmarkStart w:id="20" w:name="_Toc20967_WPSOffice_Level1"/>
      <w:bookmarkStart w:id="21" w:name="_Toc1541_WPSOffice_Level1"/>
      <w:bookmarkStart w:id="22" w:name="_Toc16918_WPSOffice_Level1"/>
      <w:bookmarkStart w:id="23" w:name="_Toc2255_WPSOffice_Level1"/>
      <w:bookmarkStart w:id="24" w:name="_Toc17479_WPSOffice_Level1"/>
      <w:bookmarkStart w:id="25" w:name="_Toc11960_WPSOffice_Level1"/>
      <w:bookmarkStart w:id="26" w:name="_Toc26939_WPSOffice_Level1"/>
      <w:bookmarkStart w:id="27" w:name="_Toc27770_WPSOffice_Level1"/>
      <w:bookmarkStart w:id="28" w:name="_Toc27927_WPSOffice_Level1"/>
      <w:bookmarkStart w:id="29" w:name="_Toc28709_WPSOffice_Level1"/>
      <w:bookmarkStart w:id="30" w:name="_Toc18071_WPSOffice_Level1"/>
      <w:bookmarkStart w:id="31" w:name="_Toc27621_WPSOffice_Level1"/>
      <w:bookmarkStart w:id="32" w:name="_Toc31058_WPSOffice_Level1"/>
      <w:bookmarkStart w:id="33" w:name="_Toc11717_WPSOffice_Level1"/>
      <w:bookmarkStart w:id="34" w:name="_Toc211_WPSOffice_Level1"/>
      <w:bookmarkStart w:id="35" w:name="_Toc26347_WPSOffice_Level1"/>
      <w:r>
        <w:rPr>
          <w:rFonts w:ascii="宋体" w:hAnsi="宋体" w:eastAsia="宋体"/>
          <w:b/>
          <w:color w:val="000000"/>
          <w:kern w:val="2"/>
          <w:sz w:val="21"/>
          <w:szCs w:val="21"/>
        </w:rPr>
        <w:t xml:space="preserve">填表单位（盖章）： </w:t>
      </w:r>
      <w:r>
        <w:rPr>
          <w:rFonts w:hint="eastAsia" w:ascii="宋体" w:hAnsi="宋体" w:eastAsia="宋体"/>
          <w:b/>
          <w:color w:val="000000"/>
          <w:kern w:val="2"/>
          <w:sz w:val="21"/>
          <w:szCs w:val="21"/>
        </w:rPr>
        <w:t>山西太钢工程技术有限公司</w:t>
      </w:r>
      <w:r>
        <w:rPr>
          <w:rFonts w:ascii="宋体" w:hAnsi="宋体" w:eastAsia="宋体"/>
          <w:b/>
          <w:color w:val="000000"/>
          <w:kern w:val="2"/>
          <w:sz w:val="21"/>
          <w:szCs w:val="21"/>
        </w:rPr>
        <w:t xml:space="preserve">                 填表人（签字）：  </w:t>
      </w:r>
      <w:r>
        <w:rPr>
          <w:rFonts w:hint="eastAsia" w:ascii="宋体" w:hAnsi="宋体" w:eastAsia="宋体"/>
          <w:b/>
          <w:color w:val="000000"/>
          <w:kern w:val="2"/>
          <w:sz w:val="21"/>
          <w:szCs w:val="21"/>
        </w:rPr>
        <w:t>王瑞</w:t>
      </w:r>
      <w:r>
        <w:rPr>
          <w:rFonts w:ascii="宋体" w:hAnsi="宋体" w:eastAsia="宋体"/>
          <w:b/>
          <w:color w:val="000000"/>
          <w:kern w:val="2"/>
          <w:sz w:val="21"/>
          <w:szCs w:val="21"/>
        </w:rPr>
        <w:t xml:space="preserve">                        项目经办人（签字）：</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tbl>
      <w:tblPr>
        <w:tblStyle w:val="43"/>
        <w:tblW w:w="145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52"/>
        <w:gridCol w:w="1005"/>
        <w:gridCol w:w="636"/>
        <w:gridCol w:w="924"/>
        <w:gridCol w:w="1034"/>
        <w:gridCol w:w="1065"/>
        <w:gridCol w:w="901"/>
        <w:gridCol w:w="8"/>
        <w:gridCol w:w="466"/>
        <w:gridCol w:w="457"/>
        <w:gridCol w:w="1121"/>
        <w:gridCol w:w="1172"/>
        <w:gridCol w:w="1572"/>
        <w:gridCol w:w="740"/>
        <w:gridCol w:w="889"/>
        <w:gridCol w:w="251"/>
        <w:gridCol w:w="949"/>
        <w:gridCol w:w="311"/>
        <w:gridCol w:w="4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restart"/>
            <w:tcMar>
              <w:left w:w="57" w:type="dxa"/>
              <w:right w:w="57" w:type="dxa"/>
            </w:tcMar>
            <w:textDirection w:val="tbRlV"/>
            <w:vAlign w:val="center"/>
          </w:tcPr>
          <w:p>
            <w:pPr>
              <w:widowControl w:val="0"/>
              <w:adjustRightInd/>
              <w:snapToGrid/>
              <w:spacing w:after="0"/>
              <w:ind w:left="113" w:right="113"/>
              <w:jc w:val="center"/>
              <w:rPr>
                <w:rFonts w:ascii="Calibri" w:hAnsi="Calibri" w:eastAsia="宋体"/>
                <w:b/>
                <w:color w:val="000000"/>
                <w:kern w:val="2"/>
                <w:sz w:val="15"/>
                <w:szCs w:val="15"/>
              </w:rPr>
            </w:pPr>
            <w:bookmarkStart w:id="36" w:name="_Hlk83673422"/>
            <w:r>
              <w:rPr>
                <w:rFonts w:ascii="Calibri" w:hAnsi="Calibri" w:eastAsia="宋体"/>
                <w:b/>
                <w:color w:val="000000"/>
                <w:kern w:val="2"/>
                <w:sz w:val="15"/>
                <w:szCs w:val="15"/>
              </w:rPr>
              <w:t>建</w:t>
            </w:r>
            <w:bookmarkEnd w:id="16"/>
            <w:r>
              <w:rPr>
                <w:rFonts w:ascii="Calibri" w:hAnsi="Calibri" w:eastAsia="宋体"/>
                <w:b/>
                <w:color w:val="000000"/>
                <w:kern w:val="2"/>
                <w:sz w:val="15"/>
                <w:szCs w:val="15"/>
              </w:rPr>
              <w:t>设项目</w:t>
            </w: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项目名称</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Times New Roman" w:hAnsi="Times New Roman" w:eastAsia="宋体"/>
                <w:color w:val="000000"/>
                <w:sz w:val="15"/>
                <w:szCs w:val="15"/>
              </w:rPr>
              <w:t>山西太钢不锈钢股份有限公司不锈钢产品结构升级改造配套水处理改造项目</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项</w:t>
            </w:r>
            <w:r>
              <w:rPr>
                <w:rFonts w:ascii="Calibri" w:hAnsi="Calibri" w:eastAsia="宋体"/>
                <w:b/>
                <w:color w:val="000000"/>
                <w:kern w:val="2"/>
                <w:sz w:val="15"/>
                <w:szCs w:val="15"/>
              </w:rPr>
              <w:t>目代码</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草坪经信备字【2018】</w:t>
            </w:r>
            <w:r>
              <w:rPr>
                <w:rFonts w:ascii="Calibri" w:hAnsi="Calibri" w:eastAsia="宋体"/>
                <w:color w:val="000000"/>
                <w:kern w:val="2"/>
                <w:sz w:val="15"/>
                <w:szCs w:val="15"/>
              </w:rPr>
              <w:t>1</w:t>
            </w:r>
            <w:r>
              <w:rPr>
                <w:rFonts w:hint="eastAsia" w:ascii="Calibri" w:hAnsi="Calibri" w:eastAsia="宋体"/>
                <w:color w:val="000000"/>
                <w:kern w:val="2"/>
                <w:sz w:val="15"/>
                <w:szCs w:val="15"/>
              </w:rPr>
              <w:t>号</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建设地点</w:t>
            </w:r>
          </w:p>
        </w:tc>
        <w:tc>
          <w:tcPr>
            <w:tcW w:w="1986" w:type="dxa"/>
            <w:gridSpan w:val="4"/>
            <w:tcMar>
              <w:left w:w="57" w:type="dxa"/>
              <w:right w:w="57" w:type="dxa"/>
            </w:tcMar>
            <w:vAlign w:val="center"/>
          </w:tcPr>
          <w:p>
            <w:pPr>
              <w:widowControl w:val="0"/>
              <w:adjustRightInd/>
              <w:snapToGrid/>
              <w:spacing w:after="0"/>
              <w:jc w:val="center"/>
              <w:rPr>
                <w:rFonts w:hint="eastAsia" w:ascii="Calibri" w:hAnsi="Calibri" w:eastAsia="宋体"/>
                <w:color w:val="000000"/>
                <w:kern w:val="2"/>
                <w:sz w:val="15"/>
                <w:szCs w:val="15"/>
                <w:lang w:eastAsia="zh-CN"/>
              </w:rPr>
            </w:pPr>
            <w:r>
              <w:rPr>
                <w:rFonts w:hint="eastAsia" w:ascii="Calibri" w:hAnsi="Calibri" w:eastAsia="宋体"/>
                <w:color w:val="000000"/>
                <w:kern w:val="2"/>
                <w:sz w:val="15"/>
                <w:szCs w:val="15"/>
                <w:lang w:eastAsia="zh-CN"/>
              </w:rPr>
              <w:t>太原市尖草坪街</w:t>
            </w:r>
            <w:r>
              <w:rPr>
                <w:rFonts w:hint="eastAsia" w:ascii="Calibri" w:hAnsi="Calibri" w:eastAsia="宋体"/>
                <w:color w:val="000000"/>
                <w:kern w:val="2"/>
                <w:sz w:val="15"/>
                <w:szCs w:val="15"/>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行业类别（分类管理</w:t>
            </w:r>
            <w:r>
              <w:rPr>
                <w:rFonts w:hint="eastAsia" w:ascii="Calibri" w:hAnsi="Calibri" w:eastAsia="宋体"/>
                <w:b/>
                <w:color w:val="000000"/>
                <w:kern w:val="2"/>
                <w:sz w:val="15"/>
                <w:szCs w:val="15"/>
              </w:rPr>
              <w:t>名录</w:t>
            </w:r>
            <w:r>
              <w:rPr>
                <w:rFonts w:ascii="Calibri" w:hAnsi="Calibri" w:eastAsia="宋体"/>
                <w:b/>
                <w:color w:val="000000"/>
                <w:kern w:val="2"/>
                <w:sz w:val="15"/>
                <w:szCs w:val="15"/>
              </w:rPr>
              <w:t>）</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D462污水处理及再生利用</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建设性质</w:t>
            </w:r>
          </w:p>
        </w:tc>
        <w:tc>
          <w:tcPr>
            <w:tcW w:w="3201"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 xml:space="preserve">□新建  □ 改扩建  </w:t>
            </w:r>
            <w:r>
              <w:rPr>
                <w:rFonts w:ascii="Calibri" w:hAnsi="Calibri" w:eastAsia="宋体"/>
                <w:b/>
                <w:color w:val="000000"/>
                <w:kern w:val="2"/>
                <w:sz w:val="15"/>
                <w:szCs w:val="15"/>
              </w:rPr>
              <w:sym w:font="Wingdings 2" w:char="0052"/>
            </w:r>
            <w:r>
              <w:rPr>
                <w:rFonts w:ascii="Calibri" w:hAnsi="Calibri" w:eastAsia="宋体"/>
                <w:b/>
                <w:color w:val="000000"/>
                <w:kern w:val="2"/>
                <w:sz w:val="15"/>
                <w:szCs w:val="15"/>
              </w:rPr>
              <w:t>技术改造</w:t>
            </w:r>
          </w:p>
        </w:tc>
        <w:tc>
          <w:tcPr>
            <w:tcW w:w="1511" w:type="dxa"/>
            <w:gridSpan w:val="3"/>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项目厂区中心经度/纬度</w:t>
            </w:r>
          </w:p>
        </w:tc>
        <w:tc>
          <w:tcPr>
            <w:tcW w:w="47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设计生产能力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新增脱氮处理设施，废水处理量为12960m</w:t>
            </w:r>
            <w:r>
              <w:rPr>
                <w:rFonts w:hint="eastAsia" w:ascii="Calibri" w:hAnsi="Calibri" w:eastAsia="宋体"/>
                <w:color w:val="000000"/>
                <w:kern w:val="2"/>
                <w:sz w:val="15"/>
                <w:szCs w:val="15"/>
                <w:vertAlign w:val="superscript"/>
              </w:rPr>
              <w:t>3</w:t>
            </w:r>
            <w:r>
              <w:rPr>
                <w:rFonts w:hint="eastAsia" w:ascii="Calibri" w:hAnsi="Calibri" w:eastAsia="宋体"/>
                <w:color w:val="000000"/>
                <w:kern w:val="2"/>
                <w:sz w:val="15"/>
                <w:szCs w:val="15"/>
              </w:rPr>
              <w:t>/d</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实际生产能力</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废水处理能力为5.8万m3/d</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环评单位</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山西清源环境咨询有限公司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环评文件审批机关</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Times New Roman" w:hAnsi="Times New Roman" w:eastAsia="宋体"/>
                <w:color w:val="000000"/>
                <w:kern w:val="2"/>
                <w:sz w:val="15"/>
                <w:szCs w:val="15"/>
              </w:rPr>
              <w:t>太原市环境保护局尖草坪分局</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审批文号</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Times New Roman" w:hAnsi="Times New Roman" w:eastAsia="宋体"/>
                <w:color w:val="000000"/>
                <w:sz w:val="15"/>
                <w:szCs w:val="15"/>
              </w:rPr>
              <w:t>并环尖审批</w:t>
            </w:r>
            <w:r>
              <w:rPr>
                <w:rFonts w:ascii="Times New Roman" w:hAnsi="Times New Roman" w:eastAsia="宋体"/>
                <w:color w:val="000000"/>
                <w:sz w:val="15"/>
                <w:szCs w:val="15"/>
              </w:rPr>
              <w:t>[</w:t>
            </w:r>
            <w:r>
              <w:rPr>
                <w:rFonts w:hint="eastAsia" w:ascii="Times New Roman" w:hAnsi="Times New Roman" w:eastAsia="宋体"/>
                <w:color w:val="000000"/>
                <w:sz w:val="15"/>
                <w:szCs w:val="15"/>
              </w:rPr>
              <w:t>2018</w:t>
            </w:r>
            <w:r>
              <w:rPr>
                <w:rFonts w:ascii="Times New Roman" w:hAnsi="Times New Roman" w:eastAsia="宋体"/>
                <w:color w:val="000000"/>
                <w:sz w:val="15"/>
                <w:szCs w:val="15"/>
              </w:rPr>
              <w:t>]</w:t>
            </w:r>
            <w:r>
              <w:rPr>
                <w:rFonts w:hint="eastAsia" w:ascii="Times New Roman" w:hAnsi="Times New Roman" w:eastAsia="宋体"/>
                <w:color w:val="000000"/>
                <w:sz w:val="15"/>
                <w:szCs w:val="15"/>
              </w:rPr>
              <w:t>第</w:t>
            </w:r>
            <w:r>
              <w:rPr>
                <w:rFonts w:ascii="Times New Roman" w:hAnsi="Times New Roman" w:eastAsia="宋体"/>
                <w:color w:val="000000"/>
                <w:sz w:val="15"/>
                <w:szCs w:val="15"/>
              </w:rPr>
              <w:t>3号</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环评</w:t>
            </w:r>
            <w:r>
              <w:rPr>
                <w:rFonts w:ascii="Calibri" w:hAnsi="Calibri" w:eastAsia="宋体"/>
                <w:b/>
                <w:color w:val="000000"/>
                <w:kern w:val="2"/>
                <w:sz w:val="15"/>
                <w:szCs w:val="15"/>
              </w:rPr>
              <w:t>文件</w:t>
            </w:r>
            <w:r>
              <w:rPr>
                <w:rFonts w:hint="eastAsia" w:ascii="Calibri" w:hAnsi="Calibri" w:eastAsia="宋体"/>
                <w:b/>
                <w:color w:val="000000"/>
                <w:kern w:val="2"/>
                <w:sz w:val="15"/>
                <w:szCs w:val="15"/>
              </w:rPr>
              <w:t>类型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开工日期</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2018年</w:t>
            </w:r>
            <w:r>
              <w:rPr>
                <w:rFonts w:ascii="Calibri" w:hAnsi="Calibri" w:eastAsia="宋体"/>
                <w:color w:val="000000"/>
                <w:kern w:val="2"/>
                <w:sz w:val="15"/>
                <w:szCs w:val="15"/>
              </w:rPr>
              <w:t>3</w:t>
            </w:r>
            <w:r>
              <w:rPr>
                <w:rFonts w:hint="eastAsia" w:ascii="Calibri" w:hAnsi="Calibri" w:eastAsia="宋体"/>
                <w:color w:val="000000"/>
                <w:kern w:val="2"/>
                <w:sz w:val="15"/>
                <w:szCs w:val="15"/>
              </w:rPr>
              <w:t>月</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竣工日期</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highlight w:val="yellow"/>
              </w:rPr>
            </w:pPr>
            <w:r>
              <w:rPr>
                <w:rFonts w:hint="eastAsia" w:ascii="Calibri" w:hAnsi="Calibri" w:eastAsia="宋体"/>
                <w:color w:val="000000"/>
                <w:kern w:val="2"/>
                <w:sz w:val="15"/>
                <w:szCs w:val="15"/>
              </w:rPr>
              <w:t>20</w:t>
            </w:r>
            <w:r>
              <w:rPr>
                <w:rFonts w:hint="eastAsia" w:ascii="Calibri" w:hAnsi="Calibri" w:eastAsia="宋体"/>
                <w:color w:val="000000"/>
                <w:kern w:val="2"/>
                <w:sz w:val="15"/>
                <w:szCs w:val="15"/>
                <w:lang w:val="en-US" w:eastAsia="zh-CN"/>
              </w:rPr>
              <w:t>20</w:t>
            </w:r>
            <w:r>
              <w:rPr>
                <w:rFonts w:hint="eastAsia" w:ascii="Calibri" w:hAnsi="Calibri" w:eastAsia="宋体"/>
                <w:color w:val="000000"/>
                <w:kern w:val="2"/>
                <w:sz w:val="15"/>
                <w:szCs w:val="15"/>
              </w:rPr>
              <w:t>年1</w:t>
            </w:r>
            <w:r>
              <w:rPr>
                <w:rFonts w:ascii="Calibri" w:hAnsi="Calibri" w:eastAsia="宋体"/>
                <w:color w:val="000000"/>
                <w:kern w:val="2"/>
                <w:sz w:val="15"/>
                <w:szCs w:val="15"/>
              </w:rPr>
              <w:t>1</w:t>
            </w:r>
            <w:r>
              <w:rPr>
                <w:rFonts w:hint="eastAsia" w:ascii="Calibri" w:hAnsi="Calibri" w:eastAsia="宋体"/>
                <w:color w:val="000000"/>
                <w:kern w:val="2"/>
                <w:sz w:val="15"/>
                <w:szCs w:val="15"/>
              </w:rPr>
              <w:t>月</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排污许可证申领时间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highlight w:val="yellow"/>
              </w:rPr>
            </w:pPr>
            <w:r>
              <w:rPr>
                <w:rFonts w:ascii="Calibri" w:hAnsi="Calibri" w:eastAsia="宋体"/>
                <w:color w:val="000000"/>
                <w:kern w:val="2"/>
                <w:sz w:val="15"/>
                <w:szCs w:val="15"/>
              </w:rPr>
              <w:t>2020</w:t>
            </w:r>
            <w:r>
              <w:rPr>
                <w:rFonts w:hint="eastAsia" w:ascii="Calibri" w:hAnsi="Calibri" w:eastAsia="宋体"/>
                <w:color w:val="000000"/>
                <w:kern w:val="2"/>
                <w:sz w:val="15"/>
                <w:szCs w:val="15"/>
              </w:rPr>
              <w:t>年10月</w:t>
            </w:r>
            <w:r>
              <w:rPr>
                <w:rFonts w:ascii="Calibri" w:hAnsi="Calibri" w:eastAsia="宋体"/>
                <w:color w:val="000000"/>
                <w:kern w:val="2"/>
                <w:sz w:val="15"/>
                <w:szCs w:val="15"/>
              </w:rPr>
              <w:t>30</w:t>
            </w:r>
            <w:r>
              <w:rPr>
                <w:rFonts w:hint="eastAsia" w:ascii="Calibri" w:hAnsi="Calibri" w:eastAsia="宋体"/>
                <w:color w:val="000000"/>
                <w:kern w:val="2"/>
                <w:sz w:val="15"/>
                <w:szCs w:val="15"/>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环保设施设计单位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Times New Roman" w:hAnsi="Times New Roman" w:eastAsia="宋体"/>
                <w:color w:val="000000"/>
                <w:kern w:val="2"/>
                <w:sz w:val="15"/>
                <w:szCs w:val="15"/>
              </w:rPr>
              <w:t>中冶南方工程技术有限公司</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环保设施施工单位</w:t>
            </w:r>
          </w:p>
        </w:tc>
        <w:tc>
          <w:tcPr>
            <w:tcW w:w="1572" w:type="dxa"/>
            <w:tcMar>
              <w:left w:w="57" w:type="dxa"/>
              <w:right w:w="57" w:type="dxa"/>
            </w:tcMar>
            <w:vAlign w:val="center"/>
          </w:tcPr>
          <w:p>
            <w:pPr>
              <w:widowControl w:val="0"/>
              <w:adjustRightInd/>
              <w:snapToGrid/>
              <w:spacing w:after="0"/>
              <w:jc w:val="center"/>
              <w:rPr>
                <w:rFonts w:ascii="宋体" w:hAnsi="宋体" w:eastAsia="宋体"/>
                <w:color w:val="000000"/>
                <w:kern w:val="2"/>
                <w:sz w:val="15"/>
                <w:szCs w:val="15"/>
              </w:rPr>
            </w:pPr>
            <w:r>
              <w:rPr>
                <w:rFonts w:hint="eastAsia" w:ascii="宋体" w:hAnsi="宋体" w:eastAsia="宋体"/>
                <w:color w:val="000000"/>
                <w:kern w:val="2"/>
                <w:sz w:val="15"/>
                <w:szCs w:val="15"/>
              </w:rPr>
              <w:t>安阳建工（集团）</w:t>
            </w:r>
          </w:p>
          <w:p>
            <w:pPr>
              <w:widowControl w:val="0"/>
              <w:adjustRightInd/>
              <w:snapToGrid/>
              <w:spacing w:after="0"/>
              <w:jc w:val="center"/>
              <w:rPr>
                <w:rFonts w:ascii="Calibri" w:hAnsi="Calibri" w:eastAsia="宋体"/>
                <w:color w:val="000000"/>
                <w:kern w:val="2"/>
                <w:sz w:val="15"/>
                <w:szCs w:val="15"/>
              </w:rPr>
            </w:pPr>
            <w:r>
              <w:rPr>
                <w:rFonts w:hint="eastAsia" w:ascii="宋体" w:hAnsi="宋体" w:eastAsia="宋体"/>
                <w:color w:val="000000"/>
                <w:kern w:val="2"/>
                <w:sz w:val="15"/>
                <w:szCs w:val="15"/>
              </w:rPr>
              <w:t>有限责任公司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本工程排污许可证</w:t>
            </w:r>
            <w:r>
              <w:rPr>
                <w:rFonts w:ascii="Calibri" w:hAnsi="Calibri" w:eastAsia="宋体"/>
                <w:b/>
                <w:color w:val="000000"/>
                <w:kern w:val="2"/>
                <w:sz w:val="15"/>
                <w:szCs w:val="15"/>
              </w:rPr>
              <w:t>编号</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91140000701011888X001P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验收单位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Times New Roman" w:hAnsi="Times New Roman" w:eastAsia="宋体"/>
                <w:color w:val="000000"/>
                <w:kern w:val="2"/>
                <w:sz w:val="15"/>
                <w:szCs w:val="15"/>
              </w:rPr>
              <w:t>山西太钢</w:t>
            </w:r>
            <w:r>
              <w:rPr>
                <w:rFonts w:hint="eastAsia" w:ascii="Times New Roman" w:hAnsi="Times New Roman" w:eastAsia="宋体"/>
                <w:color w:val="000000"/>
                <w:kern w:val="2"/>
                <w:sz w:val="15"/>
                <w:szCs w:val="15"/>
              </w:rPr>
              <w:t>工程技术有限公司</w:t>
            </w:r>
            <w:bookmarkStart w:id="37" w:name="_GoBack"/>
            <w:bookmarkEnd w:id="37"/>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环保设施监测单位</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山西华普检测技术有限公司及</w:t>
            </w:r>
            <w:r>
              <w:rPr>
                <w:rFonts w:ascii="Times New Roman" w:hAnsi="Times New Roman" w:eastAsia="宋体"/>
                <w:color w:val="000000"/>
                <w:kern w:val="2"/>
                <w:sz w:val="15"/>
                <w:szCs w:val="15"/>
              </w:rPr>
              <w:t>山西太钢</w:t>
            </w:r>
            <w:r>
              <w:rPr>
                <w:rFonts w:hint="eastAsia" w:ascii="Times New Roman" w:hAnsi="Times New Roman" w:eastAsia="宋体"/>
                <w:color w:val="000000"/>
                <w:kern w:val="2"/>
                <w:sz w:val="15"/>
                <w:szCs w:val="15"/>
              </w:rPr>
              <w:t>工程技术有限公司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验收监测</w:t>
            </w:r>
            <w:r>
              <w:rPr>
                <w:rFonts w:hint="eastAsia" w:ascii="Calibri" w:hAnsi="Calibri" w:eastAsia="宋体"/>
                <w:b/>
                <w:color w:val="000000"/>
                <w:kern w:val="2"/>
                <w:sz w:val="15"/>
                <w:szCs w:val="15"/>
              </w:rPr>
              <w:t>时工况</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85-85.5%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投资总概算（万元）</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6095</w:t>
            </w:r>
          </w:p>
        </w:tc>
        <w:tc>
          <w:tcPr>
            <w:tcW w:w="2293"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环保投资总概算（万元）</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6095</w:t>
            </w:r>
          </w:p>
        </w:tc>
        <w:tc>
          <w:tcPr>
            <w:tcW w:w="1629"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所占比例（%）</w:t>
            </w:r>
          </w:p>
        </w:tc>
        <w:tc>
          <w:tcPr>
            <w:tcW w:w="1986" w:type="dxa"/>
            <w:gridSpan w:val="4"/>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实际总投资</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6090</w:t>
            </w:r>
          </w:p>
        </w:tc>
        <w:tc>
          <w:tcPr>
            <w:tcW w:w="2293" w:type="dxa"/>
            <w:gridSpan w:val="2"/>
            <w:tcMar>
              <w:left w:w="57" w:type="dxa"/>
              <w:right w:w="57" w:type="dxa"/>
            </w:tcMar>
            <w:vAlign w:val="center"/>
          </w:tcPr>
          <w:p>
            <w:pPr>
              <w:widowControl w:val="0"/>
              <w:adjustRightInd/>
              <w:snapToGrid/>
              <w:spacing w:after="0"/>
              <w:ind w:right="300"/>
              <w:jc w:val="center"/>
              <w:rPr>
                <w:rFonts w:ascii="Calibri" w:hAnsi="Calibri" w:eastAsia="宋体"/>
                <w:b/>
                <w:color w:val="000000"/>
                <w:kern w:val="2"/>
                <w:sz w:val="15"/>
                <w:szCs w:val="15"/>
              </w:rPr>
            </w:pPr>
            <w:r>
              <w:rPr>
                <w:rFonts w:ascii="Calibri" w:hAnsi="Calibri" w:eastAsia="宋体"/>
                <w:b/>
                <w:color w:val="000000"/>
                <w:kern w:val="2"/>
                <w:sz w:val="15"/>
                <w:szCs w:val="15"/>
              </w:rPr>
              <w:t>实际环保投资（万元）</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6090</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所占比例（%）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废水治理（万元）</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6060</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废气治理（万元）</w:t>
            </w: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375" w:type="dxa"/>
            <w:gridSpan w:val="3"/>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噪声治理（万元）</w:t>
            </w:r>
          </w:p>
        </w:tc>
        <w:tc>
          <w:tcPr>
            <w:tcW w:w="457"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30</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固</w:t>
            </w:r>
            <w:r>
              <w:rPr>
                <w:rFonts w:hint="eastAsia" w:ascii="Calibri" w:hAnsi="Calibri" w:eastAsia="宋体"/>
                <w:b/>
                <w:color w:val="000000"/>
                <w:kern w:val="2"/>
                <w:sz w:val="15"/>
                <w:szCs w:val="15"/>
              </w:rPr>
              <w:t>体</w:t>
            </w:r>
            <w:r>
              <w:rPr>
                <w:rFonts w:ascii="Calibri" w:hAnsi="Calibri" w:eastAsia="宋体"/>
                <w:b/>
                <w:color w:val="000000"/>
                <w:kern w:val="2"/>
                <w:sz w:val="15"/>
                <w:szCs w:val="15"/>
              </w:rPr>
              <w:t>废</w:t>
            </w:r>
            <w:r>
              <w:rPr>
                <w:rFonts w:hint="eastAsia" w:ascii="Calibri" w:hAnsi="Calibri" w:eastAsia="宋体"/>
                <w:b/>
                <w:color w:val="000000"/>
                <w:kern w:val="2"/>
                <w:sz w:val="15"/>
                <w:szCs w:val="15"/>
              </w:rPr>
              <w:t>物</w:t>
            </w:r>
            <w:r>
              <w:rPr>
                <w:rFonts w:ascii="Calibri" w:hAnsi="Calibri" w:eastAsia="宋体"/>
                <w:b/>
                <w:color w:val="000000"/>
                <w:kern w:val="2"/>
                <w:sz w:val="15"/>
                <w:szCs w:val="15"/>
              </w:rPr>
              <w:t>治理（万元）</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绿化及生态（万元）</w:t>
            </w:r>
          </w:p>
        </w:tc>
        <w:tc>
          <w:tcPr>
            <w:tcW w:w="25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c>
          <w:tcPr>
            <w:tcW w:w="949"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其</w:t>
            </w:r>
            <w:r>
              <w:rPr>
                <w:rFonts w:hint="eastAsia" w:ascii="Calibri" w:hAnsi="Calibri" w:eastAsia="宋体"/>
                <w:b/>
                <w:color w:val="000000"/>
                <w:kern w:val="2"/>
                <w:sz w:val="15"/>
                <w:szCs w:val="15"/>
              </w:rPr>
              <w:t>他</w:t>
            </w:r>
            <w:r>
              <w:rPr>
                <w:rFonts w:ascii="Calibri" w:hAnsi="Calibri" w:eastAsia="宋体"/>
                <w:b/>
                <w:color w:val="000000"/>
                <w:kern w:val="2"/>
                <w:sz w:val="15"/>
                <w:szCs w:val="15"/>
              </w:rPr>
              <w:t>（万元）</w:t>
            </w: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新增废水处理设施能力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新增废气处理设施能力</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年平均工作时</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8</w:t>
            </w:r>
            <w:r>
              <w:rPr>
                <w:rFonts w:ascii="Calibri" w:hAnsi="Calibri" w:eastAsia="宋体"/>
                <w:color w:val="000000"/>
                <w:kern w:val="2"/>
                <w:sz w:val="15"/>
                <w:szCs w:val="15"/>
              </w:rPr>
              <w:t>760h</w:t>
            </w:r>
            <w:r>
              <w:rPr>
                <w:rFonts w:hint="eastAsia" w:ascii="Calibri" w:hAnsi="Calibri" w:eastAsia="宋体"/>
                <w:color w:val="000000"/>
                <w:kern w:val="2"/>
                <w:sz w:val="15"/>
                <w:szCs w:val="15"/>
              </w:rPr>
              <w:t>（3</w:t>
            </w:r>
            <w:r>
              <w:rPr>
                <w:rFonts w:ascii="Calibri" w:hAnsi="Calibri" w:eastAsia="宋体"/>
                <w:color w:val="000000"/>
                <w:kern w:val="2"/>
                <w:sz w:val="15"/>
                <w:szCs w:val="15"/>
              </w:rPr>
              <w:t>65d</w:t>
            </w:r>
            <w:r>
              <w:rPr>
                <w:rFonts w:hint="eastAsia" w:ascii="Calibri" w:hAnsi="Calibri" w:eastAsia="宋体"/>
                <w:color w:val="000000"/>
                <w:kern w:val="2"/>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85" w:type="dxa"/>
            <w:gridSpan w:val="4"/>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运营单位</w:t>
            </w:r>
          </w:p>
        </w:tc>
        <w:tc>
          <w:tcPr>
            <w:tcW w:w="3924"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山西太钢不锈钢股份有限公司</w:t>
            </w:r>
          </w:p>
        </w:tc>
        <w:tc>
          <w:tcPr>
            <w:tcW w:w="3224" w:type="dxa"/>
            <w:gridSpan w:val="5"/>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运营单位</w:t>
            </w:r>
            <w:r>
              <w:rPr>
                <w:rFonts w:hint="eastAsia" w:ascii="Calibri" w:hAnsi="Calibri" w:eastAsia="宋体"/>
                <w:b/>
                <w:color w:val="000000"/>
                <w:kern w:val="2"/>
                <w:sz w:val="15"/>
                <w:szCs w:val="15"/>
              </w:rPr>
              <w:t>社会统一信用代码（或组织机构代码）</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9</w:t>
            </w:r>
            <w:r>
              <w:rPr>
                <w:rFonts w:ascii="Calibri" w:hAnsi="Calibri" w:eastAsia="宋体"/>
                <w:color w:val="000000"/>
                <w:kern w:val="2"/>
                <w:sz w:val="15"/>
                <w:szCs w:val="15"/>
              </w:rPr>
              <w:t>1140000110114391W</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验收时间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20</w:t>
            </w:r>
            <w:r>
              <w:rPr>
                <w:rFonts w:ascii="Calibri" w:hAnsi="Calibri" w:eastAsia="宋体"/>
                <w:color w:val="000000"/>
                <w:kern w:val="2"/>
                <w:sz w:val="15"/>
                <w:szCs w:val="15"/>
              </w:rPr>
              <w:t>21</w:t>
            </w:r>
            <w:r>
              <w:rPr>
                <w:rFonts w:hint="eastAsia" w:ascii="Calibri" w:hAnsi="Calibri" w:eastAsia="宋体"/>
                <w:color w:val="000000"/>
                <w:kern w:val="2"/>
                <w:sz w:val="15"/>
                <w:szCs w:val="15"/>
              </w:rPr>
              <w:t>年</w:t>
            </w:r>
            <w:r>
              <w:rPr>
                <w:rFonts w:ascii="Calibri" w:hAnsi="Calibri" w:eastAsia="宋体"/>
                <w:color w:val="000000"/>
                <w:kern w:val="2"/>
                <w:sz w:val="15"/>
                <w:szCs w:val="15"/>
              </w:rPr>
              <w:t>9</w:t>
            </w:r>
            <w:r>
              <w:rPr>
                <w:rFonts w:hint="eastAsia" w:ascii="Calibri" w:hAnsi="Calibri" w:eastAsia="宋体"/>
                <w:color w:val="000000"/>
                <w:kern w:val="2"/>
                <w:sz w:val="15"/>
                <w:szCs w:val="15"/>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restart"/>
            <w:tcMar>
              <w:left w:w="57" w:type="dxa"/>
              <w:right w:w="57" w:type="dxa"/>
            </w:tcMar>
            <w:vAlign w:val="center"/>
          </w:tcPr>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污染</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物排</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放达</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标与</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总量</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控制（工</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业建</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设项</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目详填）</w:t>
            </w: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污染物</w:t>
            </w:r>
          </w:p>
        </w:tc>
        <w:tc>
          <w:tcPr>
            <w:tcW w:w="92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原有排</w:t>
            </w:r>
          </w:p>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放量(1)</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本期工程实际排放浓度(2)</w:t>
            </w:r>
          </w:p>
        </w:tc>
        <w:tc>
          <w:tcPr>
            <w:tcW w:w="1065"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本期工程允许排放浓度(3)</w:t>
            </w: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本期工程产生量(4)</w:t>
            </w: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本期工程自身削减量(5)</w:t>
            </w:r>
          </w:p>
        </w:tc>
        <w:tc>
          <w:tcPr>
            <w:tcW w:w="1121"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本期工程实际排放量(6)</w:t>
            </w:r>
          </w:p>
        </w:tc>
        <w:tc>
          <w:tcPr>
            <w:tcW w:w="1172"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本期工程核定排放总量(7)</w:t>
            </w:r>
          </w:p>
        </w:tc>
        <w:tc>
          <w:tcPr>
            <w:tcW w:w="1572"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本期工程“以新带老”削减量(8)</w:t>
            </w:r>
          </w:p>
        </w:tc>
        <w:tc>
          <w:tcPr>
            <w:tcW w:w="740"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全厂实际排放总量(9)</w:t>
            </w: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全厂核定排放总量(10)</w:t>
            </w:r>
          </w:p>
        </w:tc>
        <w:tc>
          <w:tcPr>
            <w:tcW w:w="949"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区域平衡替代削减量(11)</w:t>
            </w: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废水</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化学需氧量</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氨氮</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石油类</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工业粉尘</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highlight w:val="yellow"/>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氮氧化物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textAlignment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textAlignment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黑体"/>
                <w:b/>
                <w:color w:val="000000"/>
                <w:kern w:val="2"/>
                <w:sz w:val="15"/>
                <w:szCs w:val="15"/>
              </w:rPr>
            </w:pPr>
            <w:r>
              <w:rPr>
                <w:rFonts w:ascii="Calibri" w:hAnsi="Calibri" w:eastAsia="宋体"/>
                <w:b/>
                <w:color w:val="000000"/>
                <w:kern w:val="2"/>
                <w:sz w:val="15"/>
                <w:szCs w:val="15"/>
              </w:rPr>
              <w:t>工业固体废物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restart"/>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与项目有关的其</w:t>
            </w:r>
            <w:r>
              <w:rPr>
                <w:rFonts w:hint="eastAsia" w:ascii="Calibri" w:hAnsi="Calibri" w:eastAsia="宋体"/>
                <w:b/>
                <w:color w:val="000000"/>
                <w:kern w:val="2"/>
                <w:sz w:val="15"/>
                <w:szCs w:val="15"/>
              </w:rPr>
              <w:t>他</w:t>
            </w:r>
            <w:r>
              <w:rPr>
                <w:rFonts w:ascii="Calibri" w:hAnsi="Calibri" w:eastAsia="宋体"/>
                <w:b/>
                <w:color w:val="000000"/>
                <w:kern w:val="2"/>
                <w:sz w:val="15"/>
                <w:szCs w:val="15"/>
              </w:rPr>
              <w:t>特征污染物</w:t>
            </w:r>
          </w:p>
        </w:tc>
        <w:tc>
          <w:tcPr>
            <w:tcW w:w="636" w:type="dxa"/>
            <w:tcMar>
              <w:left w:w="57" w:type="dxa"/>
              <w:right w:w="57" w:type="dxa"/>
            </w:tcMar>
            <w:vAlign w:val="center"/>
          </w:tcPr>
          <w:p>
            <w:pPr>
              <w:widowControl w:val="0"/>
              <w:adjustRightInd/>
              <w:snapToGrid/>
              <w:spacing w:after="0"/>
              <w:jc w:val="center"/>
              <w:rPr>
                <w:rFonts w:ascii="Calibri" w:hAnsi="Calibri" w:eastAsia="黑体"/>
                <w:b/>
                <w:color w:val="000000"/>
                <w:kern w:val="2"/>
                <w:sz w:val="15"/>
                <w:szCs w:val="15"/>
              </w:rPr>
            </w:pPr>
            <w:r>
              <w:rPr>
                <w:rFonts w:hint="eastAsia" w:ascii="Calibri" w:hAnsi="Calibri" w:eastAsia="宋体"/>
                <w:b/>
                <w:color w:val="000000"/>
                <w:kern w:val="2"/>
                <w:sz w:val="15"/>
                <w:szCs w:val="15"/>
              </w:rPr>
              <w:t>悬浮物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highlight w:val="yellow"/>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总氮</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bookmarkEnd w:id="15"/>
      <w:bookmarkEnd w:id="36"/>
    </w:tbl>
    <w:p>
      <w:pPr>
        <w:widowControl w:val="0"/>
        <w:adjustRightInd/>
        <w:snapToGrid/>
        <w:spacing w:after="0"/>
        <w:jc w:val="both"/>
        <w:rPr>
          <w:rFonts w:ascii="Calibri" w:hAnsi="Calibri" w:eastAsia="宋体"/>
          <w:color w:val="000000"/>
          <w:kern w:val="2"/>
          <w:sz w:val="15"/>
          <w:szCs w:val="15"/>
        </w:rPr>
      </w:pPr>
      <w:r>
        <w:rPr>
          <w:rFonts w:hint="eastAsia" w:ascii="宋体" w:hAnsi="宋体" w:eastAsia="宋体" w:cs="宋体"/>
          <w:b/>
          <w:color w:val="000000"/>
          <w:kern w:val="2"/>
          <w:sz w:val="15"/>
          <w:szCs w:val="15"/>
        </w:rPr>
        <w:t>注</w:t>
      </w:r>
      <w:r>
        <w:rPr>
          <w:rFonts w:hint="eastAsia" w:ascii="宋体" w:hAnsi="宋体" w:eastAsia="宋体" w:cs="宋体"/>
          <w:color w:val="000000"/>
          <w:kern w:val="2"/>
          <w:sz w:val="15"/>
          <w:szCs w:val="15"/>
        </w:rPr>
        <w:t>：1、</w:t>
      </w:r>
      <w:r>
        <w:rPr>
          <w:rFonts w:hint="eastAsia" w:ascii="宋体" w:hAnsi="宋体" w:eastAsia="宋体" w:cs="宋体"/>
          <w:color w:val="000000"/>
          <w:spacing w:val="-4"/>
          <w:kern w:val="2"/>
          <w:sz w:val="15"/>
          <w:szCs w:val="15"/>
        </w:rPr>
        <w:t>排放增减量：（+）表示增加，（-）表示减少。2、(12)=(6)-(8)-(11)，（9）= (4)-(5)-(8)- (11) +（1）。3、计量单位：废水排放量——万吨/年；废气排放量——万标立方米/年；工业固体废物排放</w:t>
      </w:r>
      <w:r>
        <w:rPr>
          <w:rFonts w:hint="eastAsia" w:ascii="宋体" w:hAnsi="宋体" w:eastAsia="宋体" w:cs="宋体"/>
          <w:color w:val="000000"/>
          <w:kern w:val="2"/>
          <w:sz w:val="15"/>
          <w:szCs w:val="15"/>
        </w:rPr>
        <w:t>量——万吨/年；水污染物排放浓度——毫克/升</w:t>
      </w:r>
    </w:p>
    <w:bookmarkEnd w:id="17"/>
    <w:p>
      <w:pPr>
        <w:tabs>
          <w:tab w:val="left" w:pos="270"/>
        </w:tabs>
        <w:rPr>
          <w:rFonts w:ascii="Calibri" w:hAnsi="Calibri" w:eastAsia="宋体"/>
          <w:color w:val="000000"/>
          <w:sz w:val="15"/>
          <w:szCs w:val="15"/>
        </w:rPr>
        <w:sectPr>
          <w:footerReference r:id="rId11" w:type="default"/>
          <w:footerReference r:id="rId12" w:type="even"/>
          <w:pgSz w:w="16840" w:h="11907" w:orient="landscape"/>
          <w:pgMar w:top="1531" w:right="1304" w:bottom="1531" w:left="1304" w:header="284" w:footer="851" w:gutter="0"/>
          <w:cols w:space="720" w:num="1"/>
          <w:docGrid w:linePitch="285" w:charSpace="0"/>
        </w:sectPr>
      </w:pPr>
    </w:p>
    <w:p>
      <w:pPr>
        <w:pStyle w:val="47"/>
        <w:spacing w:before="0" w:beforeAutospacing="0" w:after="0" w:afterAutospacing="0" w:line="520" w:lineRule="exact"/>
        <w:jc w:val="both"/>
        <w:outlineLvl w:val="0"/>
        <w:rPr>
          <w:color w:val="000000"/>
        </w:rPr>
      </w:pPr>
    </w:p>
    <w:sectPr>
      <w:headerReference r:id="rId13" w:type="default"/>
      <w:footerReference r:id="rId14" w:type="default"/>
      <w:pgSz w:w="11906" w:h="16838"/>
      <w:pgMar w:top="1440" w:right="1457" w:bottom="1440" w:left="145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auto"/>
    <w:pitch w:val="default"/>
    <w:sig w:usb0="F7FFAFFF" w:usb1="E9DFFFFF" w:usb2="0000003F" w:usb3="00000000" w:csb0="003F01FF" w:csb1="00000000"/>
  </w:font>
  <w:font w:name="仿宋_GB2312">
    <w:altName w:val="仿宋"/>
    <w:panose1 w:val="00000000000000000000"/>
    <w:charset w:val="86"/>
    <w:family w:val="auto"/>
    <w:pitch w:val="default"/>
    <w:sig w:usb0="00000001" w:usb1="080E0000" w:usb2="00000010" w:usb3="00000000" w:csb0="00040000" w:csb1="00000000"/>
  </w:font>
  <w:font w:name="..">
    <w:altName w:val="黑体"/>
    <w:panose1 w:val="00000000000000000000"/>
    <w:charset w:val="86"/>
    <w:family w:val="auto"/>
    <w:pitch w:val="default"/>
    <w:sig w:usb0="00000000" w:usb1="00000000" w:usb2="00000010" w:usb3="00000000" w:csb0="00040000" w:csb1="00000000"/>
  </w:font>
  <w:font w:name="Batang">
    <w:panose1 w:val="02030600000101010101"/>
    <w:charset w:val="81"/>
    <w:family w:val="auto"/>
    <w:pitch w:val="default"/>
    <w:sig w:usb0="B00002AF" w:usb1="69D77CFB" w:usb2="00000030" w:usb3="00000000" w:csb0="4008009F" w:csb1="DFD70000"/>
  </w:font>
  <w:font w:name="华文细黑">
    <w:panose1 w:val="02010600040101010101"/>
    <w:charset w:val="86"/>
    <w:family w:val="auto"/>
    <w:pitch w:val="default"/>
    <w:sig w:usb0="00000287" w:usb1="080F0000" w:usb2="00000000" w:usb3="00000000" w:csb0="0004009F" w:csb1="DFD70000"/>
  </w:font>
  <w:font w:name="MS Mincho">
    <w:panose1 w:val="02020609040205080304"/>
    <w:charset w:val="80"/>
    <w:family w:val="auto"/>
    <w:pitch w:val="default"/>
    <w:sig w:usb0="E00002FF" w:usb1="6AC7FDFB" w:usb2="00000012" w:usb3="00000000" w:csb0="4002009F" w:csb1="DFD70000"/>
  </w:font>
  <w:font w:name="MingLiU">
    <w:panose1 w:val="02020509000000000000"/>
    <w:charset w:val="88"/>
    <w:family w:val="auto"/>
    <w:pitch w:val="default"/>
    <w:sig w:usb0="A00002FF" w:usb1="28CFFCFA" w:usb2="00000016" w:usb3="00000000" w:csb0="00100001" w:csb1="00000000"/>
  </w:font>
  <w:font w:name="Dotum">
    <w:panose1 w:val="020B0600000101010101"/>
    <w:charset w:val="81"/>
    <w:family w:val="auto"/>
    <w:pitch w:val="default"/>
    <w:sig w:usb0="B00002AF" w:usb1="69D77CFB" w:usb2="00000030" w:usb3="00000000" w:csb0="4008009F" w:csb1="DFD70000"/>
  </w:font>
  <w:font w:name="Microsoft YaHei UI">
    <w:panose1 w:val="020B0503020204020204"/>
    <w:charset w:val="86"/>
    <w:family w:val="auto"/>
    <w:pitch w:val="default"/>
    <w:sig w:usb0="80000287" w:usb1="28C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rPr>
        <w:rFonts w:cs="Tahoma"/>
      </w:rPr>
    </w:pPr>
    <w:r>
      <w:rPr>
        <w:rFonts w:ascii="Calibri" w:hAnsi="Calibri" w:eastAsia="宋体" w:cs="Calibri"/>
        <w:kern w:val="2"/>
        <w:sz w:val="18"/>
        <w:szCs w:val="18"/>
        <w:lang w:val="en-US" w:eastAsia="zh-CN" w:bidi="ar-SA"/>
      </w:rPr>
      <w:pict>
        <v:shape id="Quad Arrow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7"/>
                  <w:rPr>
                    <w:rFonts w:cs="Tahoma"/>
                  </w:rPr>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rPr>
        <w:rFonts w:cs="Tahoma"/>
      </w:rPr>
    </w:pPr>
    <w:r>
      <w:rPr>
        <w:rFonts w:ascii="Calibri" w:hAnsi="Calibri" w:eastAsia="宋体" w:cs="Calibri"/>
        <w:kern w:val="2"/>
        <w:sz w:val="18"/>
        <w:szCs w:val="18"/>
        <w:lang w:val="en-US" w:eastAsia="zh-CN" w:bidi="ar-SA"/>
      </w:rPr>
      <w:pict>
        <v:shape id="Quad Arrow 2" o:spid="_x0000_s1026" type="#_x0000_t202" style="position:absolute;left:0;margin-top:0pt;height:144pt;width:144pt;mso-position-horizontal:center;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7"/>
                  <w:rPr>
                    <w:rFonts w:cs="Tahoma"/>
                  </w:rPr>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页共</w:t>
    </w:r>
    <w:r>
      <w:rPr>
        <w:rFonts w:hint="eastAsia" w:ascii="Times New Roman" w:hAnsi="Times New Roman"/>
        <w:sz w:val="21"/>
        <w:szCs w:val="21"/>
      </w:rPr>
      <w:t>48</w:t>
    </w:r>
    <w:r>
      <w:rPr>
        <w:rFonts w:ascii="Times New Roman" w:hAnsi="Times New Roman"/>
        <w:sz w:val="21"/>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tabs>
        <w:tab w:val="center" w:pos="7176"/>
        <w:tab w:val="left" w:pos="8362"/>
      </w:tabs>
      <w:jc w:val="both"/>
      <w:rPr>
        <w:rFonts w:ascii="宋体" w:cs="Tahoma"/>
        <w:sz w:val="21"/>
        <w:szCs w:val="21"/>
      </w:rPr>
    </w:pPr>
    <w:r>
      <w:rPr>
        <w:rFonts w:ascii="Calibri" w:hAnsi="Calibri" w:eastAsia="宋体" w:cs="Calibri"/>
        <w:kern w:val="2"/>
        <w:sz w:val="18"/>
        <w:szCs w:val="18"/>
        <w:lang w:val="en-US" w:eastAsia="zh-CN" w:bidi="ar-SA"/>
      </w:rPr>
      <w:pict>
        <v:rect id="文本框 20" o:spid="_x0000_s1027" style="position:absolute;left:0;margin-top:0pt;height:16.5pt;width:9.15pt;mso-position-horizontal:center;mso-position-horizontal-relative:margin;mso-wrap-style:none;rotation:0f;z-index:251660288;"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7"/>
                  <w:rPr>
                    <w:rFonts w:cs="Tahoma"/>
                  </w:rPr>
                </w:pPr>
                <w:r>
                  <w:fldChar w:fldCharType="begin"/>
                </w:r>
                <w:r>
                  <w:instrText xml:space="preserve"> PAGE  \* MERGEFORMAT </w:instrText>
                </w:r>
                <w:r>
                  <w:fldChar w:fldCharType="separate"/>
                </w:r>
                <w:r>
                  <w:t>32</w:t>
                </w:r>
                <w:r>
                  <w:fldChar w:fldCharType="end"/>
                </w:r>
              </w:p>
            </w:txbxContent>
          </v:textbox>
          <w10:anchorlock/>
        </v:rect>
      </w:pict>
    </w:r>
    <w:r>
      <w:rPr>
        <w:rFonts w:ascii="宋体" w:cs="Tahoma"/>
        <w:sz w:val="28"/>
        <w:szCs w:val="28"/>
      </w:rPr>
      <w:tab/>
    </w:r>
    <w:r>
      <w:rPr>
        <w:rFonts w:ascii="宋体" w:cs="Tahoma"/>
        <w:sz w:val="28"/>
        <w:szCs w:val="28"/>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57</w:t>
    </w:r>
    <w:r>
      <w:rPr>
        <w:rFonts w:ascii="Times New Roman" w:hAnsi="Times New Roman"/>
        <w:sz w:val="21"/>
        <w:szCs w:val="21"/>
      </w:rPr>
      <w:fldChar w:fldCharType="end"/>
    </w:r>
    <w:r>
      <w:rPr>
        <w:rFonts w:ascii="Times New Roman" w:hAnsi="Times New Roman"/>
        <w:sz w:val="21"/>
        <w:szCs w:val="21"/>
      </w:rPr>
      <w:t>页共</w:t>
    </w:r>
    <w:r>
      <w:rPr>
        <w:rFonts w:hint="eastAsia" w:ascii="Times New Roman" w:hAnsi="Times New Roman"/>
        <w:sz w:val="21"/>
        <w:szCs w:val="21"/>
      </w:rPr>
      <w:t>48</w:t>
    </w:r>
    <w:r>
      <w:rPr>
        <w:rFonts w:ascii="Times New Roman" w:hAnsi="Times New Roman"/>
        <w:sz w:val="21"/>
        <w:szCs w:val="21"/>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framePr w:wrap="around" w:vAnchor="text" w:hAnchor="margin" w:xAlign="outside" w:y="1"/>
      <w:rPr>
        <w:rStyle w:val="117"/>
      </w:rPr>
    </w:pPr>
    <w:r>
      <w:fldChar w:fldCharType="begin"/>
    </w:r>
    <w:r>
      <w:rPr>
        <w:rStyle w:val="117"/>
      </w:rPr>
      <w:instrText xml:space="preserve">PAGE  </w:instrText>
    </w:r>
    <w:r>
      <w:fldChar w:fldCharType="separate"/>
    </w:r>
    <w:r>
      <w:rPr>
        <w:rStyle w:val="117"/>
      </w:rPr>
      <w:t>36</w:t>
    </w:r>
    <w:r>
      <w:fldChar w:fldCharType="end"/>
    </w:r>
  </w:p>
  <w:p>
    <w:pPr>
      <w:pStyle w:val="2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7"/>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pPr>
    <w:r>
      <w:rPr>
        <w:rFonts w:hint="eastAsia"/>
      </w:rPr>
      <w:t>山西太钢不锈钢股份有限公司不锈钢产品结构升级改造配套水处理改造项目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20991465">
    <w:nsid w:val="36E536E9"/>
    <w:multiLevelType w:val="multilevel"/>
    <w:tmpl w:val="36E536E9"/>
    <w:lvl w:ilvl="0" w:tentative="1">
      <w:start w:val="1"/>
      <w:numFmt w:val="decimal"/>
      <w:pStyle w:val="56"/>
      <w:suff w:val="space"/>
      <w:lvlText w:val="表%1"/>
      <w:lvlJc w:val="left"/>
      <w:pPr>
        <w:ind w:left="284" w:firstLine="0"/>
      </w:pPr>
      <w:rPr>
        <w:rFonts w:hint="eastAsia" w:ascii="黑体" w:hAnsi="黑体" w:eastAsia="黑体"/>
        <w:b/>
        <w:i w:val="0"/>
        <w:sz w:val="30"/>
        <w:szCs w:val="30"/>
      </w:rPr>
    </w:lvl>
    <w:lvl w:ilvl="1" w:tentative="1">
      <w:start w:val="1"/>
      <w:numFmt w:val="decimal"/>
      <w:suff w:val="space"/>
      <w:lvlText w:val="%1.%2"/>
      <w:lvlJc w:val="left"/>
      <w:pPr>
        <w:ind w:left="-1560" w:firstLine="0"/>
      </w:pPr>
      <w:rPr>
        <w:rFonts w:hint="default" w:ascii="Times New Roman" w:hAnsi="Times New Roman" w:eastAsia="宋体"/>
        <w:b/>
        <w:i w:val="0"/>
        <w:sz w:val="28"/>
        <w:szCs w:val="28"/>
      </w:rPr>
    </w:lvl>
    <w:lvl w:ilvl="2" w:tentative="1">
      <w:start w:val="1"/>
      <w:numFmt w:val="decimal"/>
      <w:suff w:val="space"/>
      <w:lvlText w:val="%1.%2.%3"/>
      <w:lvlJc w:val="left"/>
      <w:pPr>
        <w:ind w:left="-1560" w:firstLine="0"/>
      </w:pPr>
      <w:rPr>
        <w:rFonts w:hint="eastAsia" w:ascii="Times New Roman" w:hAnsi="Times New Roman" w:cs="Times New Roman"/>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firstLine="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num w:numId="1">
    <w:abstractNumId w:val="9209914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87789"/>
    <w:rsid w:val="00005EFB"/>
    <w:rsid w:val="00006CEF"/>
    <w:rsid w:val="00010270"/>
    <w:rsid w:val="00012417"/>
    <w:rsid w:val="00021F4E"/>
    <w:rsid w:val="000324A7"/>
    <w:rsid w:val="0003322B"/>
    <w:rsid w:val="000369F9"/>
    <w:rsid w:val="000403BF"/>
    <w:rsid w:val="000413FD"/>
    <w:rsid w:val="000445E6"/>
    <w:rsid w:val="00056CDF"/>
    <w:rsid w:val="000740BF"/>
    <w:rsid w:val="000963E9"/>
    <w:rsid w:val="000A1572"/>
    <w:rsid w:val="000A1B8A"/>
    <w:rsid w:val="000D49FB"/>
    <w:rsid w:val="000D72CB"/>
    <w:rsid w:val="000E1B9E"/>
    <w:rsid w:val="000E2B0E"/>
    <w:rsid w:val="000F1941"/>
    <w:rsid w:val="000F25C2"/>
    <w:rsid w:val="000F4CDF"/>
    <w:rsid w:val="00103D2B"/>
    <w:rsid w:val="00107E28"/>
    <w:rsid w:val="00112DC1"/>
    <w:rsid w:val="00134D19"/>
    <w:rsid w:val="00137483"/>
    <w:rsid w:val="00140409"/>
    <w:rsid w:val="00142505"/>
    <w:rsid w:val="001447B3"/>
    <w:rsid w:val="001453F1"/>
    <w:rsid w:val="0015028D"/>
    <w:rsid w:val="0016068C"/>
    <w:rsid w:val="00166852"/>
    <w:rsid w:val="0017174F"/>
    <w:rsid w:val="001718D7"/>
    <w:rsid w:val="00177227"/>
    <w:rsid w:val="001820DF"/>
    <w:rsid w:val="0019075B"/>
    <w:rsid w:val="00195E47"/>
    <w:rsid w:val="00196CA9"/>
    <w:rsid w:val="001A06DC"/>
    <w:rsid w:val="001A2A47"/>
    <w:rsid w:val="001A4F7F"/>
    <w:rsid w:val="001A7A6D"/>
    <w:rsid w:val="001B0D11"/>
    <w:rsid w:val="001B7857"/>
    <w:rsid w:val="001C3176"/>
    <w:rsid w:val="001C4A2E"/>
    <w:rsid w:val="001D6AF7"/>
    <w:rsid w:val="001E5D8D"/>
    <w:rsid w:val="001E7E8F"/>
    <w:rsid w:val="001F5227"/>
    <w:rsid w:val="001F798F"/>
    <w:rsid w:val="00203A57"/>
    <w:rsid w:val="00206081"/>
    <w:rsid w:val="002139E7"/>
    <w:rsid w:val="00231633"/>
    <w:rsid w:val="00235C30"/>
    <w:rsid w:val="0023777D"/>
    <w:rsid w:val="002458B6"/>
    <w:rsid w:val="002513D1"/>
    <w:rsid w:val="0025252D"/>
    <w:rsid w:val="00256E53"/>
    <w:rsid w:val="002573AF"/>
    <w:rsid w:val="00260A36"/>
    <w:rsid w:val="002632FA"/>
    <w:rsid w:val="00263DB8"/>
    <w:rsid w:val="00263FAA"/>
    <w:rsid w:val="002661B5"/>
    <w:rsid w:val="00271C49"/>
    <w:rsid w:val="00271F4C"/>
    <w:rsid w:val="00275A9C"/>
    <w:rsid w:val="0027636D"/>
    <w:rsid w:val="0028338A"/>
    <w:rsid w:val="00293C08"/>
    <w:rsid w:val="00294406"/>
    <w:rsid w:val="002A0044"/>
    <w:rsid w:val="002B0068"/>
    <w:rsid w:val="002B0A92"/>
    <w:rsid w:val="002B203A"/>
    <w:rsid w:val="002B535D"/>
    <w:rsid w:val="002B56A8"/>
    <w:rsid w:val="002B59CD"/>
    <w:rsid w:val="002C273E"/>
    <w:rsid w:val="002C3078"/>
    <w:rsid w:val="002C7312"/>
    <w:rsid w:val="002C791A"/>
    <w:rsid w:val="002D1692"/>
    <w:rsid w:val="002D58DB"/>
    <w:rsid w:val="002D634E"/>
    <w:rsid w:val="002F0660"/>
    <w:rsid w:val="002F19F5"/>
    <w:rsid w:val="002F2B2D"/>
    <w:rsid w:val="002F4DC1"/>
    <w:rsid w:val="00305D91"/>
    <w:rsid w:val="0030771F"/>
    <w:rsid w:val="00314B2A"/>
    <w:rsid w:val="003206AA"/>
    <w:rsid w:val="00322683"/>
    <w:rsid w:val="0032418B"/>
    <w:rsid w:val="00334429"/>
    <w:rsid w:val="00336D3A"/>
    <w:rsid w:val="00340DEE"/>
    <w:rsid w:val="00341860"/>
    <w:rsid w:val="003432F7"/>
    <w:rsid w:val="00343817"/>
    <w:rsid w:val="003509A3"/>
    <w:rsid w:val="00356BE4"/>
    <w:rsid w:val="00362828"/>
    <w:rsid w:val="003632F2"/>
    <w:rsid w:val="00371454"/>
    <w:rsid w:val="00372197"/>
    <w:rsid w:val="0037263D"/>
    <w:rsid w:val="00374ACF"/>
    <w:rsid w:val="00375520"/>
    <w:rsid w:val="00384ADA"/>
    <w:rsid w:val="003A0E69"/>
    <w:rsid w:val="003A1977"/>
    <w:rsid w:val="003A4A81"/>
    <w:rsid w:val="003C3F32"/>
    <w:rsid w:val="003C45FC"/>
    <w:rsid w:val="003C690B"/>
    <w:rsid w:val="003D0ED7"/>
    <w:rsid w:val="003D28A2"/>
    <w:rsid w:val="003E5889"/>
    <w:rsid w:val="003E60BD"/>
    <w:rsid w:val="003F09D4"/>
    <w:rsid w:val="003F1933"/>
    <w:rsid w:val="0040447D"/>
    <w:rsid w:val="00411CEA"/>
    <w:rsid w:val="00420585"/>
    <w:rsid w:val="00421C5C"/>
    <w:rsid w:val="0043343E"/>
    <w:rsid w:val="004338D8"/>
    <w:rsid w:val="00435C3F"/>
    <w:rsid w:val="00436320"/>
    <w:rsid w:val="00441BF3"/>
    <w:rsid w:val="0044203D"/>
    <w:rsid w:val="004428A3"/>
    <w:rsid w:val="00445581"/>
    <w:rsid w:val="0044674C"/>
    <w:rsid w:val="00451741"/>
    <w:rsid w:val="00463582"/>
    <w:rsid w:val="004677CF"/>
    <w:rsid w:val="0047077D"/>
    <w:rsid w:val="004762E4"/>
    <w:rsid w:val="004A0A83"/>
    <w:rsid w:val="004A1DB8"/>
    <w:rsid w:val="004B01C9"/>
    <w:rsid w:val="004B14EB"/>
    <w:rsid w:val="004B2A90"/>
    <w:rsid w:val="004B35FB"/>
    <w:rsid w:val="004B5FA4"/>
    <w:rsid w:val="004C2041"/>
    <w:rsid w:val="004C7E7C"/>
    <w:rsid w:val="004D58BD"/>
    <w:rsid w:val="004D6269"/>
    <w:rsid w:val="004D6BD7"/>
    <w:rsid w:val="004E5284"/>
    <w:rsid w:val="004E795C"/>
    <w:rsid w:val="004F3DF2"/>
    <w:rsid w:val="004F4387"/>
    <w:rsid w:val="004F5463"/>
    <w:rsid w:val="0050005D"/>
    <w:rsid w:val="00502A59"/>
    <w:rsid w:val="005032C2"/>
    <w:rsid w:val="00505C16"/>
    <w:rsid w:val="00511F25"/>
    <w:rsid w:val="00515ACA"/>
    <w:rsid w:val="00517C3B"/>
    <w:rsid w:val="0052692C"/>
    <w:rsid w:val="005302B3"/>
    <w:rsid w:val="0053114D"/>
    <w:rsid w:val="00543547"/>
    <w:rsid w:val="00554FD4"/>
    <w:rsid w:val="0055631E"/>
    <w:rsid w:val="005564C9"/>
    <w:rsid w:val="00566D8E"/>
    <w:rsid w:val="00567DFF"/>
    <w:rsid w:val="0058104B"/>
    <w:rsid w:val="0058158A"/>
    <w:rsid w:val="00592156"/>
    <w:rsid w:val="00592E74"/>
    <w:rsid w:val="0059618C"/>
    <w:rsid w:val="005B4064"/>
    <w:rsid w:val="005C191C"/>
    <w:rsid w:val="005C1B25"/>
    <w:rsid w:val="005C4608"/>
    <w:rsid w:val="005C69DE"/>
    <w:rsid w:val="005C6FCE"/>
    <w:rsid w:val="005D3919"/>
    <w:rsid w:val="005D4CD3"/>
    <w:rsid w:val="005D5F6A"/>
    <w:rsid w:val="005D77DE"/>
    <w:rsid w:val="005E0994"/>
    <w:rsid w:val="005E2D38"/>
    <w:rsid w:val="005F3F23"/>
    <w:rsid w:val="005F4037"/>
    <w:rsid w:val="00600BDA"/>
    <w:rsid w:val="006076B5"/>
    <w:rsid w:val="00610F77"/>
    <w:rsid w:val="00616940"/>
    <w:rsid w:val="00633E1E"/>
    <w:rsid w:val="006354B0"/>
    <w:rsid w:val="006422F0"/>
    <w:rsid w:val="00644558"/>
    <w:rsid w:val="00646D3D"/>
    <w:rsid w:val="00651821"/>
    <w:rsid w:val="00653FE0"/>
    <w:rsid w:val="0066323B"/>
    <w:rsid w:val="00664157"/>
    <w:rsid w:val="0066672C"/>
    <w:rsid w:val="0067042A"/>
    <w:rsid w:val="0067330B"/>
    <w:rsid w:val="006743C7"/>
    <w:rsid w:val="00682860"/>
    <w:rsid w:val="006828AC"/>
    <w:rsid w:val="006A1D2A"/>
    <w:rsid w:val="006A22C6"/>
    <w:rsid w:val="006A2B4C"/>
    <w:rsid w:val="006A2E75"/>
    <w:rsid w:val="006A50E5"/>
    <w:rsid w:val="006A54F5"/>
    <w:rsid w:val="006A5DBB"/>
    <w:rsid w:val="006B682F"/>
    <w:rsid w:val="006C5FFF"/>
    <w:rsid w:val="006D7212"/>
    <w:rsid w:val="006F40D7"/>
    <w:rsid w:val="007005FA"/>
    <w:rsid w:val="00706612"/>
    <w:rsid w:val="00707CA6"/>
    <w:rsid w:val="00710A32"/>
    <w:rsid w:val="0071703F"/>
    <w:rsid w:val="00722BA9"/>
    <w:rsid w:val="007239E6"/>
    <w:rsid w:val="007263BF"/>
    <w:rsid w:val="007425DB"/>
    <w:rsid w:val="00746FDC"/>
    <w:rsid w:val="00750A54"/>
    <w:rsid w:val="007537EE"/>
    <w:rsid w:val="00762F45"/>
    <w:rsid w:val="007648E0"/>
    <w:rsid w:val="00781198"/>
    <w:rsid w:val="00787A0E"/>
    <w:rsid w:val="007900C1"/>
    <w:rsid w:val="00796E53"/>
    <w:rsid w:val="007A2F4B"/>
    <w:rsid w:val="007A4C47"/>
    <w:rsid w:val="007B02F6"/>
    <w:rsid w:val="007B4A28"/>
    <w:rsid w:val="007C1487"/>
    <w:rsid w:val="007C2BBF"/>
    <w:rsid w:val="007C353F"/>
    <w:rsid w:val="007C7D20"/>
    <w:rsid w:val="007D0641"/>
    <w:rsid w:val="007D5086"/>
    <w:rsid w:val="007E4284"/>
    <w:rsid w:val="007E6B2F"/>
    <w:rsid w:val="007F3BF7"/>
    <w:rsid w:val="007F3CF4"/>
    <w:rsid w:val="007F3D36"/>
    <w:rsid w:val="007F4E55"/>
    <w:rsid w:val="007F6063"/>
    <w:rsid w:val="00802A6F"/>
    <w:rsid w:val="00803A68"/>
    <w:rsid w:val="00807D8B"/>
    <w:rsid w:val="00822A16"/>
    <w:rsid w:val="0082569C"/>
    <w:rsid w:val="00831EE3"/>
    <w:rsid w:val="008370A8"/>
    <w:rsid w:val="00840247"/>
    <w:rsid w:val="00842AAA"/>
    <w:rsid w:val="0084588B"/>
    <w:rsid w:val="008477A5"/>
    <w:rsid w:val="00854232"/>
    <w:rsid w:val="008604D2"/>
    <w:rsid w:val="0086110C"/>
    <w:rsid w:val="00864547"/>
    <w:rsid w:val="0088375B"/>
    <w:rsid w:val="00884785"/>
    <w:rsid w:val="008956CB"/>
    <w:rsid w:val="008A05CA"/>
    <w:rsid w:val="008A2862"/>
    <w:rsid w:val="008B2E33"/>
    <w:rsid w:val="008B47AD"/>
    <w:rsid w:val="008C3EB7"/>
    <w:rsid w:val="008C6F8D"/>
    <w:rsid w:val="008D249C"/>
    <w:rsid w:val="008D4044"/>
    <w:rsid w:val="008D6408"/>
    <w:rsid w:val="008F5DB5"/>
    <w:rsid w:val="009147B4"/>
    <w:rsid w:val="00922915"/>
    <w:rsid w:val="00924C8F"/>
    <w:rsid w:val="009259DA"/>
    <w:rsid w:val="009275DB"/>
    <w:rsid w:val="00933AF4"/>
    <w:rsid w:val="009353AC"/>
    <w:rsid w:val="00941344"/>
    <w:rsid w:val="00946ABA"/>
    <w:rsid w:val="00962495"/>
    <w:rsid w:val="009638E9"/>
    <w:rsid w:val="0096598B"/>
    <w:rsid w:val="00965BDF"/>
    <w:rsid w:val="00967441"/>
    <w:rsid w:val="0097063A"/>
    <w:rsid w:val="00972BBF"/>
    <w:rsid w:val="00973068"/>
    <w:rsid w:val="009774F5"/>
    <w:rsid w:val="00977B11"/>
    <w:rsid w:val="00987789"/>
    <w:rsid w:val="00987FA3"/>
    <w:rsid w:val="0099000C"/>
    <w:rsid w:val="00992B4F"/>
    <w:rsid w:val="00992B89"/>
    <w:rsid w:val="009A3089"/>
    <w:rsid w:val="009A4A8E"/>
    <w:rsid w:val="009A5BF8"/>
    <w:rsid w:val="009A5CDA"/>
    <w:rsid w:val="009C2255"/>
    <w:rsid w:val="009C5D68"/>
    <w:rsid w:val="009D44F1"/>
    <w:rsid w:val="009D5A3F"/>
    <w:rsid w:val="009E0512"/>
    <w:rsid w:val="009E2918"/>
    <w:rsid w:val="009E37A3"/>
    <w:rsid w:val="009E77BE"/>
    <w:rsid w:val="009F0518"/>
    <w:rsid w:val="009F0D89"/>
    <w:rsid w:val="00A100D6"/>
    <w:rsid w:val="00A138B1"/>
    <w:rsid w:val="00A27036"/>
    <w:rsid w:val="00A33343"/>
    <w:rsid w:val="00A43D48"/>
    <w:rsid w:val="00A51B66"/>
    <w:rsid w:val="00A5718B"/>
    <w:rsid w:val="00A62AD1"/>
    <w:rsid w:val="00A72372"/>
    <w:rsid w:val="00A774DA"/>
    <w:rsid w:val="00A77999"/>
    <w:rsid w:val="00A85081"/>
    <w:rsid w:val="00AA0FC1"/>
    <w:rsid w:val="00AA392F"/>
    <w:rsid w:val="00AA62CF"/>
    <w:rsid w:val="00AA6B5F"/>
    <w:rsid w:val="00AB1F1F"/>
    <w:rsid w:val="00AC1979"/>
    <w:rsid w:val="00AC7057"/>
    <w:rsid w:val="00AC7EA0"/>
    <w:rsid w:val="00AD19D6"/>
    <w:rsid w:val="00AE01C6"/>
    <w:rsid w:val="00AE071C"/>
    <w:rsid w:val="00AE4B8F"/>
    <w:rsid w:val="00AF126A"/>
    <w:rsid w:val="00AF266B"/>
    <w:rsid w:val="00AF4069"/>
    <w:rsid w:val="00AF7099"/>
    <w:rsid w:val="00B01FAE"/>
    <w:rsid w:val="00B02BEB"/>
    <w:rsid w:val="00B10141"/>
    <w:rsid w:val="00B1020F"/>
    <w:rsid w:val="00B1104F"/>
    <w:rsid w:val="00B1446C"/>
    <w:rsid w:val="00B20482"/>
    <w:rsid w:val="00B20847"/>
    <w:rsid w:val="00B23DA2"/>
    <w:rsid w:val="00B25A7B"/>
    <w:rsid w:val="00B312A4"/>
    <w:rsid w:val="00B3527B"/>
    <w:rsid w:val="00B449FE"/>
    <w:rsid w:val="00B457E7"/>
    <w:rsid w:val="00B46373"/>
    <w:rsid w:val="00B7332C"/>
    <w:rsid w:val="00B735AD"/>
    <w:rsid w:val="00B74658"/>
    <w:rsid w:val="00B77092"/>
    <w:rsid w:val="00B86BFD"/>
    <w:rsid w:val="00B90CC0"/>
    <w:rsid w:val="00B927B3"/>
    <w:rsid w:val="00B9297A"/>
    <w:rsid w:val="00BA146E"/>
    <w:rsid w:val="00BA219C"/>
    <w:rsid w:val="00BA5DCA"/>
    <w:rsid w:val="00BB11E9"/>
    <w:rsid w:val="00BC742B"/>
    <w:rsid w:val="00BD0693"/>
    <w:rsid w:val="00BE444D"/>
    <w:rsid w:val="00BF4448"/>
    <w:rsid w:val="00BF6A46"/>
    <w:rsid w:val="00BF789F"/>
    <w:rsid w:val="00C06426"/>
    <w:rsid w:val="00C06C3D"/>
    <w:rsid w:val="00C06F9B"/>
    <w:rsid w:val="00C10883"/>
    <w:rsid w:val="00C10A3D"/>
    <w:rsid w:val="00C13AB7"/>
    <w:rsid w:val="00C13AFA"/>
    <w:rsid w:val="00C17AC7"/>
    <w:rsid w:val="00C339E5"/>
    <w:rsid w:val="00C35836"/>
    <w:rsid w:val="00C40C54"/>
    <w:rsid w:val="00C414B3"/>
    <w:rsid w:val="00C41A6B"/>
    <w:rsid w:val="00C6642D"/>
    <w:rsid w:val="00C809AC"/>
    <w:rsid w:val="00C81F48"/>
    <w:rsid w:val="00C83F3A"/>
    <w:rsid w:val="00C84E25"/>
    <w:rsid w:val="00C85D47"/>
    <w:rsid w:val="00C93270"/>
    <w:rsid w:val="00C93808"/>
    <w:rsid w:val="00C95952"/>
    <w:rsid w:val="00C97EE1"/>
    <w:rsid w:val="00CA3764"/>
    <w:rsid w:val="00CA3CA0"/>
    <w:rsid w:val="00CC4986"/>
    <w:rsid w:val="00CC4D9C"/>
    <w:rsid w:val="00CD1F64"/>
    <w:rsid w:val="00CE1E9E"/>
    <w:rsid w:val="00CE20E1"/>
    <w:rsid w:val="00CF0C0A"/>
    <w:rsid w:val="00CF29A8"/>
    <w:rsid w:val="00CF2AD2"/>
    <w:rsid w:val="00CF68EC"/>
    <w:rsid w:val="00D025B0"/>
    <w:rsid w:val="00D11D62"/>
    <w:rsid w:val="00D133A5"/>
    <w:rsid w:val="00D13FBD"/>
    <w:rsid w:val="00D16589"/>
    <w:rsid w:val="00D220EA"/>
    <w:rsid w:val="00D25922"/>
    <w:rsid w:val="00D3047B"/>
    <w:rsid w:val="00D3369F"/>
    <w:rsid w:val="00D414CB"/>
    <w:rsid w:val="00D46B3D"/>
    <w:rsid w:val="00D57C49"/>
    <w:rsid w:val="00D66153"/>
    <w:rsid w:val="00D6685A"/>
    <w:rsid w:val="00D70A18"/>
    <w:rsid w:val="00D70A8A"/>
    <w:rsid w:val="00D73830"/>
    <w:rsid w:val="00D74197"/>
    <w:rsid w:val="00D80B26"/>
    <w:rsid w:val="00D8586D"/>
    <w:rsid w:val="00D93DE1"/>
    <w:rsid w:val="00D94A92"/>
    <w:rsid w:val="00D96008"/>
    <w:rsid w:val="00D96D0B"/>
    <w:rsid w:val="00DA18E6"/>
    <w:rsid w:val="00DA1DFB"/>
    <w:rsid w:val="00DB1D5E"/>
    <w:rsid w:val="00DB488D"/>
    <w:rsid w:val="00DC0E76"/>
    <w:rsid w:val="00DC43DF"/>
    <w:rsid w:val="00DD23F0"/>
    <w:rsid w:val="00DE097B"/>
    <w:rsid w:val="00DE34E4"/>
    <w:rsid w:val="00DE3584"/>
    <w:rsid w:val="00DF1436"/>
    <w:rsid w:val="00DF6D8C"/>
    <w:rsid w:val="00E01529"/>
    <w:rsid w:val="00E016E8"/>
    <w:rsid w:val="00E06320"/>
    <w:rsid w:val="00E10E30"/>
    <w:rsid w:val="00E1271B"/>
    <w:rsid w:val="00E12AE3"/>
    <w:rsid w:val="00E2535E"/>
    <w:rsid w:val="00E25C30"/>
    <w:rsid w:val="00E27B82"/>
    <w:rsid w:val="00E348E2"/>
    <w:rsid w:val="00E3574E"/>
    <w:rsid w:val="00E37D0B"/>
    <w:rsid w:val="00E578C0"/>
    <w:rsid w:val="00E578FD"/>
    <w:rsid w:val="00E778EC"/>
    <w:rsid w:val="00E77B12"/>
    <w:rsid w:val="00E95259"/>
    <w:rsid w:val="00E97F2D"/>
    <w:rsid w:val="00EA1BD6"/>
    <w:rsid w:val="00EA41F2"/>
    <w:rsid w:val="00EA57BF"/>
    <w:rsid w:val="00EA5A52"/>
    <w:rsid w:val="00EA7FC1"/>
    <w:rsid w:val="00EC4CCF"/>
    <w:rsid w:val="00EC5277"/>
    <w:rsid w:val="00EC6AB4"/>
    <w:rsid w:val="00EC6B4A"/>
    <w:rsid w:val="00ED4722"/>
    <w:rsid w:val="00ED6476"/>
    <w:rsid w:val="00ED7669"/>
    <w:rsid w:val="00EE2AB2"/>
    <w:rsid w:val="00EF1ECE"/>
    <w:rsid w:val="00EF56D4"/>
    <w:rsid w:val="00EF5CB0"/>
    <w:rsid w:val="00F02B07"/>
    <w:rsid w:val="00F05044"/>
    <w:rsid w:val="00F1113A"/>
    <w:rsid w:val="00F120D7"/>
    <w:rsid w:val="00F14B35"/>
    <w:rsid w:val="00F228CA"/>
    <w:rsid w:val="00F265AB"/>
    <w:rsid w:val="00F43DB1"/>
    <w:rsid w:val="00F46F88"/>
    <w:rsid w:val="00F5621C"/>
    <w:rsid w:val="00F63795"/>
    <w:rsid w:val="00F84ADE"/>
    <w:rsid w:val="00F84B49"/>
    <w:rsid w:val="00F854A3"/>
    <w:rsid w:val="00F85F2B"/>
    <w:rsid w:val="00F87CCF"/>
    <w:rsid w:val="00F9425E"/>
    <w:rsid w:val="00F94C3D"/>
    <w:rsid w:val="00FA57DE"/>
    <w:rsid w:val="00FB42A1"/>
    <w:rsid w:val="00FB4F84"/>
    <w:rsid w:val="00FB6FD6"/>
    <w:rsid w:val="00FC1C98"/>
    <w:rsid w:val="00FC3598"/>
    <w:rsid w:val="00FD694F"/>
    <w:rsid w:val="00FE5D1E"/>
    <w:rsid w:val="05867289"/>
    <w:rsid w:val="08E47714"/>
    <w:rsid w:val="0C451C45"/>
    <w:rsid w:val="0DAE6209"/>
    <w:rsid w:val="19093BB1"/>
    <w:rsid w:val="1EAB352B"/>
    <w:rsid w:val="23E82913"/>
    <w:rsid w:val="260169D5"/>
    <w:rsid w:val="29CB3BF8"/>
    <w:rsid w:val="2F036140"/>
    <w:rsid w:val="2F662789"/>
    <w:rsid w:val="2FEC6148"/>
    <w:rsid w:val="30A508CF"/>
    <w:rsid w:val="311D30B1"/>
    <w:rsid w:val="31D01368"/>
    <w:rsid w:val="350C7C92"/>
    <w:rsid w:val="361C5AD4"/>
    <w:rsid w:val="36971C9C"/>
    <w:rsid w:val="36FA3051"/>
    <w:rsid w:val="37CE60C1"/>
    <w:rsid w:val="39901727"/>
    <w:rsid w:val="3A0C22A9"/>
    <w:rsid w:val="3B630FB0"/>
    <w:rsid w:val="3B707E51"/>
    <w:rsid w:val="3BBF532A"/>
    <w:rsid w:val="3F007CBD"/>
    <w:rsid w:val="42C71028"/>
    <w:rsid w:val="43293F6C"/>
    <w:rsid w:val="446B50EA"/>
    <w:rsid w:val="48CB414A"/>
    <w:rsid w:val="4A8D1018"/>
    <w:rsid w:val="4C456C68"/>
    <w:rsid w:val="4CD63E9B"/>
    <w:rsid w:val="508326AB"/>
    <w:rsid w:val="50B63D9D"/>
    <w:rsid w:val="581509B1"/>
    <w:rsid w:val="59436A90"/>
    <w:rsid w:val="5986218E"/>
    <w:rsid w:val="59F832C8"/>
    <w:rsid w:val="5A4A272E"/>
    <w:rsid w:val="5B350C9F"/>
    <w:rsid w:val="5B9A2073"/>
    <w:rsid w:val="5E133473"/>
    <w:rsid w:val="61E00E14"/>
    <w:rsid w:val="62340912"/>
    <w:rsid w:val="64164115"/>
    <w:rsid w:val="64800F51"/>
    <w:rsid w:val="68A9161D"/>
    <w:rsid w:val="6EF1453D"/>
    <w:rsid w:val="74CA1B97"/>
    <w:rsid w:val="7566534B"/>
    <w:rsid w:val="75D80296"/>
    <w:rsid w:val="762E72D1"/>
    <w:rsid w:val="77623701"/>
    <w:rsid w:val="7D4A5369"/>
    <w:rsid w:val="7FCE1B4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iPriority="0" w:semiHidden="0" w:name="Normal Indent"/>
    <w:lsdException w:unhideWhenUsed="0"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nhideWhenUsed="0" w:uiPriority="99" w:semiHidden="0" w:name="Date"/>
    <w:lsdException w:qFormat="1" w:unhideWhenUsed="0" w:uiPriority="0" w:semiHidden="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nhideWhenUsed="0" w:uiPriority="99" w:semiHidden="0" w:name="Document Map"/>
    <w:lsdException w:qFormat="1" w:unhideWhenUsed="0" w:uiPriority="99"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nhideWhenUsed="0" w:uiPriority="0" w:semiHidden="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link w:val="100"/>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01"/>
    <w:qFormat/>
    <w:uiPriority w:val="99"/>
    <w:pPr>
      <w:keepNext/>
      <w:widowControl w:val="0"/>
      <w:adjustRightInd/>
      <w:snapToGrid/>
      <w:spacing w:after="0"/>
      <w:ind w:left="-57" w:right="-57"/>
      <w:jc w:val="center"/>
      <w:outlineLvl w:val="1"/>
    </w:pPr>
    <w:rPr>
      <w:rFonts w:ascii="黑体" w:hAnsi="Times New Roman" w:eastAsia="宋体"/>
      <w:b/>
      <w:kern w:val="2"/>
      <w:sz w:val="18"/>
      <w:szCs w:val="24"/>
    </w:rPr>
  </w:style>
  <w:style w:type="paragraph" w:styleId="6">
    <w:name w:val="heading 3"/>
    <w:basedOn w:val="1"/>
    <w:next w:val="1"/>
    <w:link w:val="102"/>
    <w:qFormat/>
    <w:uiPriority w:val="99"/>
    <w:pPr>
      <w:keepNext/>
      <w:keepLines/>
      <w:widowControl w:val="0"/>
      <w:adjustRightInd/>
      <w:snapToGrid/>
      <w:spacing w:before="260" w:after="260" w:line="416" w:lineRule="auto"/>
      <w:jc w:val="both"/>
      <w:outlineLvl w:val="2"/>
    </w:pPr>
    <w:rPr>
      <w:rFonts w:ascii="Times New Roman" w:hAnsi="Times New Roman" w:eastAsia="宋体"/>
      <w:b/>
      <w:bCs/>
      <w:kern w:val="2"/>
      <w:sz w:val="32"/>
      <w:szCs w:val="32"/>
    </w:rPr>
  </w:style>
  <w:style w:type="paragraph" w:styleId="7">
    <w:name w:val="heading 4"/>
    <w:basedOn w:val="1"/>
    <w:next w:val="1"/>
    <w:link w:val="103"/>
    <w:qFormat/>
    <w:uiPriority w:val="0"/>
    <w:pPr>
      <w:keepNext/>
      <w:keepLines/>
      <w:widowControl w:val="0"/>
      <w:adjustRightInd/>
      <w:snapToGrid/>
      <w:spacing w:before="280" w:after="290" w:line="376" w:lineRule="auto"/>
      <w:jc w:val="both"/>
      <w:outlineLvl w:val="3"/>
    </w:pPr>
    <w:rPr>
      <w:rFonts w:ascii="Arial" w:hAnsi="Arial" w:eastAsia="黑体"/>
      <w:b/>
      <w:bCs/>
      <w:kern w:val="2"/>
      <w:sz w:val="28"/>
      <w:szCs w:val="28"/>
    </w:rPr>
  </w:style>
  <w:style w:type="paragraph" w:styleId="8">
    <w:name w:val="heading 5"/>
    <w:basedOn w:val="1"/>
    <w:next w:val="1"/>
    <w:link w:val="104"/>
    <w:qFormat/>
    <w:uiPriority w:val="0"/>
    <w:pPr>
      <w:keepNext/>
      <w:keepLines/>
      <w:widowControl w:val="0"/>
      <w:adjustRightInd/>
      <w:snapToGrid/>
      <w:spacing w:before="280" w:after="290" w:line="376" w:lineRule="auto"/>
      <w:ind w:firstLine="200" w:firstLineChars="200"/>
      <w:outlineLvl w:val="4"/>
    </w:pPr>
    <w:rPr>
      <w:rFonts w:ascii="Times New Roman" w:hAnsi="Times New Roman" w:eastAsia="宋体"/>
      <w:b/>
      <w:bCs/>
      <w:kern w:val="2"/>
      <w:sz w:val="28"/>
      <w:szCs w:val="28"/>
    </w:rPr>
  </w:style>
  <w:style w:type="paragraph" w:styleId="9">
    <w:name w:val="heading 6"/>
    <w:basedOn w:val="1"/>
    <w:next w:val="1"/>
    <w:link w:val="105"/>
    <w:qFormat/>
    <w:uiPriority w:val="0"/>
    <w:pPr>
      <w:keepNext/>
      <w:widowControl w:val="0"/>
      <w:adjustRightInd/>
      <w:snapToGrid/>
      <w:spacing w:after="0" w:line="420" w:lineRule="exact"/>
      <w:jc w:val="center"/>
      <w:outlineLvl w:val="5"/>
    </w:pPr>
    <w:rPr>
      <w:rFonts w:ascii="宋体" w:hAnsi="宋体" w:eastAsia="宋体"/>
      <w:b/>
      <w:spacing w:val="-10"/>
      <w:kern w:val="2"/>
      <w:sz w:val="18"/>
      <w:szCs w:val="20"/>
    </w:rPr>
  </w:style>
  <w:style w:type="paragraph" w:styleId="10">
    <w:name w:val="heading 8"/>
    <w:basedOn w:val="1"/>
    <w:next w:val="1"/>
    <w:link w:val="106"/>
    <w:qFormat/>
    <w:uiPriority w:val="0"/>
    <w:pPr>
      <w:keepNext/>
      <w:keepLines/>
      <w:widowControl w:val="0"/>
      <w:adjustRightInd/>
      <w:snapToGrid/>
      <w:spacing w:before="240" w:after="64" w:line="320" w:lineRule="auto"/>
      <w:jc w:val="both"/>
      <w:outlineLvl w:val="7"/>
    </w:pPr>
    <w:rPr>
      <w:rFonts w:ascii="Arial" w:hAnsi="Arial" w:eastAsia="黑体"/>
      <w:kern w:val="2"/>
      <w:sz w:val="24"/>
      <w:szCs w:val="24"/>
    </w:rPr>
  </w:style>
  <w:style w:type="paragraph" w:styleId="11">
    <w:name w:val="heading 9"/>
    <w:basedOn w:val="1"/>
    <w:next w:val="1"/>
    <w:link w:val="107"/>
    <w:qFormat/>
    <w:uiPriority w:val="9"/>
    <w:pPr>
      <w:keepNext/>
      <w:keepLines/>
      <w:widowControl w:val="0"/>
      <w:adjustRightInd/>
      <w:snapToGrid/>
      <w:spacing w:before="240" w:after="64" w:line="320" w:lineRule="auto"/>
      <w:jc w:val="both"/>
      <w:outlineLvl w:val="8"/>
    </w:pPr>
    <w:rPr>
      <w:rFonts w:ascii="Cambria" w:hAnsi="Cambria" w:eastAsia="宋体"/>
      <w:kern w:val="2"/>
      <w:sz w:val="21"/>
      <w:szCs w:val="21"/>
    </w:rPr>
  </w:style>
  <w:style w:type="character" w:default="1" w:styleId="38">
    <w:name w:val="Default Paragraph Font"/>
    <w:unhideWhenUsed/>
    <w:uiPriority w:val="1"/>
  </w:style>
  <w:style w:type="table" w:default="1" w:styleId="43">
    <w:name w:val="Normal Table"/>
    <w:unhideWhenUsed/>
    <w:uiPriority w:val="99"/>
    <w:tblPr>
      <w:tblStyle w:val="43"/>
      <w:tblLayout w:type="fixed"/>
      <w:tblCellMar>
        <w:top w:w="0" w:type="dxa"/>
        <w:left w:w="108" w:type="dxa"/>
        <w:bottom w:w="0" w:type="dxa"/>
        <w:right w:w="108" w:type="dxa"/>
      </w:tblCellMar>
    </w:tblPr>
    <w:tcPr>
      <w:textDirection w:val="lrTb"/>
    </w:tcPr>
  </w:style>
  <w:style w:type="paragraph" w:styleId="2">
    <w:name w:val="Body Text First Indent"/>
    <w:basedOn w:val="3"/>
    <w:qFormat/>
    <w:uiPriority w:val="0"/>
    <w:pPr>
      <w:topLinePunct w:val="1"/>
      <w:spacing w:line="300" w:lineRule="exact"/>
      <w:textAlignment w:val="baseline"/>
    </w:pPr>
  </w:style>
  <w:style w:type="paragraph" w:styleId="3">
    <w:name w:val="Body Text"/>
    <w:basedOn w:val="1"/>
    <w:next w:val="1"/>
    <w:qFormat/>
    <w:uiPriority w:val="0"/>
    <w:pPr>
      <w:spacing w:beforeLines="50"/>
      <w:jc w:val="center"/>
    </w:pPr>
    <w:rPr>
      <w:rFonts w:eastAsia="黑体"/>
      <w:spacing w:val="28"/>
      <w:sz w:val="21"/>
      <w:szCs w:val="28"/>
    </w:rPr>
  </w:style>
  <w:style w:type="paragraph" w:styleId="12">
    <w:name w:val="annotation subject"/>
    <w:basedOn w:val="13"/>
    <w:next w:val="13"/>
    <w:link w:val="115"/>
    <w:unhideWhenUsed/>
    <w:qFormat/>
    <w:uiPriority w:val="99"/>
    <w:pPr>
      <w:widowControl w:val="0"/>
      <w:snapToGrid/>
      <w:spacing w:beforeLines="50" w:after="0" w:line="480" w:lineRule="exact"/>
      <w:jc w:val="center"/>
    </w:pPr>
    <w:rPr>
      <w:rFonts w:ascii="Times New Roman" w:hAnsi="Times New Roman" w:eastAsia="黑体"/>
      <w:bCs/>
      <w:sz w:val="21"/>
      <w:szCs w:val="21"/>
    </w:rPr>
  </w:style>
  <w:style w:type="paragraph" w:styleId="13">
    <w:name w:val="annotation text"/>
    <w:basedOn w:val="1"/>
    <w:link w:val="109"/>
    <w:unhideWhenUsed/>
    <w:qFormat/>
    <w:uiPriority w:val="99"/>
  </w:style>
  <w:style w:type="paragraph" w:styleId="14">
    <w:name w:val="toc 7"/>
    <w:basedOn w:val="1"/>
    <w:next w:val="1"/>
    <w:uiPriority w:val="99"/>
    <w:pPr>
      <w:widowControl w:val="0"/>
      <w:adjustRightInd/>
      <w:snapToGrid/>
      <w:spacing w:after="0"/>
      <w:ind w:left="1260"/>
    </w:pPr>
    <w:rPr>
      <w:rFonts w:ascii="Times New Roman" w:hAnsi="Times New Roman" w:eastAsia="宋体"/>
      <w:kern w:val="2"/>
      <w:sz w:val="18"/>
      <w:szCs w:val="18"/>
    </w:rPr>
  </w:style>
  <w:style w:type="paragraph" w:styleId="15">
    <w:name w:val="Normal Indent"/>
    <w:basedOn w:val="1"/>
    <w:next w:val="1"/>
    <w:link w:val="108"/>
    <w:unhideWhenUsed/>
    <w:qFormat/>
    <w:uiPriority w:val="0"/>
    <w:pPr>
      <w:widowControl w:val="0"/>
      <w:kinsoku w:val="0"/>
      <w:overflowPunct w:val="0"/>
      <w:topLinePunct w:val="1"/>
      <w:spacing w:after="0" w:line="300" w:lineRule="exact"/>
      <w:jc w:val="center"/>
    </w:pPr>
    <w:rPr>
      <w:rFonts w:ascii="Calibri" w:hAnsi="Calibri" w:eastAsia="宋体" w:cs="黑体"/>
      <w:kern w:val="2"/>
      <w:sz w:val="21"/>
      <w:szCs w:val="21"/>
    </w:rPr>
  </w:style>
  <w:style w:type="paragraph" w:styleId="16">
    <w:name w:val="caption"/>
    <w:basedOn w:val="1"/>
    <w:next w:val="1"/>
    <w:qFormat/>
    <w:uiPriority w:val="0"/>
    <w:pPr>
      <w:widowControl w:val="0"/>
      <w:adjustRightInd/>
      <w:snapToGrid/>
      <w:spacing w:after="0"/>
      <w:jc w:val="both"/>
    </w:pPr>
    <w:rPr>
      <w:rFonts w:ascii="Cambria" w:hAnsi="Cambria" w:eastAsia="黑体"/>
      <w:kern w:val="2"/>
      <w:sz w:val="20"/>
      <w:szCs w:val="20"/>
    </w:rPr>
  </w:style>
  <w:style w:type="paragraph" w:styleId="17">
    <w:name w:val="Document Map"/>
    <w:basedOn w:val="1"/>
    <w:link w:val="130"/>
    <w:uiPriority w:val="99"/>
    <w:pPr>
      <w:widowControl w:val="0"/>
      <w:adjustRightInd/>
      <w:snapToGrid/>
      <w:spacing w:after="0"/>
      <w:jc w:val="both"/>
    </w:pPr>
    <w:rPr>
      <w:rFonts w:ascii="宋体" w:hAnsi="Times New Roman" w:eastAsia="宋体"/>
      <w:kern w:val="2"/>
      <w:sz w:val="18"/>
      <w:szCs w:val="18"/>
    </w:rPr>
  </w:style>
  <w:style w:type="paragraph" w:styleId="18">
    <w:name w:val="Body Text 3"/>
    <w:basedOn w:val="1"/>
    <w:link w:val="150"/>
    <w:uiPriority w:val="0"/>
    <w:pPr>
      <w:widowControl w:val="0"/>
      <w:adjustRightInd/>
      <w:snapToGrid/>
      <w:spacing w:after="120"/>
      <w:jc w:val="both"/>
    </w:pPr>
    <w:rPr>
      <w:rFonts w:ascii="Times New Roman" w:hAnsi="Times New Roman" w:eastAsia="宋体"/>
      <w:kern w:val="2"/>
      <w:sz w:val="16"/>
      <w:szCs w:val="16"/>
    </w:rPr>
  </w:style>
  <w:style w:type="paragraph" w:styleId="19">
    <w:name w:val="Body Text Indent"/>
    <w:basedOn w:val="1"/>
    <w:link w:val="110"/>
    <w:qFormat/>
    <w:uiPriority w:val="0"/>
    <w:pPr>
      <w:spacing w:line="500" w:lineRule="exact"/>
      <w:ind w:firstLine="420"/>
    </w:pPr>
    <w:rPr>
      <w:sz w:val="28"/>
      <w:szCs w:val="24"/>
    </w:rPr>
  </w:style>
  <w:style w:type="paragraph" w:styleId="20">
    <w:name w:val="toc 5"/>
    <w:basedOn w:val="1"/>
    <w:next w:val="1"/>
    <w:uiPriority w:val="99"/>
    <w:pPr>
      <w:widowControl w:val="0"/>
      <w:adjustRightInd/>
      <w:snapToGrid/>
      <w:spacing w:after="0"/>
      <w:ind w:left="840"/>
    </w:pPr>
    <w:rPr>
      <w:rFonts w:ascii="Times New Roman" w:hAnsi="Times New Roman" w:eastAsia="宋体"/>
      <w:kern w:val="2"/>
      <w:sz w:val="18"/>
      <w:szCs w:val="18"/>
    </w:rPr>
  </w:style>
  <w:style w:type="paragraph" w:styleId="21">
    <w:name w:val="toc 3"/>
    <w:basedOn w:val="1"/>
    <w:next w:val="1"/>
    <w:uiPriority w:val="39"/>
    <w:pPr>
      <w:widowControl w:val="0"/>
      <w:adjustRightInd/>
      <w:snapToGrid/>
      <w:spacing w:after="0"/>
      <w:ind w:left="420"/>
    </w:pPr>
    <w:rPr>
      <w:rFonts w:ascii="Times New Roman" w:hAnsi="Times New Roman" w:eastAsia="宋体"/>
      <w:i/>
      <w:iCs/>
      <w:kern w:val="2"/>
      <w:sz w:val="20"/>
      <w:szCs w:val="20"/>
    </w:rPr>
  </w:style>
  <w:style w:type="paragraph" w:styleId="22">
    <w:name w:val="Plain Text"/>
    <w:basedOn w:val="1"/>
    <w:link w:val="111"/>
    <w:qFormat/>
    <w:uiPriority w:val="99"/>
    <w:pPr>
      <w:adjustRightInd/>
    </w:pPr>
    <w:rPr>
      <w:rFonts w:ascii="宋体" w:hAnsi="Courier New"/>
      <w:sz w:val="20"/>
    </w:rPr>
  </w:style>
  <w:style w:type="paragraph" w:styleId="23">
    <w:name w:val="toc 8"/>
    <w:basedOn w:val="1"/>
    <w:next w:val="1"/>
    <w:uiPriority w:val="99"/>
    <w:pPr>
      <w:widowControl w:val="0"/>
      <w:adjustRightInd/>
      <w:snapToGrid/>
      <w:spacing w:after="0"/>
      <w:ind w:left="1470"/>
    </w:pPr>
    <w:rPr>
      <w:rFonts w:ascii="Times New Roman" w:hAnsi="Times New Roman" w:eastAsia="宋体"/>
      <w:kern w:val="2"/>
      <w:sz w:val="18"/>
      <w:szCs w:val="18"/>
    </w:rPr>
  </w:style>
  <w:style w:type="paragraph" w:styleId="24">
    <w:name w:val="Date"/>
    <w:basedOn w:val="1"/>
    <w:next w:val="1"/>
    <w:link w:val="148"/>
    <w:uiPriority w:val="99"/>
    <w:pPr>
      <w:widowControl w:val="0"/>
      <w:adjustRightInd/>
      <w:snapToGrid/>
      <w:spacing w:after="0"/>
      <w:jc w:val="both"/>
    </w:pPr>
    <w:rPr>
      <w:rFonts w:ascii="楷体_GB2312" w:hAnsi="Times New Roman" w:eastAsia="楷体_GB2312"/>
      <w:kern w:val="2"/>
      <w:sz w:val="28"/>
      <w:szCs w:val="20"/>
    </w:rPr>
  </w:style>
  <w:style w:type="paragraph" w:styleId="25">
    <w:name w:val="Body Text Indent 2"/>
    <w:basedOn w:val="1"/>
    <w:link w:val="151"/>
    <w:uiPriority w:val="0"/>
    <w:pPr>
      <w:widowControl w:val="0"/>
      <w:adjustRightInd/>
      <w:snapToGrid/>
      <w:spacing w:after="0" w:line="360" w:lineRule="exact"/>
      <w:ind w:firstLine="562" w:firstLineChars="200"/>
      <w:jc w:val="both"/>
    </w:pPr>
    <w:rPr>
      <w:rFonts w:ascii="Times New Roman" w:hAnsi="Times New Roman" w:eastAsia="楷体_GB2312"/>
      <w:b/>
      <w:bCs/>
      <w:kern w:val="2"/>
      <w:sz w:val="28"/>
      <w:szCs w:val="24"/>
    </w:rPr>
  </w:style>
  <w:style w:type="paragraph" w:styleId="26">
    <w:name w:val="Balloon Text"/>
    <w:basedOn w:val="1"/>
    <w:link w:val="112"/>
    <w:unhideWhenUsed/>
    <w:qFormat/>
    <w:uiPriority w:val="99"/>
    <w:pPr>
      <w:spacing w:after="0"/>
    </w:pPr>
    <w:rPr>
      <w:sz w:val="18"/>
      <w:szCs w:val="18"/>
    </w:rPr>
  </w:style>
  <w:style w:type="paragraph" w:styleId="27">
    <w:name w:val="footer"/>
    <w:basedOn w:val="1"/>
    <w:link w:val="113"/>
    <w:unhideWhenUsed/>
    <w:qFormat/>
    <w:uiPriority w:val="99"/>
    <w:pPr>
      <w:widowControl w:val="0"/>
      <w:tabs>
        <w:tab w:val="center" w:pos="4153"/>
        <w:tab w:val="right" w:pos="8306"/>
      </w:tabs>
      <w:adjustRightInd/>
      <w:spacing w:after="0"/>
    </w:pPr>
    <w:rPr>
      <w:rFonts w:ascii="Calibri" w:hAnsi="Calibri" w:eastAsia="宋体" w:cs="黑体"/>
      <w:kern w:val="2"/>
      <w:sz w:val="18"/>
      <w:szCs w:val="18"/>
    </w:rPr>
  </w:style>
  <w:style w:type="paragraph" w:styleId="28">
    <w:name w:val="header"/>
    <w:basedOn w:val="1"/>
    <w:link w:val="114"/>
    <w:unhideWhenUsed/>
    <w:qFormat/>
    <w:uiPriority w:val="99"/>
    <w:pPr>
      <w:widowControl w:val="0"/>
      <w:pBdr>
        <w:bottom w:val="single" w:color="auto" w:sz="6" w:space="1"/>
      </w:pBdr>
      <w:tabs>
        <w:tab w:val="center" w:pos="4153"/>
        <w:tab w:val="right" w:pos="8306"/>
      </w:tabs>
      <w:adjustRightInd/>
      <w:spacing w:after="0"/>
      <w:jc w:val="center"/>
    </w:pPr>
    <w:rPr>
      <w:rFonts w:ascii="Calibri" w:hAnsi="Calibri" w:eastAsia="宋体" w:cs="黑体"/>
      <w:kern w:val="2"/>
      <w:sz w:val="18"/>
      <w:szCs w:val="18"/>
    </w:rPr>
  </w:style>
  <w:style w:type="paragraph" w:styleId="29">
    <w:name w:val="toc 1"/>
    <w:basedOn w:val="1"/>
    <w:next w:val="1"/>
    <w:unhideWhenUsed/>
    <w:qFormat/>
    <w:uiPriority w:val="39"/>
    <w:pPr>
      <w:widowControl w:val="0"/>
      <w:adjustRightInd/>
      <w:snapToGrid/>
      <w:spacing w:after="0"/>
      <w:jc w:val="both"/>
    </w:pPr>
    <w:rPr>
      <w:rFonts w:ascii="Calibri" w:hAnsi="Calibri" w:eastAsia="宋体"/>
      <w:kern w:val="2"/>
      <w:sz w:val="21"/>
      <w:szCs w:val="24"/>
    </w:rPr>
  </w:style>
  <w:style w:type="paragraph" w:styleId="30">
    <w:name w:val="toc 4"/>
    <w:basedOn w:val="1"/>
    <w:next w:val="1"/>
    <w:uiPriority w:val="99"/>
    <w:pPr>
      <w:widowControl w:val="0"/>
      <w:adjustRightInd/>
      <w:snapToGrid/>
      <w:spacing w:after="0"/>
      <w:ind w:left="630"/>
    </w:pPr>
    <w:rPr>
      <w:rFonts w:ascii="Times New Roman" w:hAnsi="Times New Roman" w:eastAsia="宋体"/>
      <w:kern w:val="2"/>
      <w:sz w:val="18"/>
      <w:szCs w:val="18"/>
    </w:rPr>
  </w:style>
  <w:style w:type="paragraph" w:styleId="31">
    <w:name w:val="footnote text"/>
    <w:basedOn w:val="1"/>
    <w:link w:val="149"/>
    <w:semiHidden/>
    <w:uiPriority w:val="0"/>
    <w:pPr>
      <w:widowControl w:val="0"/>
      <w:adjustRightInd/>
      <w:spacing w:after="0"/>
    </w:pPr>
    <w:rPr>
      <w:rFonts w:ascii="Times New Roman" w:hAnsi="Times New Roman" w:eastAsia="宋体"/>
      <w:kern w:val="2"/>
      <w:sz w:val="18"/>
      <w:szCs w:val="18"/>
    </w:rPr>
  </w:style>
  <w:style w:type="paragraph" w:styleId="32">
    <w:name w:val="toc 6"/>
    <w:basedOn w:val="1"/>
    <w:next w:val="1"/>
    <w:uiPriority w:val="99"/>
    <w:pPr>
      <w:widowControl w:val="0"/>
      <w:adjustRightInd/>
      <w:snapToGrid/>
      <w:spacing w:after="0"/>
      <w:ind w:left="1050"/>
    </w:pPr>
    <w:rPr>
      <w:rFonts w:ascii="Times New Roman" w:hAnsi="Times New Roman" w:eastAsia="宋体"/>
      <w:kern w:val="2"/>
      <w:sz w:val="18"/>
      <w:szCs w:val="18"/>
    </w:rPr>
  </w:style>
  <w:style w:type="paragraph" w:styleId="33">
    <w:name w:val="toc 2"/>
    <w:basedOn w:val="1"/>
    <w:next w:val="1"/>
    <w:qFormat/>
    <w:uiPriority w:val="39"/>
    <w:pPr>
      <w:ind w:left="420" w:leftChars="200"/>
    </w:pPr>
  </w:style>
  <w:style w:type="paragraph" w:styleId="34">
    <w:name w:val="toc 9"/>
    <w:basedOn w:val="1"/>
    <w:next w:val="1"/>
    <w:uiPriority w:val="99"/>
    <w:pPr>
      <w:widowControl w:val="0"/>
      <w:adjustRightInd/>
      <w:snapToGrid/>
      <w:spacing w:after="0"/>
      <w:ind w:left="1680"/>
    </w:pPr>
    <w:rPr>
      <w:rFonts w:ascii="Times New Roman" w:hAnsi="Times New Roman" w:eastAsia="宋体"/>
      <w:kern w:val="2"/>
      <w:sz w:val="18"/>
      <w:szCs w:val="18"/>
    </w:rPr>
  </w:style>
  <w:style w:type="paragraph" w:styleId="35">
    <w:name w:val="Body Text 2"/>
    <w:basedOn w:val="1"/>
    <w:link w:val="155"/>
    <w:uiPriority w:val="0"/>
    <w:pPr>
      <w:widowControl w:val="0"/>
      <w:adjustRightInd/>
      <w:snapToGrid/>
      <w:spacing w:after="0" w:line="440" w:lineRule="atLeast"/>
      <w:jc w:val="both"/>
    </w:pPr>
    <w:rPr>
      <w:rFonts w:ascii="Times New Roman" w:hAnsi="Times New Roman" w:eastAsia="楷体_GB2312"/>
      <w:b/>
      <w:bCs/>
      <w:kern w:val="2"/>
      <w:sz w:val="28"/>
      <w:szCs w:val="24"/>
    </w:rPr>
  </w:style>
  <w:style w:type="paragraph" w:styleId="36">
    <w:name w:val="HTML Preformatted"/>
    <w:basedOn w:val="1"/>
    <w:link w:val="13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hAnsi="Arial Unicode MS" w:eastAsia="Courier New"/>
      <w:sz w:val="20"/>
      <w:szCs w:val="20"/>
    </w:rPr>
  </w:style>
  <w:style w:type="paragraph" w:styleId="37">
    <w:name w:val="Normal (Web)"/>
    <w:basedOn w:val="1"/>
    <w:uiPriority w:val="0"/>
    <w:pPr>
      <w:adjustRightInd/>
      <w:snapToGrid/>
      <w:spacing w:before="100" w:beforeAutospacing="1" w:after="100" w:afterAutospacing="1"/>
    </w:pPr>
    <w:rPr>
      <w:rFonts w:ascii="宋体" w:hAnsi="宋体" w:eastAsia="宋体" w:cs="宋体"/>
      <w:sz w:val="24"/>
      <w:szCs w:val="24"/>
    </w:rPr>
  </w:style>
  <w:style w:type="character" w:styleId="39">
    <w:name w:val="Strong"/>
    <w:qFormat/>
    <w:uiPriority w:val="0"/>
    <w:rPr>
      <w:b/>
      <w:bCs/>
    </w:rPr>
  </w:style>
  <w:style w:type="character" w:styleId="40">
    <w:name w:val="page number"/>
    <w:basedOn w:val="38"/>
    <w:qFormat/>
    <w:uiPriority w:val="0"/>
    <w:rPr/>
  </w:style>
  <w:style w:type="character" w:styleId="41">
    <w:name w:val="Hyperlink"/>
    <w:basedOn w:val="38"/>
    <w:unhideWhenUsed/>
    <w:qFormat/>
    <w:uiPriority w:val="99"/>
    <w:rPr>
      <w:color w:val="0000FF"/>
      <w:u w:val="single"/>
    </w:rPr>
  </w:style>
  <w:style w:type="character" w:styleId="42">
    <w:name w:val="HTML Code"/>
    <w:uiPriority w:val="0"/>
    <w:rPr>
      <w:rFonts w:ascii="Courier New" w:hAnsi="Courier New" w:cs="Courier New"/>
      <w:sz w:val="20"/>
      <w:szCs w:val="20"/>
    </w:rPr>
  </w:style>
  <w:style w:type="table" w:styleId="44">
    <w:name w:val="Table Grid"/>
    <w:basedOn w:val="43"/>
    <w:qFormat/>
    <w:uiPriority w:val="59"/>
    <w:pPr/>
    <w:tblPr>
      <w:tblStyle w:val="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45">
    <w:name w:val="Table Theme"/>
    <w:basedOn w:val="43"/>
    <w:qFormat/>
    <w:uiPriority w:val="0"/>
    <w:pPr>
      <w:widowControl w:val="0"/>
      <w:jc w:val="both"/>
    </w:pPr>
    <w:tblPr>
      <w:tblStyle w:val="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46">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paragraph" w:customStyle="1" w:styleId="47">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48">
    <w:name w:val="正文_0"/>
    <w:qFormat/>
    <w:uiPriority w:val="0"/>
    <w:pPr>
      <w:widowControl w:val="0"/>
      <w:jc w:val="both"/>
    </w:pPr>
    <w:rPr>
      <w:rFonts w:ascii="Calibri" w:hAnsi="Calibri" w:eastAsia="宋体" w:cs="Times New Roman"/>
      <w:kern w:val="2"/>
      <w:sz w:val="21"/>
      <w:lang w:val="en-US" w:eastAsia="zh-CN" w:bidi="ar-SA"/>
    </w:rPr>
  </w:style>
  <w:style w:type="paragraph" w:customStyle="1" w:styleId="49">
    <w:name w:val="p0"/>
    <w:basedOn w:val="1"/>
    <w:qFormat/>
    <w:uiPriority w:val="99"/>
    <w:pPr>
      <w:adjustRightInd/>
      <w:snapToGrid/>
      <w:spacing w:after="0"/>
    </w:pPr>
    <w:rPr>
      <w:rFonts w:ascii="Calibri" w:hAnsi="Calibri" w:eastAsia="宋体" w:cs="宋体"/>
      <w:sz w:val="21"/>
      <w:szCs w:val="21"/>
    </w:rPr>
  </w:style>
  <w:style w:type="paragraph" w:customStyle="1" w:styleId="50">
    <w:name w:val="表头"/>
    <w:basedOn w:val="1"/>
    <w:next w:val="1"/>
    <w:link w:val="116"/>
    <w:qFormat/>
    <w:uiPriority w:val="0"/>
    <w:pPr>
      <w:widowControl w:val="0"/>
      <w:tabs>
        <w:tab w:val="left" w:pos="2760"/>
      </w:tabs>
      <w:spacing w:after="0"/>
      <w:jc w:val="center"/>
    </w:pPr>
    <w:rPr>
      <w:rFonts w:ascii="Calibri" w:hAnsi="Calibri" w:eastAsia="宋体" w:cs="黑体"/>
      <w:b/>
      <w:snapToGrid w:val="0"/>
      <w:sz w:val="21"/>
      <w:szCs w:val="21"/>
    </w:rPr>
  </w:style>
  <w:style w:type="paragraph" w:customStyle="1" w:styleId="51">
    <w:name w:val="表格"/>
    <w:basedOn w:val="1"/>
    <w:qFormat/>
    <w:uiPriority w:val="0"/>
    <w:pPr>
      <w:widowControl w:val="0"/>
      <w:adjustRightInd/>
      <w:snapToGrid/>
      <w:spacing w:after="0"/>
      <w:jc w:val="center"/>
    </w:pPr>
    <w:rPr>
      <w:rFonts w:ascii="Times New Roman" w:hAnsi="Times New Roman" w:eastAsia="宋体"/>
      <w:kern w:val="2"/>
      <w:sz w:val="24"/>
      <w:szCs w:val="20"/>
    </w:rPr>
  </w:style>
  <w:style w:type="paragraph" w:customStyle="1" w:styleId="52">
    <w:name w:val="验收监测表 标题（左对齐）"/>
    <w:basedOn w:val="1"/>
    <w:qFormat/>
    <w:uiPriority w:val="0"/>
    <w:pPr>
      <w:tabs>
        <w:tab w:val="left" w:pos="2760"/>
      </w:tabs>
      <w:spacing w:line="440" w:lineRule="atLeast"/>
      <w:ind w:firstLine="200" w:firstLineChars="200"/>
    </w:pPr>
    <w:rPr>
      <w:rFonts w:ascii="Calibri" w:hAnsi="Calibri"/>
      <w:sz w:val="24"/>
      <w:szCs w:val="28"/>
    </w:rPr>
  </w:style>
  <w:style w:type="paragraph" w:customStyle="1" w:styleId="53">
    <w:name w:val="正文 New New New New New New New New New New New New New New New New New New New New New New New New New New New New New New New New New New New New New New New New New New New New New New New"/>
    <w:qFormat/>
    <w:uiPriority w:val="0"/>
    <w:pPr>
      <w:widowControl w:val="0"/>
      <w:adjustRightInd w:val="0"/>
      <w:snapToGrid w:val="0"/>
      <w:spacing w:line="240" w:lineRule="atLeast"/>
      <w:jc w:val="both"/>
    </w:pPr>
    <w:rPr>
      <w:rFonts w:ascii="Times New Roman" w:hAnsi="Times New Roman" w:eastAsia="宋体" w:cs="Times New Roman"/>
      <w:kern w:val="2"/>
      <w:sz w:val="21"/>
      <w:szCs w:val="24"/>
      <w:lang w:val="en-US" w:eastAsia="zh-CN" w:bidi="ar-SA"/>
    </w:rPr>
  </w:style>
  <w:style w:type="paragraph" w:customStyle="1" w:styleId="54">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55">
    <w:name w:val="表内标1"/>
    <w:basedOn w:val="1"/>
    <w:qFormat/>
    <w:uiPriority w:val="0"/>
    <w:pPr>
      <w:spacing w:line="400" w:lineRule="exact"/>
      <w:jc w:val="center"/>
    </w:pPr>
    <w:rPr>
      <w:rFonts w:ascii="黑体" w:eastAsia="黑体"/>
      <w:sz w:val="28"/>
    </w:rPr>
  </w:style>
  <w:style w:type="paragraph" w:customStyle="1" w:styleId="56">
    <w:name w:val="验收监测表 标题1"/>
    <w:basedOn w:val="4"/>
    <w:qFormat/>
    <w:uiPriority w:val="0"/>
    <w:pPr>
      <w:numPr>
        <w:ilvl w:val="0"/>
        <w:numId w:val="1"/>
      </w:numPr>
      <w:tabs>
        <w:tab w:val="left" w:pos="480"/>
      </w:tabs>
      <w:spacing w:before="0" w:after="0" w:line="240" w:lineRule="auto"/>
    </w:pPr>
    <w:rPr>
      <w:rFonts w:eastAsia="黑体" w:cs="Arial"/>
      <w:bCs w:val="0"/>
      <w:snapToGrid w:val="0"/>
      <w:sz w:val="30"/>
      <w:szCs w:val="32"/>
    </w:rPr>
  </w:style>
  <w:style w:type="paragraph" w:customStyle="1" w:styleId="57">
    <w:name w:val="WPSOffice手动目录 1"/>
    <w:qFormat/>
    <w:uiPriority w:val="99"/>
    <w:rPr>
      <w:rFonts w:ascii="Calibri" w:hAnsi="Calibri" w:eastAsia="宋体" w:cs="Times New Roman"/>
      <w:lang w:val="en-US" w:eastAsia="zh-CN" w:bidi="ar-SA"/>
    </w:rPr>
  </w:style>
  <w:style w:type="paragraph" w:customStyle="1" w:styleId="58">
    <w:name w:val="正文_12"/>
    <w:qFormat/>
    <w:uiPriority w:val="0"/>
    <w:pPr>
      <w:widowControl w:val="0"/>
      <w:jc w:val="both"/>
    </w:pPr>
    <w:rPr>
      <w:rFonts w:ascii="Calibri" w:hAnsi="Calibri" w:eastAsia="宋体" w:cs="Times New Roman"/>
      <w:kern w:val="2"/>
      <w:sz w:val="21"/>
      <w:lang w:val="en-US" w:eastAsia="zh-CN" w:bidi="ar-SA"/>
    </w:rPr>
  </w:style>
  <w:style w:type="paragraph" w:customStyle="1" w:styleId="5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0">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61">
    <w:name w:val="无间隔1"/>
    <w:qFormat/>
    <w:uiPriority w:val="1"/>
    <w:rPr>
      <w:rFonts w:ascii="Calibri" w:hAnsi="Calibri" w:eastAsia="宋体" w:cs="Times New Roman"/>
      <w:sz w:val="22"/>
      <w:lang w:val="en-US" w:eastAsia="zh-CN" w:bidi="ar-SA"/>
    </w:rPr>
  </w:style>
  <w:style w:type="paragraph" w:customStyle="1" w:styleId="62">
    <w:name w:val="1.1标题"/>
    <w:basedOn w:val="5"/>
    <w:link w:val="120"/>
    <w:qFormat/>
    <w:uiPriority w:val="0"/>
    <w:pPr>
      <w:keepLines/>
      <w:spacing w:before="240" w:after="120" w:line="360" w:lineRule="exact"/>
      <w:ind w:left="0" w:right="0"/>
      <w:jc w:val="both"/>
    </w:pPr>
    <w:rPr>
      <w:rFonts w:ascii="Times New Roman" w:eastAsia="黑体"/>
      <w:b w:val="0"/>
      <w:bCs/>
      <w:sz w:val="30"/>
      <w:szCs w:val="30"/>
    </w:rPr>
  </w:style>
  <w:style w:type="paragraph" w:customStyle="1" w:styleId="63">
    <w:name w:val="2"/>
    <w:basedOn w:val="1"/>
    <w:next w:val="22"/>
    <w:link w:val="121"/>
    <w:uiPriority w:val="0"/>
    <w:pPr>
      <w:widowControl w:val="0"/>
      <w:adjustRightInd/>
      <w:snapToGrid/>
      <w:spacing w:after="0"/>
      <w:jc w:val="both"/>
    </w:pPr>
    <w:rPr>
      <w:rFonts w:ascii="宋体" w:hAnsi="Courier New" w:eastAsia="宋体"/>
      <w:kern w:val="2"/>
      <w:sz w:val="21"/>
      <w:szCs w:val="20"/>
    </w:rPr>
  </w:style>
  <w:style w:type="paragraph" w:customStyle="1" w:styleId="64">
    <w:name w:val="表格文字"/>
    <w:basedOn w:val="1"/>
    <w:next w:val="1"/>
    <w:link w:val="122"/>
    <w:uiPriority w:val="0"/>
    <w:pPr>
      <w:widowControl w:val="0"/>
      <w:adjustRightInd/>
      <w:spacing w:after="0"/>
      <w:jc w:val="center"/>
    </w:pPr>
    <w:rPr>
      <w:rFonts w:ascii="Times New Roman" w:hAnsi="Times New Roman" w:eastAsia="宋体"/>
      <w:kern w:val="2"/>
      <w:sz w:val="21"/>
      <w:szCs w:val="21"/>
    </w:rPr>
  </w:style>
  <w:style w:type="paragraph" w:customStyle="1" w:styleId="65">
    <w:name w:val="正文部分"/>
    <w:basedOn w:val="1"/>
    <w:link w:val="123"/>
    <w:uiPriority w:val="0"/>
    <w:pPr>
      <w:widowControl w:val="0"/>
      <w:adjustRightInd/>
      <w:snapToGrid/>
      <w:spacing w:after="0" w:line="460" w:lineRule="exact"/>
      <w:ind w:firstLine="200" w:firstLineChars="200"/>
      <w:jc w:val="both"/>
    </w:pPr>
    <w:rPr>
      <w:rFonts w:ascii="楷体_GB2312" w:hAnsi="宋体" w:eastAsia="仿宋_GB2312"/>
      <w:b/>
      <w:kern w:val="2"/>
      <w:sz w:val="28"/>
      <w:szCs w:val="28"/>
    </w:rPr>
  </w:style>
  <w:style w:type="paragraph" w:customStyle="1" w:styleId="66">
    <w:name w:val="表格内容"/>
    <w:basedOn w:val="1"/>
    <w:link w:val="124"/>
    <w:qFormat/>
    <w:uiPriority w:val="0"/>
    <w:pPr>
      <w:widowControl w:val="0"/>
      <w:snapToGrid/>
      <w:spacing w:after="0" w:line="400" w:lineRule="atLeast"/>
      <w:jc w:val="center"/>
    </w:pPr>
    <w:rPr>
      <w:rFonts w:ascii="Times New Roman" w:hAnsi="Times New Roman" w:eastAsia="宋体"/>
      <w:sz w:val="24"/>
      <w:szCs w:val="20"/>
    </w:rPr>
  </w:style>
  <w:style w:type="paragraph" w:customStyle="1" w:styleId="67">
    <w:name w:val="_Style 4"/>
    <w:basedOn w:val="1"/>
    <w:link w:val="126"/>
    <w:uiPriority w:val="0"/>
    <w:pPr>
      <w:widowControl w:val="0"/>
      <w:adjustRightInd/>
      <w:snapToGrid/>
      <w:spacing w:after="0"/>
      <w:jc w:val="both"/>
    </w:pPr>
    <w:rPr>
      <w:rFonts w:ascii="Times New Roman" w:hAnsi="Times New Roman" w:eastAsia="宋体"/>
      <w:kern w:val="2"/>
      <w:sz w:val="21"/>
      <w:szCs w:val="20"/>
    </w:rPr>
  </w:style>
  <w:style w:type="paragraph" w:customStyle="1" w:styleId="68">
    <w:name w:val="表格1"/>
    <w:basedOn w:val="1"/>
    <w:link w:val="132"/>
    <w:uiPriority w:val="0"/>
    <w:pPr>
      <w:widowControl w:val="0"/>
      <w:adjustRightInd/>
      <w:snapToGrid/>
      <w:spacing w:after="0" w:line="360" w:lineRule="auto"/>
      <w:ind w:firstLine="200" w:firstLineChars="200"/>
    </w:pPr>
    <w:rPr>
      <w:rFonts w:ascii="Times New Roman" w:hAnsi="Times New Roman" w:eastAsia="宋体"/>
      <w:kern w:val="2"/>
      <w:sz w:val="24"/>
      <w:szCs w:val="20"/>
    </w:rPr>
  </w:style>
  <w:style w:type="paragraph" w:customStyle="1" w:styleId="69">
    <w:name w:val="正文03"/>
    <w:basedOn w:val="1"/>
    <w:link w:val="134"/>
    <w:qFormat/>
    <w:uiPriority w:val="0"/>
    <w:pPr>
      <w:widowControl w:val="0"/>
      <w:spacing w:after="0" w:line="440" w:lineRule="exact"/>
      <w:ind w:firstLine="440"/>
      <w:jc w:val="center"/>
    </w:pPr>
    <w:rPr>
      <w:rFonts w:ascii="Times New Roman" w:hAnsi="Times New Roman" w:eastAsia="宋体"/>
      <w:b/>
      <w:sz w:val="24"/>
      <w:szCs w:val="28"/>
    </w:rPr>
  </w:style>
  <w:style w:type="paragraph" w:customStyle="1" w:styleId="70">
    <w:name w:val="1.1.1标题"/>
    <w:basedOn w:val="6"/>
    <w:link w:val="135"/>
    <w:qFormat/>
    <w:uiPriority w:val="0"/>
    <w:pPr>
      <w:spacing w:before="240" w:after="120" w:line="360" w:lineRule="exact"/>
    </w:pPr>
    <w:rPr>
      <w:rFonts w:eastAsia="黑体"/>
      <w:b w:val="0"/>
      <w:kern w:val="0"/>
      <w:sz w:val="28"/>
      <w:szCs w:val="28"/>
    </w:rPr>
  </w:style>
  <w:style w:type="paragraph" w:customStyle="1" w:styleId="71">
    <w:name w:val="正文内容"/>
    <w:basedOn w:val="1"/>
    <w:link w:val="136"/>
    <w:qFormat/>
    <w:uiPriority w:val="0"/>
    <w:pPr>
      <w:widowControl w:val="0"/>
      <w:adjustRightInd/>
      <w:snapToGrid/>
      <w:spacing w:after="0" w:line="440" w:lineRule="exact"/>
      <w:ind w:firstLine="480" w:firstLineChars="200"/>
      <w:jc w:val="both"/>
    </w:pPr>
    <w:rPr>
      <w:rFonts w:ascii="Times New Roman" w:hAnsi="宋体" w:eastAsia="宋体"/>
      <w:color w:val="000000"/>
      <w:kern w:val="2"/>
      <w:sz w:val="24"/>
      <w:szCs w:val="24"/>
    </w:rPr>
  </w:style>
  <w:style w:type="paragraph" w:customStyle="1" w:styleId="72">
    <w:name w:val="正文文本1"/>
    <w:basedOn w:val="1"/>
    <w:link w:val="137"/>
    <w:uiPriority w:val="0"/>
    <w:pPr>
      <w:widowControl w:val="0"/>
      <w:shd w:val="clear" w:color="auto" w:fill="FFFFFF"/>
      <w:adjustRightInd/>
      <w:snapToGrid/>
      <w:spacing w:after="0" w:line="600" w:lineRule="exact"/>
      <w:ind w:hanging="540"/>
    </w:pPr>
    <w:rPr>
      <w:rFonts w:ascii="Arial Unicode MS" w:hAnsi="Arial Unicode MS" w:eastAsia="Times New Roman" w:cs="Arial Unicode MS"/>
      <w:sz w:val="27"/>
      <w:szCs w:val="27"/>
    </w:rPr>
  </w:style>
  <w:style w:type="paragraph" w:customStyle="1" w:styleId="73">
    <w:name w:val="表格标题"/>
    <w:basedOn w:val="1"/>
    <w:link w:val="140"/>
    <w:qFormat/>
    <w:uiPriority w:val="0"/>
    <w:pPr>
      <w:widowControl w:val="0"/>
      <w:adjustRightInd/>
      <w:snapToGrid/>
      <w:spacing w:after="0" w:line="400" w:lineRule="exact"/>
      <w:jc w:val="center"/>
    </w:pPr>
    <w:rPr>
      <w:rFonts w:ascii="Times New Roman" w:hAnsi="Times New Roman" w:eastAsia="黑体"/>
      <w:kern w:val="2"/>
      <w:sz w:val="24"/>
      <w:szCs w:val="24"/>
    </w:rPr>
  </w:style>
  <w:style w:type="paragraph" w:customStyle="1" w:styleId="74">
    <w:name w:val="页眉内容"/>
    <w:basedOn w:val="28"/>
    <w:link w:val="141"/>
    <w:qFormat/>
    <w:uiPriority w:val="0"/>
    <w:pPr>
      <w:spacing w:line="240" w:lineRule="exact"/>
    </w:pPr>
    <w:rPr>
      <w:rFonts w:ascii="宋体" w:hAnsi="宋体" w:eastAsia="宋体" w:cs="Times New Roman"/>
      <w:kern w:val="0"/>
    </w:rPr>
  </w:style>
  <w:style w:type="paragraph" w:customStyle="1" w:styleId="75">
    <w:name w:val="页脚内容"/>
    <w:basedOn w:val="27"/>
    <w:link w:val="142"/>
    <w:qFormat/>
    <w:uiPriority w:val="0"/>
    <w:pPr>
      <w:spacing w:line="240" w:lineRule="exact"/>
    </w:pPr>
    <w:rPr>
      <w:rFonts w:ascii="宋体" w:hAnsi="宋体" w:eastAsia="宋体" w:cs="Times New Roman"/>
    </w:rPr>
  </w:style>
  <w:style w:type="paragraph" w:customStyle="1" w:styleId="76">
    <w:name w:val="正文样式1"/>
    <w:basedOn w:val="1"/>
    <w:uiPriority w:val="0"/>
    <w:pPr>
      <w:widowControl w:val="0"/>
      <w:snapToGrid/>
      <w:spacing w:after="0" w:line="400" w:lineRule="atLeast"/>
      <w:ind w:firstLine="454"/>
      <w:jc w:val="both"/>
      <w:textAlignment w:val="baseline"/>
    </w:pPr>
    <w:rPr>
      <w:rFonts w:ascii="Times New Roman" w:hAnsi="Times New Roman" w:eastAsia="宋体"/>
      <w:b/>
      <w:kern w:val="24"/>
      <w:sz w:val="24"/>
      <w:szCs w:val="20"/>
    </w:rPr>
  </w:style>
  <w:style w:type="paragraph" w:customStyle="1" w:styleId="77">
    <w:name w:val="默认段落字体 Para Char"/>
    <w:basedOn w:val="1"/>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 w:type="paragraph" w:customStyle="1" w:styleId="78">
    <w:name w:val="6表内文字 居中"/>
    <w:basedOn w:val="1"/>
    <w:qFormat/>
    <w:uiPriority w:val="0"/>
    <w:pPr>
      <w:widowControl w:val="0"/>
      <w:snapToGrid/>
      <w:spacing w:after="0" w:line="240" w:lineRule="atLeast"/>
      <w:jc w:val="center"/>
      <w:textAlignment w:val="baseline"/>
    </w:pPr>
    <w:rPr>
      <w:rFonts w:ascii="Times New Roman" w:hAnsi="Times New Roman" w:eastAsia="宋体"/>
      <w:snapToGrid w:val="0"/>
      <w:sz w:val="21"/>
      <w:szCs w:val="24"/>
    </w:rPr>
  </w:style>
  <w:style w:type="paragraph" w:customStyle="1" w:styleId="79">
    <w:name w:val="居中正文"/>
    <w:basedOn w:val="2"/>
    <w:uiPriority w:val="0"/>
    <w:pPr>
      <w:widowControl w:val="0"/>
      <w:snapToGrid/>
      <w:spacing w:before="120" w:beforeLines="0" w:after="0" w:line="360" w:lineRule="auto"/>
    </w:pPr>
    <w:rPr>
      <w:rFonts w:ascii="宋体" w:hAnsi="Times New Roman" w:eastAsia="宋体"/>
      <w:spacing w:val="0"/>
      <w:kern w:val="28"/>
      <w:sz w:val="24"/>
      <w:szCs w:val="20"/>
    </w:rPr>
  </w:style>
  <w:style w:type="paragraph" w:customStyle="1" w:styleId="80">
    <w:name w:val="Char Char Char Char"/>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1">
    <w:name w:val="Char Char Char Char Char Char Char Char Char Char Char Char Char"/>
    <w:basedOn w:val="1"/>
    <w:uiPriority w:val="0"/>
    <w:pPr>
      <w:adjustRightInd/>
      <w:snapToGrid/>
      <w:spacing w:after="0" w:line="360" w:lineRule="auto"/>
      <w:ind w:firstLine="200" w:firstLineChars="200"/>
    </w:pPr>
    <w:rPr>
      <w:rFonts w:ascii="宋体" w:hAnsi="宋体" w:eastAsia="宋体" w:cs="宋体"/>
      <w:sz w:val="24"/>
      <w:szCs w:val="24"/>
    </w:rPr>
  </w:style>
  <w:style w:type="paragraph" w:customStyle="1" w:styleId="82">
    <w:name w:val=".... 2"/>
    <w:basedOn w:val="1"/>
    <w:next w:val="1"/>
    <w:uiPriority w:val="0"/>
    <w:pPr>
      <w:widowControl w:val="0"/>
      <w:autoSpaceDE w:val="0"/>
      <w:autoSpaceDN w:val="0"/>
      <w:snapToGrid/>
      <w:spacing w:after="0"/>
    </w:pPr>
    <w:rPr>
      <w:rFonts w:ascii=".." w:hAnsi="Times New Roman" w:eastAsia=".."/>
      <w:sz w:val="24"/>
      <w:szCs w:val="24"/>
    </w:rPr>
  </w:style>
  <w:style w:type="paragraph" w:customStyle="1" w:styleId="83">
    <w:name w:val="山焦报告正文"/>
    <w:basedOn w:val="1"/>
    <w:uiPriority w:val="0"/>
    <w:pPr>
      <w:widowControl w:val="0"/>
      <w:spacing w:beforeLines="25" w:after="0" w:line="440" w:lineRule="exact"/>
      <w:ind w:firstLine="200" w:firstLineChars="200"/>
      <w:jc w:val="both"/>
    </w:pPr>
    <w:rPr>
      <w:rFonts w:ascii="Times New Roman" w:hAnsi="Times New Roman" w:eastAsia="宋体"/>
      <w:color w:val="000000"/>
      <w:kern w:val="2"/>
      <w:sz w:val="24"/>
      <w:szCs w:val="24"/>
    </w:rPr>
  </w:style>
  <w:style w:type="paragraph" w:customStyle="1" w:styleId="84">
    <w:name w:val="Char Char Char Char1"/>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5">
    <w:name w:val="正文文本2"/>
    <w:basedOn w:val="1"/>
    <w:uiPriority w:val="0"/>
    <w:pPr>
      <w:widowControl w:val="0"/>
      <w:shd w:val="clear" w:color="auto" w:fill="FFFFFF"/>
      <w:adjustRightInd/>
      <w:snapToGrid/>
      <w:spacing w:before="180" w:after="720" w:line="0" w:lineRule="atLeast"/>
    </w:pPr>
    <w:rPr>
      <w:rFonts w:ascii="Batang" w:hAnsi="Batang" w:eastAsia="Batang" w:cs="Batang"/>
      <w:color w:val="000000"/>
      <w:sz w:val="25"/>
      <w:szCs w:val="25"/>
      <w:lang w:val="zh-TW"/>
    </w:rPr>
  </w:style>
  <w:style w:type="paragraph" w:customStyle="1" w:styleId="86">
    <w:name w:val="_Style 2"/>
    <w:basedOn w:val="1"/>
    <w:uiPriority w:val="0"/>
    <w:pPr>
      <w:widowControl w:val="0"/>
      <w:adjustRightInd/>
      <w:snapToGrid/>
      <w:spacing w:after="0" w:line="360" w:lineRule="auto"/>
      <w:ind w:firstLine="200" w:firstLineChars="200"/>
      <w:jc w:val="both"/>
    </w:pPr>
    <w:rPr>
      <w:rFonts w:ascii="宋体" w:hAnsi="宋体" w:eastAsia="宋体" w:cs="宋体"/>
      <w:kern w:val="2"/>
      <w:sz w:val="24"/>
      <w:szCs w:val="20"/>
    </w:rPr>
  </w:style>
  <w:style w:type="paragraph" w:customStyle="1" w:styleId="87">
    <w:name w:val="样式1"/>
    <w:basedOn w:val="22"/>
    <w:uiPriority w:val="0"/>
    <w:pPr>
      <w:widowControl w:val="0"/>
      <w:snapToGrid/>
      <w:spacing w:after="0" w:line="400" w:lineRule="exact"/>
      <w:ind w:firstLine="562" w:firstLineChars="200"/>
      <w:jc w:val="both"/>
    </w:pPr>
    <w:rPr>
      <w:rFonts w:ascii="楷体_GB2312" w:hAnsi="Times New Roman" w:eastAsia="楷体_GB2312" w:cs="Courier New"/>
      <w:b/>
      <w:bCs/>
      <w:kern w:val="2"/>
      <w:sz w:val="28"/>
      <w:szCs w:val="21"/>
    </w:rPr>
  </w:style>
  <w:style w:type="paragraph" w:customStyle="1" w:styleId="88">
    <w:name w:val="我的正文"/>
    <w:basedOn w:val="1"/>
    <w:uiPriority w:val="0"/>
    <w:pPr>
      <w:widowControl w:val="0"/>
      <w:adjustRightInd/>
      <w:snapToGrid/>
      <w:spacing w:after="0" w:line="460" w:lineRule="exact"/>
      <w:ind w:firstLine="482"/>
      <w:jc w:val="both"/>
    </w:pPr>
    <w:rPr>
      <w:rFonts w:ascii="Times New Roman" w:hAnsi="Times New Roman" w:eastAsia="宋体"/>
      <w:kern w:val="2"/>
      <w:sz w:val="24"/>
      <w:szCs w:val="24"/>
    </w:rPr>
  </w:style>
  <w:style w:type="paragraph" w:customStyle="1" w:styleId="89">
    <w:name w:val="书 正文"/>
    <w:basedOn w:val="1"/>
    <w:qFormat/>
    <w:uiPriority w:val="0"/>
    <w:pPr>
      <w:widowControl w:val="0"/>
      <w:adjustRightInd/>
      <w:snapToGrid/>
      <w:spacing w:after="0"/>
      <w:ind w:firstLine="514" w:firstLineChars="200"/>
      <w:jc w:val="both"/>
    </w:pPr>
    <w:rPr>
      <w:rFonts w:ascii="Times New Roman" w:hAnsi="Times New Roman" w:eastAsia="宋体"/>
      <w:kern w:val="24"/>
      <w:sz w:val="24"/>
      <w:szCs w:val="24"/>
    </w:rPr>
  </w:style>
  <w:style w:type="paragraph" w:customStyle="1" w:styleId="90">
    <w:name w:val="Char Char5 Char Char"/>
    <w:basedOn w:val="1"/>
    <w:uiPriority w:val="0"/>
    <w:pPr>
      <w:widowControl w:val="0"/>
      <w:adjustRightInd/>
      <w:spacing w:after="0"/>
      <w:jc w:val="both"/>
    </w:pPr>
    <w:rPr>
      <w:rFonts w:ascii="Arial" w:hAnsi="Arial" w:eastAsia="华文细黑"/>
      <w:kern w:val="2"/>
      <w:sz w:val="24"/>
      <w:szCs w:val="21"/>
    </w:rPr>
  </w:style>
  <w:style w:type="paragraph" w:customStyle="1" w:styleId="91">
    <w:name w:val="清源"/>
    <w:basedOn w:val="1"/>
    <w:uiPriority w:val="99"/>
    <w:pPr>
      <w:widowControl w:val="0"/>
      <w:adjustRightInd/>
      <w:snapToGrid/>
      <w:spacing w:after="0" w:line="460" w:lineRule="exact"/>
      <w:ind w:firstLine="562" w:firstLineChars="200"/>
      <w:jc w:val="both"/>
    </w:pPr>
    <w:rPr>
      <w:rFonts w:ascii="仿宋_GB2312" w:hAnsi="宋体" w:eastAsia="仿宋_GB2312" w:cs="仿宋_GB2312"/>
      <w:b/>
      <w:bCs/>
      <w:kern w:val="2"/>
      <w:sz w:val="28"/>
      <w:szCs w:val="28"/>
    </w:rPr>
  </w:style>
  <w:style w:type="paragraph" w:customStyle="1" w:styleId="92">
    <w:name w:val="标准"/>
    <w:basedOn w:val="1"/>
    <w:uiPriority w:val="0"/>
    <w:pPr>
      <w:widowControl w:val="0"/>
      <w:adjustRightInd/>
      <w:spacing w:after="0" w:line="240" w:lineRule="atLeast"/>
      <w:jc w:val="both"/>
    </w:pPr>
    <w:rPr>
      <w:rFonts w:ascii="Times New Roman" w:hAnsi="Times New Roman" w:eastAsia="宋体"/>
      <w:kern w:val="22"/>
      <w:sz w:val="21"/>
      <w:szCs w:val="20"/>
    </w:rPr>
  </w:style>
  <w:style w:type="paragraph" w:customStyle="1" w:styleId="93">
    <w:name w:val="已有表格"/>
    <w:basedOn w:val="1"/>
    <w:uiPriority w:val="0"/>
    <w:pPr>
      <w:widowControl w:val="0"/>
      <w:snapToGrid/>
      <w:spacing w:before="40" w:after="40"/>
      <w:jc w:val="center"/>
      <w:textAlignment w:val="baseline"/>
    </w:pPr>
    <w:rPr>
      <w:rFonts w:ascii="Times New Roman" w:hAnsi="Times New Roman" w:eastAsia="宋体"/>
      <w:b/>
      <w:sz w:val="24"/>
      <w:szCs w:val="20"/>
    </w:rPr>
  </w:style>
  <w:style w:type="paragraph" w:customStyle="1" w:styleId="94">
    <w:name w:val="hp正文"/>
    <w:basedOn w:val="1"/>
    <w:uiPriority w:val="0"/>
    <w:pPr>
      <w:widowControl w:val="0"/>
      <w:adjustRightInd/>
      <w:snapToGrid/>
      <w:spacing w:after="0" w:line="360" w:lineRule="auto"/>
      <w:ind w:firstLine="200" w:firstLineChars="200"/>
    </w:pPr>
    <w:rPr>
      <w:rFonts w:ascii="Times New Roman" w:hAnsi="Times New Roman" w:eastAsia="宋体"/>
      <w:kern w:val="2"/>
      <w:sz w:val="24"/>
      <w:szCs w:val="24"/>
    </w:rPr>
  </w:style>
  <w:style w:type="paragraph" w:customStyle="1" w:styleId="95">
    <w:name w:val="p15"/>
    <w:basedOn w:val="1"/>
    <w:uiPriority w:val="0"/>
    <w:pPr>
      <w:adjustRightInd/>
      <w:spacing w:after="0" w:line="360" w:lineRule="auto"/>
      <w:ind w:firstLine="420"/>
      <w:jc w:val="both"/>
    </w:pPr>
    <w:rPr>
      <w:rFonts w:ascii="Times New Roman" w:hAnsi="Times New Roman" w:eastAsia="宋体"/>
      <w:sz w:val="24"/>
      <w:szCs w:val="24"/>
    </w:rPr>
  </w:style>
  <w:style w:type="paragraph" w:customStyle="1" w:styleId="96">
    <w:name w:val="表格格式"/>
    <w:next w:val="1"/>
    <w:qFormat/>
    <w:uiPriority w:val="0"/>
    <w:pPr>
      <w:snapToGrid w:val="0"/>
      <w:jc w:val="center"/>
    </w:pPr>
    <w:rPr>
      <w:rFonts w:ascii="宋体" w:hAnsi="宋体" w:eastAsia="宋体" w:cs="宋体"/>
      <w:bCs/>
      <w:sz w:val="21"/>
      <w:szCs w:val="21"/>
      <w:lang w:val="en-US" w:eastAsia="zh-CN" w:bidi="ar-SA"/>
    </w:rPr>
  </w:style>
  <w:style w:type="paragraph" w:customStyle="1" w:styleId="97">
    <w:name w:val="表内正文"/>
    <w:basedOn w:val="1"/>
    <w:qFormat/>
    <w:uiPriority w:val="0"/>
    <w:pPr>
      <w:widowControl w:val="0"/>
      <w:adjustRightInd/>
      <w:snapToGrid/>
      <w:spacing w:after="0"/>
      <w:ind w:firstLine="200" w:firstLineChars="200"/>
      <w:jc w:val="both"/>
    </w:pPr>
    <w:rPr>
      <w:rFonts w:ascii="仿宋_GB2312" w:hAnsi="宋体" w:eastAsia="仿宋_GB2312"/>
      <w:kern w:val="2"/>
      <w:sz w:val="28"/>
      <w:szCs w:val="24"/>
    </w:rPr>
  </w:style>
  <w:style w:type="paragraph" w:customStyle="1" w:styleId="98">
    <w:name w:val="Char1 Char Char Char"/>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99">
    <w:name w:val="3 Char Char Char Char Char Char Char Char Char Char"/>
    <w:basedOn w:val="1"/>
    <w:uiPriority w:val="0"/>
    <w:pPr>
      <w:widowControl w:val="0"/>
      <w:adjustRightInd/>
      <w:spacing w:after="0" w:line="360" w:lineRule="auto"/>
      <w:ind w:firstLine="200" w:firstLineChars="200"/>
      <w:jc w:val="both"/>
    </w:pPr>
    <w:rPr>
      <w:rFonts w:ascii="Times New Roman" w:hAnsi="Times New Roman" w:eastAsia="宋体"/>
      <w:kern w:val="2"/>
      <w:sz w:val="21"/>
      <w:szCs w:val="24"/>
    </w:rPr>
  </w:style>
  <w:style w:type="character" w:customStyle="1" w:styleId="100">
    <w:name w:val="标题 1 字符"/>
    <w:link w:val="4"/>
    <w:uiPriority w:val="9"/>
    <w:rPr>
      <w:rFonts w:ascii="Tahoma" w:hAnsi="Tahoma" w:eastAsia="微软雅黑"/>
      <w:b/>
      <w:bCs/>
      <w:kern w:val="44"/>
      <w:sz w:val="44"/>
      <w:szCs w:val="44"/>
    </w:rPr>
  </w:style>
  <w:style w:type="character" w:customStyle="1" w:styleId="101">
    <w:name w:val="标题 2 字符"/>
    <w:basedOn w:val="38"/>
    <w:link w:val="5"/>
    <w:uiPriority w:val="99"/>
    <w:rPr>
      <w:rFonts w:ascii="黑体"/>
      <w:b/>
      <w:kern w:val="2"/>
      <w:sz w:val="18"/>
      <w:szCs w:val="24"/>
    </w:rPr>
  </w:style>
  <w:style w:type="character" w:customStyle="1" w:styleId="102">
    <w:name w:val="标题 3 字符"/>
    <w:basedOn w:val="38"/>
    <w:link w:val="6"/>
    <w:uiPriority w:val="99"/>
    <w:rPr>
      <w:b/>
      <w:bCs/>
      <w:kern w:val="2"/>
      <w:sz w:val="32"/>
      <w:szCs w:val="32"/>
    </w:rPr>
  </w:style>
  <w:style w:type="character" w:customStyle="1" w:styleId="103">
    <w:name w:val="标题 4 字符"/>
    <w:basedOn w:val="38"/>
    <w:link w:val="7"/>
    <w:uiPriority w:val="0"/>
    <w:rPr>
      <w:rFonts w:ascii="Arial" w:hAnsi="Arial" w:eastAsia="黑体"/>
      <w:b/>
      <w:bCs/>
      <w:kern w:val="2"/>
      <w:sz w:val="28"/>
      <w:szCs w:val="28"/>
    </w:rPr>
  </w:style>
  <w:style w:type="character" w:customStyle="1" w:styleId="104">
    <w:name w:val="标题 5 字符"/>
    <w:basedOn w:val="38"/>
    <w:link w:val="8"/>
    <w:uiPriority w:val="0"/>
    <w:rPr>
      <w:b/>
      <w:bCs/>
      <w:kern w:val="2"/>
      <w:sz w:val="28"/>
      <w:szCs w:val="28"/>
    </w:rPr>
  </w:style>
  <w:style w:type="character" w:customStyle="1" w:styleId="105">
    <w:name w:val="标题 6 字符"/>
    <w:basedOn w:val="38"/>
    <w:link w:val="9"/>
    <w:uiPriority w:val="0"/>
    <w:rPr>
      <w:rFonts w:ascii="宋体" w:hAnsi="宋体"/>
      <w:b/>
      <w:spacing w:val="-10"/>
      <w:kern w:val="2"/>
      <w:sz w:val="18"/>
    </w:rPr>
  </w:style>
  <w:style w:type="character" w:customStyle="1" w:styleId="106">
    <w:name w:val="标题 8 字符"/>
    <w:basedOn w:val="38"/>
    <w:link w:val="10"/>
    <w:uiPriority w:val="0"/>
    <w:rPr>
      <w:rFonts w:ascii="Arial" w:hAnsi="Arial" w:eastAsia="黑体"/>
      <w:kern w:val="2"/>
      <w:sz w:val="24"/>
      <w:szCs w:val="24"/>
    </w:rPr>
  </w:style>
  <w:style w:type="character" w:customStyle="1" w:styleId="107">
    <w:name w:val="标题 9 字符"/>
    <w:basedOn w:val="38"/>
    <w:link w:val="11"/>
    <w:uiPriority w:val="9"/>
    <w:rPr>
      <w:rFonts w:ascii="Cambria" w:hAnsi="Cambria"/>
      <w:kern w:val="2"/>
      <w:sz w:val="21"/>
      <w:szCs w:val="21"/>
    </w:rPr>
  </w:style>
  <w:style w:type="character" w:customStyle="1" w:styleId="108">
    <w:name w:val="正文缩进 字符"/>
    <w:link w:val="15"/>
    <w:qFormat/>
    <w:locked/>
    <w:uiPriority w:val="0"/>
    <w:rPr>
      <w:szCs w:val="21"/>
    </w:rPr>
  </w:style>
  <w:style w:type="character" w:customStyle="1" w:styleId="109">
    <w:name w:val="批注文字 字符"/>
    <w:basedOn w:val="38"/>
    <w:link w:val="13"/>
    <w:qFormat/>
    <w:uiPriority w:val="99"/>
    <w:rPr>
      <w:rFonts w:ascii="Tahoma" w:hAnsi="Tahoma" w:eastAsia="微软雅黑" w:cs="Times New Roman"/>
      <w:kern w:val="0"/>
      <w:sz w:val="22"/>
    </w:rPr>
  </w:style>
  <w:style w:type="character" w:customStyle="1" w:styleId="110">
    <w:name w:val="正文文本缩进 字符"/>
    <w:link w:val="19"/>
    <w:qFormat/>
    <w:uiPriority w:val="99"/>
    <w:rPr>
      <w:rFonts w:ascii="Tahoma" w:hAnsi="Tahoma" w:eastAsia="微软雅黑" w:cs="Times New Roman"/>
      <w:sz w:val="28"/>
      <w:szCs w:val="24"/>
    </w:rPr>
  </w:style>
  <w:style w:type="character" w:customStyle="1" w:styleId="111">
    <w:name w:val="纯文本 字符"/>
    <w:basedOn w:val="38"/>
    <w:link w:val="22"/>
    <w:qFormat/>
    <w:uiPriority w:val="99"/>
    <w:rPr>
      <w:rFonts w:ascii="宋体" w:hAnsi="Courier New" w:eastAsia="微软雅黑" w:cs="Times New Roman"/>
      <w:szCs w:val="22"/>
    </w:rPr>
  </w:style>
  <w:style w:type="character" w:customStyle="1" w:styleId="112">
    <w:name w:val="批注框文本 字符"/>
    <w:basedOn w:val="38"/>
    <w:link w:val="26"/>
    <w:semiHidden/>
    <w:qFormat/>
    <w:uiPriority w:val="99"/>
    <w:rPr>
      <w:rFonts w:ascii="Tahoma" w:hAnsi="Tahoma" w:eastAsia="微软雅黑" w:cs="Times New Roman"/>
      <w:sz w:val="18"/>
      <w:szCs w:val="18"/>
    </w:rPr>
  </w:style>
  <w:style w:type="character" w:customStyle="1" w:styleId="113">
    <w:name w:val="页脚 字符"/>
    <w:basedOn w:val="38"/>
    <w:link w:val="27"/>
    <w:qFormat/>
    <w:uiPriority w:val="99"/>
    <w:rPr>
      <w:sz w:val="18"/>
      <w:szCs w:val="18"/>
    </w:rPr>
  </w:style>
  <w:style w:type="character" w:customStyle="1" w:styleId="114">
    <w:name w:val="页眉 字符"/>
    <w:basedOn w:val="38"/>
    <w:link w:val="28"/>
    <w:qFormat/>
    <w:uiPriority w:val="99"/>
    <w:rPr>
      <w:sz w:val="18"/>
      <w:szCs w:val="18"/>
    </w:rPr>
  </w:style>
  <w:style w:type="character" w:customStyle="1" w:styleId="115">
    <w:name w:val="批注主题 字符"/>
    <w:basedOn w:val="109"/>
    <w:link w:val="12"/>
    <w:semiHidden/>
    <w:qFormat/>
    <w:uiPriority w:val="99"/>
    <w:rPr>
      <w:rFonts w:ascii="Times New Roman" w:hAnsi="Times New Roman" w:eastAsia="黑体" w:cs="Times New Roman"/>
      <w:bCs/>
      <w:kern w:val="0"/>
      <w:sz w:val="22"/>
      <w:szCs w:val="21"/>
    </w:rPr>
  </w:style>
  <w:style w:type="character" w:customStyle="1" w:styleId="116">
    <w:name w:val="表头 Char"/>
    <w:basedOn w:val="38"/>
    <w:link w:val="50"/>
    <w:qFormat/>
    <w:uiPriority w:val="0"/>
    <w:rPr>
      <w:b/>
      <w:snapToGrid w:val="0"/>
      <w:kern w:val="0"/>
      <w:szCs w:val="21"/>
    </w:rPr>
  </w:style>
  <w:style w:type="character" w:customStyle="1" w:styleId="117">
    <w:name w:val="页码1"/>
    <w:basedOn w:val="38"/>
    <w:qFormat/>
    <w:uiPriority w:val="0"/>
    <w:rPr/>
  </w:style>
  <w:style w:type="character" w:customStyle="1" w:styleId="118">
    <w:name w:val="font41"/>
    <w:basedOn w:val="38"/>
    <w:qFormat/>
    <w:uiPriority w:val="99"/>
    <w:rPr>
      <w:rFonts w:ascii="Times New Roman" w:hAnsi="Times New Roman" w:cs="Times New Roman"/>
      <w:color w:val="000000"/>
      <w:sz w:val="20"/>
      <w:szCs w:val="20"/>
      <w:u w:val="none"/>
    </w:rPr>
  </w:style>
  <w:style w:type="character" w:customStyle="1" w:styleId="119">
    <w:name w:val="纯文本 字符1"/>
    <w:locked/>
    <w:uiPriority w:val="0"/>
    <w:rPr>
      <w:rFonts w:ascii="宋体" w:hAnsi="Courier New" w:cs="宋体"/>
      <w:sz w:val="21"/>
      <w:szCs w:val="21"/>
    </w:rPr>
  </w:style>
  <w:style w:type="character" w:customStyle="1" w:styleId="120">
    <w:name w:val="1.1标题 Char"/>
    <w:link w:val="62"/>
    <w:uiPriority w:val="0"/>
    <w:rPr>
      <w:rFonts w:eastAsia="黑体"/>
      <w:bCs/>
      <w:kern w:val="2"/>
      <w:sz w:val="30"/>
      <w:szCs w:val="30"/>
    </w:rPr>
  </w:style>
  <w:style w:type="character" w:customStyle="1" w:styleId="121">
    <w:name w:val="2 Char"/>
    <w:link w:val="63"/>
    <w:uiPriority w:val="0"/>
    <w:rPr>
      <w:rFonts w:ascii="宋体" w:hAnsi="Courier New"/>
      <w:kern w:val="2"/>
      <w:sz w:val="21"/>
    </w:rPr>
  </w:style>
  <w:style w:type="character" w:customStyle="1" w:styleId="122">
    <w:name w:val="表格文字 Char"/>
    <w:link w:val="64"/>
    <w:uiPriority w:val="0"/>
    <w:rPr>
      <w:kern w:val="2"/>
      <w:sz w:val="21"/>
      <w:szCs w:val="21"/>
    </w:rPr>
  </w:style>
  <w:style w:type="character" w:customStyle="1" w:styleId="123">
    <w:name w:val="正文部分 Char"/>
    <w:link w:val="65"/>
    <w:uiPriority w:val="0"/>
    <w:rPr>
      <w:rFonts w:ascii="楷体_GB2312" w:hAnsi="宋体" w:eastAsia="仿宋_GB2312"/>
      <w:b/>
      <w:kern w:val="2"/>
      <w:sz w:val="28"/>
      <w:szCs w:val="28"/>
    </w:rPr>
  </w:style>
  <w:style w:type="character" w:customStyle="1" w:styleId="124">
    <w:name w:val="表格内容 Char"/>
    <w:link w:val="66"/>
    <w:uiPriority w:val="0"/>
    <w:rPr>
      <w:sz w:val="24"/>
    </w:rPr>
  </w:style>
  <w:style w:type="character" w:customStyle="1" w:styleId="125">
    <w:name w:val="rckf1"/>
    <w:uiPriority w:val="0"/>
    <w:rPr>
      <w:color w:val="000000"/>
      <w:sz w:val="20"/>
      <w:szCs w:val="20"/>
    </w:rPr>
  </w:style>
  <w:style w:type="character" w:customStyle="1" w:styleId="126">
    <w:name w:val="_Style 4 Char"/>
    <w:link w:val="67"/>
    <w:uiPriority w:val="0"/>
    <w:rPr>
      <w:kern w:val="2"/>
      <w:sz w:val="21"/>
    </w:rPr>
  </w:style>
  <w:style w:type="character" w:customStyle="1" w:styleId="127">
    <w:name w:val="style51"/>
    <w:uiPriority w:val="0"/>
    <w:rPr>
      <w:b/>
      <w:bCs/>
      <w:color w:val="228CD5"/>
      <w:sz w:val="33"/>
      <w:szCs w:val="33"/>
    </w:rPr>
  </w:style>
  <w:style w:type="character" w:customStyle="1" w:styleId="128">
    <w:name w:val="style41"/>
    <w:uiPriority w:val="0"/>
    <w:rPr>
      <w:color w:val="FF0000"/>
    </w:rPr>
  </w:style>
  <w:style w:type="character" w:customStyle="1" w:styleId="129">
    <w:name w:val="表头 Char2"/>
    <w:uiPriority w:val="0"/>
    <w:rPr>
      <w:rFonts w:eastAsia="仿宋_GB2312"/>
      <w:b/>
      <w:snapToGrid w:val="0"/>
      <w:sz w:val="30"/>
      <w:szCs w:val="22"/>
      <w:lang w:val="en-US" w:eastAsia="zh-CN" w:bidi="ar-SA"/>
    </w:rPr>
  </w:style>
  <w:style w:type="character" w:customStyle="1" w:styleId="130">
    <w:name w:val="文档结构图 字符"/>
    <w:link w:val="17"/>
    <w:uiPriority w:val="99"/>
    <w:rPr>
      <w:rFonts w:ascii="宋体"/>
      <w:kern w:val="2"/>
      <w:sz w:val="18"/>
      <w:szCs w:val="18"/>
    </w:rPr>
  </w:style>
  <w:style w:type="character" w:customStyle="1" w:styleId="131">
    <w:name w:val="HTML 预设格式 字符"/>
    <w:link w:val="36"/>
    <w:uiPriority w:val="0"/>
    <w:rPr>
      <w:rFonts w:ascii="Arial Unicode MS" w:hAnsi="Arial Unicode MS" w:eastAsia="Courier New"/>
    </w:rPr>
  </w:style>
  <w:style w:type="character" w:customStyle="1" w:styleId="132">
    <w:name w:val="表格1 Char"/>
    <w:link w:val="68"/>
    <w:uiPriority w:val="0"/>
    <w:rPr>
      <w:kern w:val="2"/>
      <w:sz w:val="24"/>
    </w:rPr>
  </w:style>
  <w:style w:type="character" w:customStyle="1" w:styleId="133">
    <w:name w:val="正文文本 + 10 pt"/>
    <w:uiPriority w:val="0"/>
    <w:rPr>
      <w:rFonts w:ascii="Batang" w:hAnsi="Batang" w:eastAsia="Batang" w:cs="Batang"/>
      <w:color w:val="000000"/>
      <w:spacing w:val="0"/>
      <w:w w:val="100"/>
      <w:position w:val="0"/>
      <w:sz w:val="20"/>
      <w:szCs w:val="20"/>
      <w:u w:val="none"/>
      <w:shd w:val="clear" w:color="auto" w:fill="FFFFFF"/>
    </w:rPr>
  </w:style>
  <w:style w:type="character" w:customStyle="1" w:styleId="134">
    <w:name w:val="正文03 Char"/>
    <w:link w:val="69"/>
    <w:uiPriority w:val="0"/>
    <w:rPr>
      <w:b/>
      <w:sz w:val="24"/>
      <w:szCs w:val="28"/>
    </w:rPr>
  </w:style>
  <w:style w:type="character" w:customStyle="1" w:styleId="135">
    <w:name w:val="1.1.1标题 Char"/>
    <w:link w:val="70"/>
    <w:locked/>
    <w:uiPriority w:val="0"/>
    <w:rPr>
      <w:rFonts w:eastAsia="黑体"/>
      <w:bCs/>
      <w:sz w:val="28"/>
      <w:szCs w:val="28"/>
    </w:rPr>
  </w:style>
  <w:style w:type="character" w:customStyle="1" w:styleId="136">
    <w:name w:val="正文内容 Char"/>
    <w:link w:val="71"/>
    <w:locked/>
    <w:uiPriority w:val="0"/>
    <w:rPr>
      <w:rFonts w:hAnsi="宋体"/>
      <w:color w:val="000000"/>
      <w:kern w:val="2"/>
      <w:sz w:val="24"/>
      <w:szCs w:val="24"/>
    </w:rPr>
  </w:style>
  <w:style w:type="character" w:customStyle="1" w:styleId="137">
    <w:name w:val="正文文本_"/>
    <w:link w:val="72"/>
    <w:locked/>
    <w:uiPriority w:val="0"/>
    <w:rPr>
      <w:rFonts w:ascii="Arial Unicode MS" w:hAnsi="Arial Unicode MS" w:eastAsia="Times New Roman" w:cs="Arial Unicode MS"/>
      <w:sz w:val="27"/>
      <w:szCs w:val="27"/>
      <w:shd w:val="clear" w:color="auto" w:fill="FFFFFF"/>
    </w:rPr>
  </w:style>
  <w:style w:type="character" w:customStyle="1" w:styleId="138">
    <w:name w:val="正文文本 + MS Mincho"/>
    <w:uiPriority w:val="99"/>
    <w:rPr>
      <w:rFonts w:ascii="MS Mincho" w:hAnsi="MS Mincho" w:eastAsia="MS Mincho" w:cs="MS Mincho"/>
      <w:color w:val="000000"/>
      <w:spacing w:val="0"/>
      <w:w w:val="100"/>
      <w:position w:val="0"/>
      <w:sz w:val="27"/>
      <w:szCs w:val="27"/>
      <w:shd w:val="clear" w:color="auto" w:fill="FFFFFF"/>
      <w:lang w:val="en-US"/>
    </w:rPr>
  </w:style>
  <w:style w:type="character" w:customStyle="1" w:styleId="139">
    <w:name w:val="正文文本 + 间距 -2 pt"/>
    <w:uiPriority w:val="99"/>
    <w:rPr>
      <w:rFonts w:ascii="Arial Unicode MS" w:hAnsi="Arial Unicode MS" w:eastAsia="Times New Roman" w:cs="Arial Unicode MS"/>
      <w:color w:val="000000"/>
      <w:spacing w:val="-40"/>
      <w:w w:val="100"/>
      <w:position w:val="0"/>
      <w:sz w:val="27"/>
      <w:szCs w:val="27"/>
      <w:u w:val="none"/>
      <w:shd w:val="clear" w:color="auto" w:fill="FFFFFF"/>
      <w:lang w:val="zh-TW"/>
    </w:rPr>
  </w:style>
  <w:style w:type="character" w:customStyle="1" w:styleId="140">
    <w:name w:val="表格标题 Char"/>
    <w:link w:val="73"/>
    <w:locked/>
    <w:uiPriority w:val="0"/>
    <w:rPr>
      <w:rFonts w:eastAsia="黑体"/>
      <w:kern w:val="2"/>
      <w:sz w:val="24"/>
      <w:szCs w:val="24"/>
    </w:rPr>
  </w:style>
  <w:style w:type="character" w:customStyle="1" w:styleId="141">
    <w:name w:val="页眉内容 Char"/>
    <w:link w:val="74"/>
    <w:uiPriority w:val="0"/>
    <w:rPr>
      <w:rFonts w:ascii="宋体" w:hAnsi="宋体"/>
      <w:sz w:val="18"/>
      <w:szCs w:val="18"/>
    </w:rPr>
  </w:style>
  <w:style w:type="character" w:customStyle="1" w:styleId="142">
    <w:name w:val="页脚内容 Char"/>
    <w:link w:val="75"/>
    <w:uiPriority w:val="0"/>
    <w:rPr>
      <w:rFonts w:ascii="宋体" w:hAnsi="宋体"/>
      <w:kern w:val="2"/>
      <w:sz w:val="18"/>
      <w:szCs w:val="18"/>
    </w:rPr>
  </w:style>
  <w:style w:type="character" w:customStyle="1" w:styleId="143">
    <w:name w:val="正文文本 + MingLiU"/>
    <w:uiPriority w:val="0"/>
    <w:rPr>
      <w:rFonts w:ascii="MingLiU" w:hAnsi="MingLiU" w:eastAsia="MingLiU" w:cs="MingLiU"/>
      <w:color w:val="000000"/>
      <w:spacing w:val="0"/>
      <w:w w:val="100"/>
      <w:position w:val="0"/>
      <w:sz w:val="26"/>
      <w:szCs w:val="26"/>
      <w:u w:val="none"/>
      <w:shd w:val="clear" w:color="auto" w:fill="FFFFFF"/>
      <w:lang w:val="zh-TW"/>
    </w:rPr>
  </w:style>
  <w:style w:type="character" w:customStyle="1" w:styleId="144">
    <w:name w:val="正文文本 + Dotum"/>
    <w:uiPriority w:val="0"/>
    <w:rPr>
      <w:rFonts w:ascii="Dotum" w:hAnsi="Dotum" w:eastAsia="Dotum" w:cs="Dotum"/>
      <w:color w:val="000000"/>
      <w:spacing w:val="-30"/>
      <w:w w:val="100"/>
      <w:position w:val="0"/>
      <w:sz w:val="30"/>
      <w:szCs w:val="30"/>
      <w:u w:val="none"/>
      <w:shd w:val="clear" w:color="auto" w:fill="FFFFFF"/>
      <w:lang w:val="en-US"/>
    </w:rPr>
  </w:style>
  <w:style w:type="character" w:customStyle="1" w:styleId="145">
    <w:name w:val="正文文本 + 97.5 pt"/>
    <w:uiPriority w:val="0"/>
    <w:rPr>
      <w:rFonts w:ascii="Batang" w:hAnsi="Batang" w:eastAsia="Batang" w:cs="Batang"/>
      <w:color w:val="000000"/>
      <w:spacing w:val="0"/>
      <w:w w:val="100"/>
      <w:position w:val="0"/>
      <w:sz w:val="195"/>
      <w:szCs w:val="195"/>
      <w:u w:val="none"/>
      <w:shd w:val="clear" w:color="auto" w:fill="FFFFFF"/>
    </w:rPr>
  </w:style>
  <w:style w:type="character" w:customStyle="1" w:styleId="146">
    <w:name w:val="正文文本 + 小型大写"/>
    <w:uiPriority w:val="0"/>
    <w:rPr>
      <w:rFonts w:ascii="Batang" w:hAnsi="Batang" w:eastAsia="Batang" w:cs="Batang"/>
      <w:smallCaps/>
      <w:color w:val="000000"/>
      <w:spacing w:val="0"/>
      <w:w w:val="100"/>
      <w:position w:val="0"/>
      <w:sz w:val="25"/>
      <w:szCs w:val="25"/>
      <w:u w:val="none"/>
      <w:shd w:val="clear" w:color="auto" w:fill="FFFFFF"/>
      <w:lang w:val="en-US"/>
    </w:rPr>
  </w:style>
  <w:style w:type="character" w:customStyle="1" w:styleId="147">
    <w:name w:val="apple-style-span"/>
    <w:uiPriority w:val="0"/>
  </w:style>
  <w:style w:type="character" w:customStyle="1" w:styleId="148">
    <w:name w:val="日期 字符"/>
    <w:link w:val="24"/>
    <w:uiPriority w:val="99"/>
    <w:rPr>
      <w:rFonts w:ascii="楷体_GB2312" w:eastAsia="楷体_GB2312"/>
      <w:kern w:val="2"/>
      <w:sz w:val="28"/>
    </w:rPr>
  </w:style>
  <w:style w:type="character" w:customStyle="1" w:styleId="149">
    <w:name w:val="脚注文本 字符"/>
    <w:basedOn w:val="38"/>
    <w:link w:val="31"/>
    <w:semiHidden/>
    <w:uiPriority w:val="0"/>
    <w:rPr>
      <w:kern w:val="2"/>
      <w:sz w:val="18"/>
      <w:szCs w:val="18"/>
    </w:rPr>
  </w:style>
  <w:style w:type="character" w:customStyle="1" w:styleId="150">
    <w:name w:val="正文文本 3 字符"/>
    <w:basedOn w:val="38"/>
    <w:link w:val="18"/>
    <w:uiPriority w:val="0"/>
    <w:rPr>
      <w:kern w:val="2"/>
      <w:sz w:val="16"/>
      <w:szCs w:val="16"/>
    </w:rPr>
  </w:style>
  <w:style w:type="character" w:customStyle="1" w:styleId="151">
    <w:name w:val="正文文本缩进 2 字符"/>
    <w:basedOn w:val="38"/>
    <w:link w:val="25"/>
    <w:uiPriority w:val="0"/>
    <w:rPr>
      <w:rFonts w:eastAsia="楷体_GB2312"/>
      <w:b/>
      <w:bCs/>
      <w:kern w:val="2"/>
      <w:sz w:val="28"/>
      <w:szCs w:val="24"/>
    </w:rPr>
  </w:style>
  <w:style w:type="character" w:customStyle="1" w:styleId="152">
    <w:name w:val="HTML 预设格式 字符1"/>
    <w:basedOn w:val="38"/>
    <w:semiHidden/>
    <w:uiPriority w:val="99"/>
    <w:rPr>
      <w:rFonts w:ascii="Courier New" w:hAnsi="Courier New" w:eastAsia="微软雅黑" w:cs="Courier New"/>
    </w:rPr>
  </w:style>
  <w:style w:type="character" w:customStyle="1" w:styleId="153">
    <w:name w:val="文档结构图 字符1"/>
    <w:basedOn w:val="38"/>
    <w:semiHidden/>
    <w:uiPriority w:val="99"/>
    <w:rPr>
      <w:rFonts w:ascii="Microsoft YaHei UI" w:hAnsi="Tahoma" w:eastAsia="Microsoft YaHei UI"/>
      <w:sz w:val="18"/>
      <w:szCs w:val="18"/>
    </w:rPr>
  </w:style>
  <w:style w:type="character" w:customStyle="1" w:styleId="154">
    <w:name w:val="日期 字符1"/>
    <w:basedOn w:val="38"/>
    <w:semiHidden/>
    <w:uiPriority w:val="99"/>
    <w:rPr>
      <w:rFonts w:ascii="Tahoma" w:hAnsi="Tahoma" w:eastAsia="微软雅黑"/>
      <w:sz w:val="22"/>
      <w:szCs w:val="22"/>
    </w:rPr>
  </w:style>
  <w:style w:type="character" w:customStyle="1" w:styleId="155">
    <w:name w:val="正文文本 2 字符"/>
    <w:basedOn w:val="38"/>
    <w:link w:val="35"/>
    <w:uiPriority w:val="0"/>
    <w:rPr>
      <w:rFonts w:eastAsia="楷体_GB2312"/>
      <w:b/>
      <w:bCs/>
      <w:kern w:val="2"/>
      <w:sz w:val="28"/>
      <w:szCs w:val="24"/>
    </w:rPr>
  </w:style>
  <w:style w:type="character" w:customStyle="1" w:styleId="156">
    <w:name w:val="纯文本 Char"/>
    <w:uiPriority w:val="99"/>
    <w:rPr>
      <w:rFonts w:ascii="宋体" w:hAnsi="Courier New" w:eastAsia="宋体" w:cs="Courier New"/>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1.xml"/><Relationship Id="rId5" Type="http://schemas.openxmlformats.org/officeDocument/2006/relationships/footer" Target="footer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footer" Target="footer1.xml"/><Relationship Id="rId39" Type="http://schemas.openxmlformats.org/officeDocument/2006/relationships/image" Target="media/image22.jpeg"/><Relationship Id="rId38" Type="http://schemas.openxmlformats.org/officeDocument/2006/relationships/image" Target="media/image21.jpeg"/><Relationship Id="rId37" Type="http://schemas.openxmlformats.org/officeDocument/2006/relationships/image" Target="media/image20.jpeg"/><Relationship Id="rId36" Type="http://schemas.openxmlformats.org/officeDocument/2006/relationships/image" Target="media/image19.jpeg"/><Relationship Id="rId35" Type="http://schemas.openxmlformats.org/officeDocument/2006/relationships/image" Target="media/image18.jpeg"/><Relationship Id="rId34" Type="http://schemas.openxmlformats.org/officeDocument/2006/relationships/image" Target="media/image17.jpeg"/><Relationship Id="rId33" Type="http://schemas.openxmlformats.org/officeDocument/2006/relationships/image" Target="media/image16.jpeg"/><Relationship Id="rId32" Type="http://schemas.openxmlformats.org/officeDocument/2006/relationships/image" Target="media/image15.jpe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settings" Target="settings.xml"/><Relationship Id="rId29" Type="http://schemas.openxmlformats.org/officeDocument/2006/relationships/image" Target="media/image12.emf"/><Relationship Id="rId28" Type="http://schemas.openxmlformats.org/officeDocument/2006/relationships/oleObject" Target="embeddings/oleObject2.bin"/><Relationship Id="rId27" Type="http://schemas.openxmlformats.org/officeDocument/2006/relationships/image" Target="media/image11.emf"/><Relationship Id="rId26" Type="http://schemas.openxmlformats.org/officeDocument/2006/relationships/oleObject" Target="embeddings/oleObject1.bin"/><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tyles" Target="styles.xml"/><Relationship Id="rId19" Type="http://schemas.openxmlformats.org/officeDocument/2006/relationships/image" Target="media/image4.jpeg"/><Relationship Id="rId18" Type="http://schemas.openxmlformats.org/officeDocument/2006/relationships/image" Target="media/image3.jpe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3.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43" textRotate="1"/>
    <customShpInfo spid="_x0000_s104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51</Pages>
  <Words>3973</Words>
  <Characters>22652</Characters>
  <Lines>188</Lines>
  <Paragraphs>53</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2021-04-19T02:34:00Z</dcterms:created>
  <dc:creator>User</dc:creator>
  <cp:lastModifiedBy>TG</cp:lastModifiedBy>
  <cp:lastPrinted>2021-10-27T04:49:00Z</cp:lastPrinted>
  <dcterms:modified xsi:type="dcterms:W3CDTF">2021-10-29T09:27:26Z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