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header+xml" PartName="/word/header1.xml"/>
  <Override ContentType="application/vnd.openxmlformats-officedocument.wordprocessingml.header+xml" PartName="/word/head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山西太钢不锈钢股份有限公司</w:t>
      </w:r>
    </w:p>
    <w:p>
      <w:pPr>
        <w:ind w:left="-6" w:leftChars="-3" w:right="84" w:rightChars="40" w:firstLine="4"/>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低参数余热利用项目及烟气余热回收改造工程</w:t>
      </w:r>
    </w:p>
    <w:p>
      <w:pPr>
        <w:ind w:left="-50" w:leftChars="-135" w:right="-197" w:rightChars="-94" w:hanging="233" w:hangingChars="58"/>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（低参数余热利用项目）</w:t>
      </w:r>
    </w:p>
    <w:p>
      <w:pPr>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竣工环境保护验收监测报告表</w:t>
      </w: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color w:val="000000"/>
          <w:sz w:val="28"/>
          <w:szCs w:val="28"/>
        </w:rPr>
      </w:pPr>
    </w:p>
    <w:p>
      <w:pPr>
        <w:ind w:firstLine="848" w:firstLineChars="265"/>
        <w:rPr>
          <w:rFonts w:ascii="Times New Roman" w:hAnsi="Times New Roman" w:cs="Times New Roman"/>
          <w:color w:val="000000"/>
          <w:sz w:val="32"/>
          <w:szCs w:val="32"/>
        </w:rPr>
      </w:pPr>
      <w:r>
        <w:rPr>
          <w:rFonts w:ascii="Times New Roman" w:hAnsi="Times New Roman" w:cs="Times New Roman"/>
          <w:color w:val="000000"/>
          <w:sz w:val="32"/>
          <w:szCs w:val="32"/>
        </w:rPr>
        <w:t>建设单位:山西太钢不锈钢股份有限公司能源动力总厂</w:t>
      </w:r>
    </w:p>
    <w:p>
      <w:pPr>
        <w:ind w:firstLine="848" w:firstLineChars="265"/>
        <w:rPr>
          <w:rFonts w:ascii="Times New Roman" w:hAnsi="Times New Roman" w:cs="Times New Roman"/>
          <w:color w:val="000000"/>
          <w:sz w:val="32"/>
          <w:szCs w:val="32"/>
        </w:rPr>
      </w:pPr>
      <w:r>
        <w:rPr>
          <w:rFonts w:ascii="Times New Roman" w:hAnsi="Times New Roman" w:cs="Times New Roman"/>
          <w:color w:val="000000"/>
          <w:sz w:val="32"/>
          <w:szCs w:val="32"/>
        </w:rPr>
        <w:t>编制单位:山西太钢工程技术有限公司</w:t>
      </w:r>
    </w:p>
    <w:p>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二〇二一年</w:t>
      </w:r>
      <w:r>
        <w:rPr>
          <w:rFonts w:hint="eastAsia" w:ascii="Times New Roman" w:hAnsi="Times New Roman" w:cs="Times New Roman"/>
          <w:color w:val="000000"/>
          <w:sz w:val="32"/>
          <w:szCs w:val="32"/>
        </w:rPr>
        <w:t>十</w:t>
      </w:r>
      <w:r>
        <w:rPr>
          <w:rFonts w:ascii="Times New Roman" w:hAnsi="Times New Roman" w:cs="Times New Roman"/>
          <w:color w:val="000000"/>
          <w:sz w:val="32"/>
          <w:szCs w:val="32"/>
        </w:rPr>
        <w:t>月</w:t>
      </w:r>
    </w:p>
    <w:p>
      <w:pPr>
        <w:spacing w:before="240" w:after="240"/>
        <w:rPr>
          <w:rFonts w:ascii="Times New Roman" w:hAnsi="Times New Roman" w:cs="Times New Roman"/>
          <w:b/>
          <w:bCs/>
          <w:color w:val="000000"/>
          <w:sz w:val="28"/>
          <w:szCs w:val="28"/>
        </w:rPr>
      </w:pPr>
      <w:r>
        <w:rPr>
          <w:rFonts w:ascii="Times New Roman" w:hAnsi="Times New Roman" w:cs="Times New Roman"/>
          <w:color w:val="000000"/>
          <w:sz w:val="32"/>
          <w:szCs w:val="32"/>
        </w:rPr>
        <w:br w:type="page"/>
      </w:r>
      <w:r>
        <w:rPr>
          <w:rFonts w:ascii="Times New Roman" w:hAnsi="Times New Roman" w:cs="Times New Roman"/>
          <w:b/>
          <w:bCs/>
          <w:color w:val="000000"/>
          <w:sz w:val="28"/>
          <w:szCs w:val="28"/>
        </w:rPr>
        <w:t>建设单位法人代表:  魏成文</w:t>
      </w:r>
    </w:p>
    <w:p>
      <w:pPr>
        <w:spacing w:before="240" w:after="240"/>
        <w:rPr>
          <w:rFonts w:ascii="Times New Roman" w:hAnsi="Times New Roman" w:cs="Times New Roman"/>
          <w:b/>
          <w:bCs/>
          <w:color w:val="000000"/>
          <w:sz w:val="28"/>
          <w:szCs w:val="28"/>
        </w:rPr>
      </w:pPr>
      <w:r>
        <w:rPr>
          <w:rFonts w:ascii="Times New Roman" w:hAnsi="Times New Roman" w:cs="Times New Roman"/>
          <w:b/>
          <w:bCs/>
          <w:color w:val="000000"/>
          <w:sz w:val="28"/>
          <w:szCs w:val="28"/>
        </w:rPr>
        <w:t>编制单位法人代表:  柴志勇</w:t>
      </w:r>
    </w:p>
    <w:p>
      <w:pPr>
        <w:spacing w:before="240" w:after="240"/>
        <w:ind w:right="84" w:rightChars="40"/>
        <w:jc w:val="both"/>
        <w:rPr>
          <w:rFonts w:ascii="Times New Roman" w:hAnsi="Times New Roman" w:cs="Times New Roman"/>
          <w:b/>
          <w:bCs/>
          <w:color w:val="000000"/>
          <w:sz w:val="28"/>
          <w:szCs w:val="28"/>
        </w:rPr>
      </w:pPr>
      <w:r>
        <w:rPr>
          <w:rFonts w:ascii="Times New Roman" w:hAnsi="Times New Roman" w:cs="Times New Roman"/>
          <w:b/>
          <w:bCs/>
          <w:color w:val="000000"/>
          <w:sz w:val="28"/>
          <w:szCs w:val="28"/>
        </w:rPr>
        <w:t>项  目  负 责 人:  胡  鑫</w:t>
      </w:r>
    </w:p>
    <w:p>
      <w:pPr>
        <w:spacing w:before="240" w:after="240"/>
        <w:rPr>
          <w:rFonts w:ascii="Times New Roman" w:hAnsi="Times New Roman" w:cs="Times New Roman"/>
          <w:b/>
          <w:bCs/>
          <w:color w:val="000000"/>
          <w:sz w:val="28"/>
          <w:szCs w:val="28"/>
        </w:rPr>
      </w:pPr>
      <w:r>
        <w:rPr>
          <w:rFonts w:ascii="Times New Roman" w:hAnsi="Times New Roman" w:cs="Times New Roman"/>
          <w:b/>
          <w:bCs/>
          <w:color w:val="000000"/>
          <w:sz w:val="28"/>
          <w:szCs w:val="28"/>
        </w:rPr>
        <w:t>填     表     人:  申  敏</w:t>
      </w: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rPr>
          <w:rFonts w:ascii="Times New Roman" w:hAnsi="Times New Roman" w:cs="Times New Roman"/>
          <w:color w:val="000000"/>
          <w:sz w:val="28"/>
          <w:szCs w:val="28"/>
        </w:rPr>
      </w:pPr>
    </w:p>
    <w:p>
      <w:pPr>
        <w:ind w:left="1400" w:hanging="1400" w:hangingChars="500"/>
        <w:rPr>
          <w:rFonts w:ascii="Times New Roman" w:hAnsi="Times New Roman" w:cs="Times New Roman"/>
          <w:color w:val="000000"/>
          <w:sz w:val="28"/>
          <w:szCs w:val="28"/>
        </w:rPr>
        <w:sectPr>
          <w:headerReference r:id="rId4" w:type="default"/>
          <w:footerReference r:id="rId5" w:type="default"/>
          <w:pgSz w:w="11906" w:h="16838"/>
          <w:pgMar w:top="1440" w:right="1800" w:bottom="1440" w:left="1800" w:header="708" w:footer="708" w:gutter="0"/>
          <w:pgNumType w:start="1"/>
          <w:cols w:space="720" w:num="1"/>
          <w:titlePg/>
          <w:docGrid w:linePitch="360" w:charSpace="0"/>
        </w:sectPr>
      </w:pPr>
    </w:p>
    <w:p>
      <w:pPr>
        <w:ind w:left="1200" w:hanging="1200" w:hangingChars="500"/>
        <w:jc w:val="both"/>
        <w:rPr>
          <w:rFonts w:ascii="Times New Roman" w:hAnsi="Times New Roman" w:cs="Times New Roman"/>
          <w:color w:val="000000"/>
          <w:sz w:val="24"/>
          <w:szCs w:val="24"/>
        </w:rPr>
      </w:pPr>
      <w:r>
        <w:rPr>
          <w:rFonts w:ascii="Times New Roman" w:hAnsi="Times New Roman" w:cs="Times New Roman"/>
          <w:color w:val="000000"/>
          <w:sz w:val="24"/>
          <w:szCs w:val="24"/>
        </w:rPr>
        <w:t>建设单位：山西太钢不锈钢股份</w:t>
      </w:r>
    </w:p>
    <w:p>
      <w:pPr>
        <w:ind w:left="1197" w:leftChars="570"/>
        <w:jc w:val="both"/>
        <w:rPr>
          <w:rFonts w:ascii="Times New Roman" w:hAnsi="Times New Roman" w:cs="Times New Roman"/>
          <w:color w:val="000000"/>
          <w:sz w:val="24"/>
          <w:szCs w:val="24"/>
        </w:rPr>
      </w:pPr>
      <w:r>
        <w:rPr>
          <w:rFonts w:ascii="Times New Roman" w:hAnsi="Times New Roman" w:cs="Times New Roman"/>
          <w:color w:val="000000"/>
          <w:sz w:val="24"/>
          <w:szCs w:val="24"/>
        </w:rPr>
        <w:t>有限公司能源动力总厂（盖章）</w:t>
      </w:r>
    </w:p>
    <w:p>
      <w:pPr>
        <w:ind w:right="-456" w:rightChars="-217"/>
        <w:rPr>
          <w:rFonts w:ascii="Times New Roman" w:hAnsi="Times New Roman" w:cs="Times New Roman"/>
          <w:color w:val="000000"/>
          <w:sz w:val="24"/>
          <w:szCs w:val="24"/>
        </w:rPr>
      </w:pPr>
      <w:r>
        <w:rPr>
          <w:rFonts w:ascii="Times New Roman" w:hAnsi="Times New Roman" w:cs="Times New Roman"/>
          <w:color w:val="000000"/>
          <w:sz w:val="24"/>
          <w:szCs w:val="24"/>
        </w:rPr>
        <w:t>电    话：0351-2133963</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真：0351-2132226</w:t>
      </w:r>
    </w:p>
    <w:p>
      <w:pPr>
        <w:ind w:left="1200" w:hanging="1200" w:hangingChars="500"/>
        <w:jc w:val="both"/>
        <w:rPr>
          <w:rFonts w:ascii="Times New Roman" w:hAnsi="Times New Roman" w:cs="Times New Roman"/>
          <w:color w:val="000000"/>
          <w:sz w:val="24"/>
          <w:szCs w:val="24"/>
        </w:rPr>
      </w:pPr>
      <w:r>
        <w:rPr>
          <w:rFonts w:ascii="Times New Roman" w:hAnsi="Times New Roman" w:cs="Times New Roman"/>
          <w:color w:val="000000"/>
          <w:sz w:val="24"/>
          <w:szCs w:val="24"/>
        </w:rPr>
        <w:t>邮    编：030002</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址：山西省太原市尖草坪2号</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编制单位：山西太钢工程技术</w:t>
      </w:r>
    </w:p>
    <w:p>
      <w:pPr>
        <w:ind w:left="1197" w:leftChars="570"/>
        <w:rPr>
          <w:rFonts w:ascii="Times New Roman" w:hAnsi="Times New Roman" w:cs="Times New Roman"/>
          <w:color w:val="000000"/>
          <w:sz w:val="24"/>
          <w:szCs w:val="24"/>
        </w:rPr>
      </w:pPr>
      <w:r>
        <w:rPr>
          <w:rFonts w:ascii="Times New Roman" w:hAnsi="Times New Roman" w:cs="Times New Roman"/>
          <w:color w:val="000000"/>
          <w:sz w:val="24"/>
          <w:szCs w:val="24"/>
        </w:rPr>
        <w:t>有限公司  （盖章）</w:t>
      </w:r>
    </w:p>
    <w:p>
      <w:pPr>
        <w:pStyle w:val="2"/>
        <w:spacing w:before="120"/>
        <w:rPr>
          <w:rFonts w:ascii="Times New Roman" w:hAnsi="Times New Roman" w:cs="Times New Roman"/>
        </w:rPr>
      </w:pPr>
    </w:p>
    <w:p>
      <w:pPr>
        <w:rPr>
          <w:rFonts w:ascii="Times New Roman" w:hAnsi="Times New Roman" w:cs="Times New Roman"/>
          <w:color w:val="000000"/>
          <w:sz w:val="24"/>
          <w:szCs w:val="24"/>
        </w:rPr>
      </w:pPr>
      <w:r>
        <w:rPr>
          <w:rFonts w:ascii="Times New Roman" w:hAnsi="Times New Roman" w:cs="Times New Roman"/>
          <w:color w:val="000000"/>
          <w:sz w:val="24"/>
          <w:szCs w:val="24"/>
        </w:rPr>
        <w:t>电    话：0351-2135566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传    真：0351-2135566</w:t>
      </w:r>
    </w:p>
    <w:p>
      <w:pPr>
        <w:rPr>
          <w:rFonts w:ascii="Times New Roman" w:hAnsi="Times New Roman" w:cs="Times New Roman"/>
          <w:color w:val="000000"/>
          <w:sz w:val="24"/>
          <w:szCs w:val="24"/>
        </w:rPr>
      </w:pPr>
      <w:r>
        <w:rPr>
          <w:rFonts w:ascii="Times New Roman" w:hAnsi="Times New Roman" w:cs="Times New Roman"/>
          <w:color w:val="000000"/>
          <w:sz w:val="24"/>
          <w:szCs w:val="24"/>
        </w:rPr>
        <w:t>邮    编：030009</w:t>
      </w:r>
    </w:p>
    <w:p>
      <w:pPr>
        <w:ind w:left="1200" w:hanging="1200" w:hangingChars="500"/>
        <w:rPr>
          <w:rFonts w:ascii="Times New Roman" w:hAnsi="Times New Roman" w:cs="Times New Roman"/>
          <w:color w:val="000000"/>
          <w:sz w:val="24"/>
          <w:szCs w:val="24"/>
        </w:rPr>
      </w:pPr>
      <w:r>
        <w:rPr>
          <w:rFonts w:ascii="Times New Roman" w:hAnsi="Times New Roman" w:cs="Times New Roman"/>
          <w:color w:val="000000"/>
          <w:sz w:val="24"/>
          <w:szCs w:val="24"/>
        </w:rPr>
        <w:t>地    址：太原市胜利街327号</w:t>
      </w:r>
    </w:p>
    <w:p>
      <w:pPr>
        <w:pStyle w:val="2"/>
        <w:spacing w:before="120"/>
        <w:rPr>
          <w:rFonts w:ascii="Times New Roman" w:hAnsi="Times New Roman" w:eastAsia="宋体" w:cs="Times New Roman"/>
        </w:rPr>
        <w:sectPr>
          <w:type w:val="continuous"/>
          <w:pgSz w:w="11906" w:h="16838"/>
          <w:pgMar w:top="1440" w:right="1800" w:bottom="1440" w:left="1800" w:header="708" w:footer="708" w:gutter="0"/>
          <w:cols w:space="427" w:num="2"/>
          <w:titlePg/>
          <w:docGrid w:linePitch="360" w:charSpace="0"/>
        </w:sectPr>
      </w:pPr>
    </w:p>
    <w:tbl>
      <w:tblPr>
        <w:tblStyle w:val="27"/>
        <w:tblW w:w="81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040"/>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685" w:hRule="atLeast"/>
          <w:jc w:val="center"/>
        </w:trPr>
        <w:tc>
          <w:tcPr>
            <w:tcW w:w="4040" w:type="dxa"/>
            <w:vAlign w:val="center"/>
          </w:tcPr>
          <w:p>
            <w:pPr>
              <w:rPr>
                <w:rFonts w:ascii="Times New Roman" w:hAnsi="Times New Roman" w:cs="Times New Roman"/>
                <w:color w:val="000000"/>
              </w:rPr>
            </w:pPr>
            <w:r>
              <w:rPr>
                <w:rFonts w:ascii="Times New Roman" w:hAnsi="Times New Roman" w:eastAsia="宋体" w:cs="Times New Roman"/>
                <w:sz w:val="21"/>
                <w:szCs w:val="21"/>
                <w:lang w:val="en-US" w:eastAsia="zh-CN" w:bidi="ar-SA"/>
              </w:rPr>
              <w:pict>
                <v:shape id="Picture 99" o:spid="_x0000_s1029" type="#_x0000_t75" style="position:absolute;left:0;margin-left:2.95pt;margin-top:21.8pt;height:141.75pt;width:189.05pt;rotation:0f;z-index:251663360;" o:ole="f" fillcolor="#FFFFFF" filled="f" o:preferrelative="t" stroked="f" coordorigin="0,0" coordsize="21600,21600" wrapcoords="-82 0 -82 21491 21600 21491 21600 0 -82 0">
                  <v:fill on="f" color2="#FFFFFF" focus="0%"/>
                  <v:imagedata gain="65536f" blacklevel="0f" gamma="0" o:title="da6f6e20efff83a0c7c30201a1a123e6" r:id="rId12"/>
                  <o:lock v:ext="edit" position="f" selection="f" grouping="f" rotation="f" cropping="f" text="f" aspectratio="t"/>
                </v:shape>
              </w:pict>
            </w:r>
          </w:p>
        </w:tc>
        <w:tc>
          <w:tcPr>
            <w:tcW w:w="4082" w:type="dxa"/>
            <w:vAlign w:val="center"/>
          </w:tcPr>
          <w:p>
            <w:pPr>
              <w:jc w:val="center"/>
              <w:rPr>
                <w:rFonts w:ascii="Times New Roman" w:hAnsi="Times New Roman" w:cs="Times New Roman"/>
                <w:color w:val="000000"/>
              </w:rPr>
            </w:pPr>
            <w:r>
              <w:rPr>
                <w:rFonts w:ascii="Times New Roman" w:hAnsi="Times New Roman" w:eastAsia="宋体" w:cs="Times New Roman"/>
                <w:sz w:val="21"/>
                <w:szCs w:val="21"/>
                <w:lang w:val="en-US" w:eastAsia="zh-CN" w:bidi="ar-SA"/>
              </w:rPr>
              <w:pict>
                <v:shape id="Picture 100" o:spid="_x0000_s1030" type="#_x0000_t75" style="position:absolute;left:0;margin-left:32.9pt;margin-top:6.7pt;height:170.5pt;width:127.7pt;rotation:0f;z-index:251664384;" o:ole="f" fillcolor="#FFFFFF" filled="f" o:preferrelative="t" stroked="f" coordorigin="0,0" coordsize="21600,21600">
                  <v:fill on="f" color2="#FFFFFF" focus="0%"/>
                  <v:imagedata gain="65536f" blacklevel="0f" gamma="0" o:title="a97b3bddb02732616d586df05b9e3707" r:id="rId13"/>
                  <o:lock v:ext="edit" position="f" selection="f" grouping="f" rotation="f" cropping="f" text="f" aspectratio="t"/>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4040"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汽轮机</w:t>
            </w:r>
          </w:p>
        </w:tc>
        <w:tc>
          <w:tcPr>
            <w:tcW w:w="4082"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空冷平台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2" w:hRule="atLeast"/>
          <w:jc w:val="center"/>
        </w:trPr>
        <w:tc>
          <w:tcPr>
            <w:tcW w:w="4040" w:type="dxa"/>
            <w:vAlign w:val="center"/>
          </w:tcPr>
          <w:p>
            <w:pPr>
              <w:jc w:val="center"/>
              <w:rPr>
                <w:rFonts w:ascii="Times New Roman" w:hAnsi="Times New Roman" w:cs="Times New Roman"/>
                <w:color w:val="000000"/>
              </w:rPr>
            </w:pP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"D:\\文件\\新建文件夹\\WXWork\\1688850954929718\\Cache\\Image\\2021-09\\1c9f66c92a71af678f36d6da04b3b5ba.jpg"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"D:\\文件\\新建文件夹\\WXWork\\1688850954929718\\Cache\\Image\\2021-09\\1c9f66c92a71af678f36d6da04b3b5ba.jpg"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"D:\\文件\\新建文件夹\\WXWork\\1688850954929718\\Cache\\Image\\2021-09\\1c9f66c92a71af678f36d6da04b3b5ba.jpg"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eastAsia="宋体" w:cs="Times New Roman"/>
                <w:sz w:val="21"/>
                <w:szCs w:val="21"/>
                <w:lang w:val="en-US" w:eastAsia="zh-CN" w:bidi="ar-SA"/>
              </w:rPr>
              <w:pict>
                <v:shape id="Picture 1" o:spid="_x0000_s1031" type="#_x0000_t75" style="height:127.5pt;width:170.25pt;rotation:0f;" o:ole="f" fillcolor="#FFFFFF" filled="f" o:preferrelative="t" stroked="f" coordorigin="0,0" coordsize="21600,21600">
                  <v:fill on="f" color2="#FFFFFF" focus="0%"/>
                  <v:imagedata gain="65536f" blacklevel="0f" gamma="0" o:title="file:///D:\文件\新建文件夹\WXWork\1688850954929718\Cache\Image\2021-09\1c9f66c92a71af678f36d6da04b3b5ba.jpg" r:id="rId14" r:href="rId15"/>
                  <o:lock v:ext="edit" position="f" selection="f" grouping="f" rotation="f" cropping="f" text="f" aspectratio="t"/>
                  <w10:wrap type="none"/>
                  <w10:anchorlock/>
                </v:shape>
              </w:pict>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p>
        </w:tc>
        <w:tc>
          <w:tcPr>
            <w:tcW w:w="4082" w:type="dxa"/>
            <w:vAlign w:val="center"/>
          </w:tcPr>
          <w:p>
            <w:pPr>
              <w:jc w:val="center"/>
              <w:rPr>
                <w:rFonts w:ascii="Times New Roman" w:hAnsi="Times New Roman" w:cs="Times New Roman"/>
                <w:color w:val="000000"/>
              </w:rPr>
            </w:pP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"D:\\文件\\新建文件夹\\WXWork\\1688850954929718\\Cache\\Image\\2021-09\\540fa1d591266bd66c585f978c1e566d.jpg"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"D:\\文件\\新建文件夹\\WXWork\\1688850954929718\\Cache\\Image\\2021-09\\540fa1d591266bd66c585f978c1e566d.jpg"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"D:\\文件\\新建文件夹\\WXWork\\1688850954929718\\Cache\\Image\\2021-09\\540fa1d591266bd66c585f978c1e566d.jpg"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eastAsia="宋体" w:cs="Times New Roman"/>
                <w:sz w:val="21"/>
                <w:szCs w:val="21"/>
                <w:lang w:val="en-US" w:eastAsia="zh-CN" w:bidi="ar-SA"/>
              </w:rPr>
              <w:pict>
                <v:shape id="Picture 2" o:spid="_x0000_s1032" type="#_x0000_t75" style="height:127.5pt;width:170.25pt;rotation:0f;" o:ole="f" fillcolor="#FFFFFF" filled="f" o:preferrelative="t" stroked="f" coordorigin="0,0" coordsize="21600,21600">
                  <v:fill on="f" color2="#FFFFFF" focus="0%"/>
                  <v:imagedata gain="65536f" blacklevel="0f" gamma="0" o:title="file:///D:\文件\新建文件夹\WXWork\1688850954929718\Cache\Image\2021-09\540fa1d591266bd66c585f978c1e566d.jpg" r:id="rId16" r:href="rId17"/>
                  <o:lock v:ext="edit" position="f" selection="f" grouping="f" rotation="f" cropping="f" text="f" aspectratio="t"/>
                  <w10:wrap type="none"/>
                  <w10:anchorlock/>
                </v:shape>
              </w:pict>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4040"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主变压器</w:t>
            </w:r>
          </w:p>
        </w:tc>
        <w:tc>
          <w:tcPr>
            <w:tcW w:w="4082"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蒸发冷却塔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2" w:hRule="atLeast"/>
          <w:jc w:val="center"/>
        </w:trPr>
        <w:tc>
          <w:tcPr>
            <w:tcW w:w="4040"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"D:\\文件\\新建文件夹\\WXWork\\1688850954929718\\Cache\\Image\\2021-09\\2ef4aca076f8c649b1a5afa88f8dc9aa.jpg"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"D:\\文件\\新建文件夹\\WXWork\\1688850954929718\\Cache\\Image\\2021-09\\2ef4aca076f8c649b1a5afa88f8dc9aa.jpg"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"D:\\文件\\新建文件夹\\WXWork\\1688850954929718\\Cache\\Image\\2021-09\\2ef4aca076f8c649b1a5afa88f8dc9aa.jpg"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eastAsia="宋体" w:cs="Times New Roman"/>
                <w:sz w:val="21"/>
                <w:szCs w:val="21"/>
                <w:lang w:val="en-US" w:eastAsia="zh-CN" w:bidi="ar-SA"/>
              </w:rPr>
              <w:pict>
                <v:shape id="Picture 3" o:spid="_x0000_s1033" type="#_x0000_t75" style="height:127.5pt;width:170.25pt;rotation:0f;" o:ole="f" fillcolor="#FFFFFF" filled="f" o:preferrelative="t" stroked="f" coordorigin="0,0" coordsize="21600,21600">
                  <v:fill on="f" color2="#FFFFFF" focus="0%"/>
                  <v:imagedata gain="65536f" blacklevel="0f" gamma="0" o:title="file:///D:\文件\新建文件夹\WXWork\1688850954929718\Cache\Image\2021-09\2ef4aca076f8c649b1a5afa88f8dc9aa.jpg" r:id="rId18" r:href="rId19"/>
                  <o:lock v:ext="edit" position="f" selection="f" grouping="f" rotation="f" cropping="f" text="f" aspectratio="t"/>
                  <w10:wrap type="none"/>
                  <w10:anchorlock/>
                </v:shape>
              </w:pict>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p>
        </w:tc>
        <w:tc>
          <w:tcPr>
            <w:tcW w:w="4082"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INCLUDEPICTURE  "D:\\文件\\新建文件夹\\WXWork\\1688850954929718\\Cache\\Image\\2021-09\\8252e5e21d95a917ebec1cf672481e2a.jpg" \* MERGEFORMATINET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"D:\\文件\\新建文件夹\\WXWork\\1688850954929718\\Cache\\Image\\2021-09\\8252e5e21d95a917ebec1cf672481e2a.jpg"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cs="Times New Roman"/>
              </w:rPr>
              <w:fldChar w:fldCharType="begin"/>
            </w:r>
            <w:r>
              <w:rPr>
                <w:rFonts w:ascii="Times New Roman" w:hAnsi="Times New Roman" w:cs="Times New Roman"/>
              </w:rPr>
              <w:instrText xml:space="preserve"> </w:instrText>
            </w:r>
            <w:r>
              <w:rPr>
                <w:rFonts w:hint="eastAsia" w:ascii="Times New Roman" w:hAnsi="Times New Roman" w:cs="Times New Roman"/>
              </w:rPr>
              <w:instrText xml:space="preserve">INCLUDEPICTURE  "D:\\文件\\新建文件夹\\WXWork\\1688850954929718\\Cache\\Image\\2021-09\\8252e5e21d95a917ebec1cf672481e2a.jpg" \* MERGEFORMATINET</w:instrText>
            </w:r>
            <w:r>
              <w:rPr>
                <w:rFonts w:ascii="Times New Roman" w:hAnsi="Times New Roman" w:cs="Times New Roman"/>
              </w:rPr>
              <w:instrText xml:space="preserve"> </w:instrText>
            </w:r>
            <w:r>
              <w:rPr>
                <w:rFonts w:ascii="Times New Roman" w:hAnsi="Times New Roman" w:cs="Times New Roman"/>
              </w:rPr>
              <w:fldChar w:fldCharType="separate"/>
            </w:r>
            <w:r>
              <w:rPr>
                <w:rFonts w:ascii="Times New Roman" w:hAnsi="Times New Roman" w:eastAsia="宋体" w:cs="Times New Roman"/>
                <w:sz w:val="21"/>
                <w:szCs w:val="21"/>
                <w:lang w:val="en-US" w:eastAsia="zh-CN" w:bidi="ar-SA"/>
              </w:rPr>
              <w:pict>
                <v:shape id="Picture 4" o:spid="_x0000_s1034" type="#_x0000_t75" style="height:127.5pt;width:170.25pt;rotation:0f;" o:ole="f" fillcolor="#FFFFFF" filled="f" o:preferrelative="t" stroked="f" coordorigin="0,0" coordsize="21600,21600">
                  <v:fill on="f" color2="#FFFFFF" focus="0%"/>
                  <v:imagedata gain="65536f" blacklevel="0f" gamma="0" o:title="file:///D:\文件\新建文件夹\WXWork\1688850954929718\Cache\Image\2021-09\8252e5e21d95a917ebec1cf672481e2a.jpg" r:id="rId20" r:href="rId21"/>
                  <o:lock v:ext="edit" position="f" selection="f" grouping="f" rotation="f" cropping="f" text="f" aspectratio="t"/>
                  <w10:wrap type="none"/>
                  <w10:anchorlock/>
                </v:shape>
              </w:pict>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r>
              <w:rPr>
                <w:rFonts w:ascii="Times New Roman" w:hAnsi="Times New Roman" w:cs="Times New Roman"/>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4040"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循环冷却泵</w:t>
            </w:r>
          </w:p>
        </w:tc>
        <w:tc>
          <w:tcPr>
            <w:tcW w:w="4082" w:type="dxa"/>
            <w:vAlign w:val="center"/>
          </w:tcPr>
          <w:p>
            <w:pPr>
              <w:widowControl w:val="0"/>
              <w:adjustRightInd/>
              <w:snapToGrid/>
              <w:jc w:val="center"/>
              <w:rPr>
                <w:rFonts w:ascii="Times New Roman" w:hAnsi="Times New Roman" w:cs="Times New Roman"/>
                <w:color w:val="000000"/>
                <w:kern w:val="2"/>
                <w:sz w:val="28"/>
                <w:szCs w:val="28"/>
              </w:rPr>
            </w:pPr>
            <w:r>
              <w:rPr>
                <w:rFonts w:ascii="Times New Roman" w:hAnsi="Times New Roman" w:cs="Times New Roman"/>
                <w:color w:val="000000"/>
                <w:kern w:val="2"/>
                <w:sz w:val="28"/>
                <w:szCs w:val="28"/>
              </w:rPr>
              <w:t>操作间</w:t>
            </w:r>
          </w:p>
        </w:tc>
      </w:tr>
    </w:tbl>
    <w:p>
      <w:pPr>
        <w:rPr>
          <w:rFonts w:ascii="Times New Roman" w:hAnsi="Times New Roman" w:cs="Times New Roman"/>
          <w:b/>
          <w:bCs/>
          <w:color w:val="000000"/>
        </w:rPr>
        <w:sectPr>
          <w:footerReference r:id="rId6" w:type="default"/>
          <w:pgSz w:w="11906" w:h="16838"/>
          <w:pgMar w:top="1440" w:right="1800" w:bottom="1440" w:left="1800" w:header="708" w:footer="708" w:gutter="0"/>
          <w:pgNumType w:start="1"/>
          <w:cols w:space="720" w:num="1"/>
          <w:docGrid w:linePitch="360" w:charSpace="0"/>
        </w:sectPr>
      </w:pPr>
    </w:p>
    <w:p>
      <w:pPr>
        <w:spacing w:after="240" w:afterLines="100"/>
        <w:jc w:val="center"/>
        <w:rPr>
          <w:rFonts w:ascii="Times New Roman" w:hAnsi="Times New Roman" w:cs="Times New Roman"/>
          <w:sz w:val="32"/>
          <w:szCs w:val="32"/>
        </w:rPr>
      </w:pPr>
      <w:bookmarkStart w:id="0" w:name="_Toc27631_WPSOffice_Type1"/>
      <w:r>
        <w:rPr>
          <w:rFonts w:ascii="Times New Roman" w:hAnsi="Times New Roman" w:cs="Times New Roman"/>
          <w:sz w:val="32"/>
          <w:szCs w:val="32"/>
        </w:rPr>
        <w:t>目   录</w:t>
      </w:r>
    </w:p>
    <w:p>
      <w:pPr>
        <w:pStyle w:val="18"/>
        <w:tabs>
          <w:tab w:val="right" w:leader="dot" w:pos="8296"/>
        </w:tabs>
        <w:rPr>
          <w:rFonts w:ascii="Times New Roman" w:hAnsi="Times New Roman" w:cs="Times New Roman"/>
          <w:sz w:val="28"/>
          <w:szCs w:val="32"/>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TOC \o "1-3" \h \z \u </w:instrText>
      </w:r>
      <w:r>
        <w:rPr>
          <w:rFonts w:ascii="Times New Roman" w:hAnsi="Times New Roman" w:cs="Times New Roman"/>
          <w:sz w:val="24"/>
          <w:szCs w:val="24"/>
        </w:rPr>
        <w:fldChar w:fldCharType="separate"/>
      </w:r>
      <w:r>
        <w:fldChar w:fldCharType="begin"/>
      </w:r>
      <w:r>
        <w:instrText xml:space="preserve">HYPERLINK  \l "_Toc86138240" </w:instrText>
      </w:r>
      <w:r>
        <w:fldChar w:fldCharType="separate"/>
      </w:r>
      <w:r>
        <w:rPr>
          <w:rStyle w:val="25"/>
          <w:rFonts w:ascii="Times New Roman" w:hAnsi="Times New Roman" w:cs="Times New Roman"/>
          <w:sz w:val="28"/>
          <w:szCs w:val="28"/>
        </w:rPr>
        <w:t>表一  项目基本情况及验收依据</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_Toc86138240 \h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"_Toc86138241" </w:instrText>
      </w:r>
      <w:r>
        <w:fldChar w:fldCharType="separate"/>
      </w:r>
      <w:r>
        <w:rPr>
          <w:rStyle w:val="25"/>
          <w:rFonts w:ascii="Times New Roman" w:hAnsi="Times New Roman" w:cs="Times New Roman"/>
          <w:sz w:val="28"/>
          <w:szCs w:val="28"/>
        </w:rPr>
        <w:t>表二  项目建设情况</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_Toc86138241 \h </w:instrText>
      </w:r>
      <w:r>
        <w:rPr>
          <w:rFonts w:ascii="Times New Roman" w:hAnsi="Times New Roman" w:cs="Times New Roman"/>
          <w:sz w:val="28"/>
          <w:szCs w:val="28"/>
        </w:rPr>
        <w:fldChar w:fldCharType="separate"/>
      </w:r>
      <w:r>
        <w:rPr>
          <w:rFonts w:ascii="Times New Roman" w:hAnsi="Times New Roman" w:cs="Times New Roman"/>
          <w:sz w:val="28"/>
          <w:szCs w:val="28"/>
        </w:rPr>
        <w:t>3</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"_Toc86138275" </w:instrText>
      </w:r>
      <w:r>
        <w:fldChar w:fldCharType="separate"/>
      </w:r>
      <w:r>
        <w:rPr>
          <w:rStyle w:val="25"/>
          <w:rFonts w:ascii="Times New Roman" w:hAnsi="Times New Roman" w:cs="Times New Roman"/>
          <w:sz w:val="28"/>
          <w:szCs w:val="28"/>
        </w:rPr>
        <w:t>表三  主要污染源及污染物处理和排放情况</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_Toc86138275 \h </w:instrText>
      </w:r>
      <w:r>
        <w:rPr>
          <w:rFonts w:ascii="Times New Roman" w:hAnsi="Times New Roman" w:cs="Times New Roman"/>
          <w:sz w:val="28"/>
          <w:szCs w:val="28"/>
        </w:rPr>
        <w:fldChar w:fldCharType="separate"/>
      </w:r>
      <w:r>
        <w:rPr>
          <w:rFonts w:ascii="Times New Roman" w:hAnsi="Times New Roman" w:cs="Times New Roman"/>
          <w:sz w:val="28"/>
          <w:szCs w:val="28"/>
        </w:rPr>
        <w:t>7</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"_Toc86138276" </w:instrText>
      </w:r>
      <w:r>
        <w:fldChar w:fldCharType="separate"/>
      </w:r>
      <w:r>
        <w:rPr>
          <w:rStyle w:val="25"/>
          <w:rFonts w:ascii="Times New Roman" w:hAnsi="Times New Roman" w:cs="Times New Roman"/>
          <w:sz w:val="28"/>
          <w:szCs w:val="28"/>
        </w:rPr>
        <w:t>表四  建设项目环境影响报告表主要结论及审批部门审批决定</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_Toc86138276 \h </w:instrText>
      </w:r>
      <w:r>
        <w:rPr>
          <w:rFonts w:ascii="Times New Roman" w:hAnsi="Times New Roman" w:cs="Times New Roman"/>
          <w:sz w:val="28"/>
          <w:szCs w:val="28"/>
        </w:rPr>
        <w:fldChar w:fldCharType="separate"/>
      </w:r>
      <w:r>
        <w:rPr>
          <w:rFonts w:ascii="Times New Roman" w:hAnsi="Times New Roman" w:cs="Times New Roman"/>
          <w:sz w:val="28"/>
          <w:szCs w:val="28"/>
        </w:rPr>
        <w:t>8</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"_Toc86138277" </w:instrText>
      </w:r>
      <w:r>
        <w:fldChar w:fldCharType="separate"/>
      </w:r>
      <w:r>
        <w:rPr>
          <w:rStyle w:val="25"/>
          <w:rFonts w:ascii="Times New Roman" w:hAnsi="Times New Roman" w:cs="Times New Roman"/>
          <w:sz w:val="28"/>
          <w:szCs w:val="28"/>
        </w:rPr>
        <w:t>表五  验收监测质量保证及质量控制</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_Toc86138277 \h </w:instrText>
      </w:r>
      <w:r>
        <w:rPr>
          <w:rFonts w:ascii="Times New Roman" w:hAnsi="Times New Roman" w:cs="Times New Roman"/>
          <w:sz w:val="28"/>
          <w:szCs w:val="28"/>
        </w:rPr>
        <w:fldChar w:fldCharType="separate"/>
      </w:r>
      <w:r>
        <w:rPr>
          <w:rFonts w:ascii="Times New Roman" w:hAnsi="Times New Roman" w:cs="Times New Roman"/>
          <w:sz w:val="28"/>
          <w:szCs w:val="28"/>
        </w:rPr>
        <w:t>11</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"_Toc86138278" </w:instrText>
      </w:r>
      <w:r>
        <w:fldChar w:fldCharType="separate"/>
      </w:r>
      <w:r>
        <w:rPr>
          <w:rStyle w:val="25"/>
          <w:rFonts w:ascii="Times New Roman" w:hAnsi="Times New Roman" w:cs="Times New Roman"/>
          <w:sz w:val="28"/>
          <w:szCs w:val="28"/>
        </w:rPr>
        <w:t>表六  验收监测内容</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_Toc86138278 \h </w:instrText>
      </w:r>
      <w:r>
        <w:rPr>
          <w:rFonts w:ascii="Times New Roman" w:hAnsi="Times New Roman" w:cs="Times New Roman"/>
          <w:sz w:val="28"/>
          <w:szCs w:val="28"/>
        </w:rPr>
        <w:fldChar w:fldCharType="separate"/>
      </w:r>
      <w:r>
        <w:rPr>
          <w:rFonts w:ascii="Times New Roman" w:hAnsi="Times New Roman" w:cs="Times New Roman"/>
          <w:sz w:val="28"/>
          <w:szCs w:val="28"/>
        </w:rPr>
        <w:t>13</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"_Toc86138279" </w:instrText>
      </w:r>
      <w:r>
        <w:fldChar w:fldCharType="separate"/>
      </w:r>
      <w:r>
        <w:rPr>
          <w:rStyle w:val="25"/>
          <w:rFonts w:ascii="Times New Roman" w:hAnsi="Times New Roman" w:cs="Times New Roman"/>
          <w:sz w:val="28"/>
          <w:szCs w:val="28"/>
        </w:rPr>
        <w:t>表七  验收监测期间生产工况及结果</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_Toc86138279 \h </w:instrText>
      </w:r>
      <w:r>
        <w:rPr>
          <w:rFonts w:ascii="Times New Roman" w:hAnsi="Times New Roman" w:cs="Times New Roman"/>
          <w:sz w:val="28"/>
          <w:szCs w:val="28"/>
        </w:rPr>
        <w:fldChar w:fldCharType="separate"/>
      </w:r>
      <w:r>
        <w:rPr>
          <w:rFonts w:ascii="Times New Roman" w:hAnsi="Times New Roman" w:cs="Times New Roman"/>
          <w:sz w:val="28"/>
          <w:szCs w:val="28"/>
        </w:rPr>
        <w:t>14</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"_Toc86138280" </w:instrText>
      </w:r>
      <w:r>
        <w:fldChar w:fldCharType="separate"/>
      </w:r>
      <w:r>
        <w:rPr>
          <w:rStyle w:val="25"/>
          <w:rFonts w:ascii="Times New Roman" w:hAnsi="Times New Roman" w:cs="Times New Roman"/>
          <w:sz w:val="28"/>
          <w:szCs w:val="28"/>
        </w:rPr>
        <w:t>表八  验收监测结论</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_Toc86138280 \h </w:instrText>
      </w:r>
      <w:r>
        <w:rPr>
          <w:rFonts w:ascii="Times New Roman" w:hAnsi="Times New Roman" w:cs="Times New Roman"/>
          <w:sz w:val="28"/>
          <w:szCs w:val="28"/>
        </w:rPr>
        <w:fldChar w:fldCharType="separate"/>
      </w:r>
      <w:r>
        <w:rPr>
          <w:rFonts w:ascii="Times New Roman" w:hAnsi="Times New Roman" w:cs="Times New Roman"/>
          <w:sz w:val="28"/>
          <w:szCs w:val="28"/>
        </w:rPr>
        <w:t>16</w:t>
      </w:r>
      <w:r>
        <w:rPr>
          <w:rFonts w:ascii="Times New Roman" w:hAnsi="Times New Roman" w:cs="Times New Roman"/>
          <w:sz w:val="28"/>
          <w:szCs w:val="28"/>
        </w:rPr>
        <w:fldChar w:fldCharType="end"/>
      </w:r>
      <w:r>
        <w:fldChar w:fldCharType="end"/>
      </w:r>
    </w:p>
    <w:p>
      <w:pPr>
        <w:pStyle w:val="21"/>
        <w:tabs>
          <w:tab w:val="right" w:leader="dot" w:pos="8296"/>
        </w:tabs>
        <w:ind w:left="0" w:leftChars="0"/>
        <w:rPr>
          <w:rFonts w:ascii="Times New Roman" w:hAnsi="Times New Roman" w:cs="Times New Roman"/>
          <w:kern w:val="2"/>
          <w:sz w:val="28"/>
          <w:szCs w:val="32"/>
        </w:rPr>
      </w:pPr>
      <w:r>
        <w:fldChar w:fldCharType="begin"/>
      </w:r>
      <w:r>
        <w:instrText xml:space="preserve">HYPERLINK  \l "_Toc86138281" </w:instrText>
      </w:r>
      <w:r>
        <w:fldChar w:fldCharType="separate"/>
      </w:r>
      <w:r>
        <w:rPr>
          <w:rStyle w:val="25"/>
          <w:rFonts w:ascii="Times New Roman" w:hAnsi="Times New Roman" w:cs="Times New Roman"/>
          <w:sz w:val="28"/>
          <w:szCs w:val="28"/>
        </w:rPr>
        <w:t>建设项目竣工环境保护“三同时”验收登记表</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_Toc86138281 \h </w:instrText>
      </w:r>
      <w:r>
        <w:rPr>
          <w:rFonts w:ascii="Times New Roman" w:hAnsi="Times New Roman" w:cs="Times New Roman"/>
          <w:sz w:val="28"/>
          <w:szCs w:val="28"/>
        </w:rPr>
        <w:fldChar w:fldCharType="separate"/>
      </w:r>
      <w:r>
        <w:rPr>
          <w:rFonts w:ascii="Times New Roman" w:hAnsi="Times New Roman" w:cs="Times New Roman"/>
          <w:sz w:val="28"/>
          <w:szCs w:val="28"/>
        </w:rPr>
        <w:t>18</w:t>
      </w:r>
      <w:r>
        <w:rPr>
          <w:rFonts w:ascii="Times New Roman" w:hAnsi="Times New Roman" w:cs="Times New Roman"/>
          <w:sz w:val="28"/>
          <w:szCs w:val="28"/>
        </w:rPr>
        <w:fldChar w:fldCharType="end"/>
      </w:r>
      <w:r>
        <w:fldChar w:fldCharType="end"/>
      </w:r>
    </w:p>
    <w:p>
      <w:pPr>
        <w:pStyle w:val="18"/>
        <w:tabs>
          <w:tab w:val="right" w:leader="dot" w:pos="8296"/>
        </w:tabs>
        <w:rPr>
          <w:rFonts w:ascii="Times New Roman" w:hAnsi="Times New Roman" w:cs="Times New Roman"/>
          <w:sz w:val="28"/>
          <w:szCs w:val="32"/>
        </w:rPr>
      </w:pPr>
      <w:r>
        <w:fldChar w:fldCharType="begin"/>
      </w:r>
      <w:r>
        <w:instrText xml:space="preserve">HYPERLINK  \l "_Toc86138282" </w:instrText>
      </w:r>
      <w:r>
        <w:fldChar w:fldCharType="separate"/>
      </w:r>
      <w:r>
        <w:rPr>
          <w:rStyle w:val="25"/>
          <w:rFonts w:ascii="Times New Roman" w:hAnsi="Times New Roman" w:cs="Times New Roman"/>
          <w:sz w:val="28"/>
          <w:szCs w:val="28"/>
        </w:rPr>
        <w:t>附图、附件</w:t>
      </w:r>
      <w:r>
        <w:rPr>
          <w:rFonts w:ascii="Times New Roman" w:hAnsi="Times New Roman" w:cs="Times New Roman"/>
          <w:sz w:val="28"/>
          <w:szCs w:val="28"/>
        </w:rPr>
        <w:tab/>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PAGEREF _Toc86138282 \h </w:instrText>
      </w:r>
      <w:r>
        <w:rPr>
          <w:rFonts w:ascii="Times New Roman" w:hAnsi="Times New Roman" w:cs="Times New Roman"/>
          <w:sz w:val="28"/>
          <w:szCs w:val="28"/>
        </w:rPr>
        <w:fldChar w:fldCharType="separate"/>
      </w:r>
      <w:r>
        <w:rPr>
          <w:rFonts w:ascii="Times New Roman" w:hAnsi="Times New Roman" w:cs="Times New Roman"/>
          <w:sz w:val="28"/>
          <w:szCs w:val="28"/>
        </w:rPr>
        <w:t>19</w:t>
      </w:r>
      <w:r>
        <w:rPr>
          <w:rFonts w:ascii="Times New Roman" w:hAnsi="Times New Roman" w:cs="Times New Roman"/>
          <w:sz w:val="28"/>
          <w:szCs w:val="28"/>
        </w:rPr>
        <w:fldChar w:fldCharType="end"/>
      </w:r>
      <w:r>
        <w:fldChar w:fldCharType="end"/>
      </w:r>
    </w:p>
    <w:p>
      <w:pPr>
        <w:rPr>
          <w:rFonts w:ascii="Times New Roman" w:hAnsi="Times New Roman" w:cs="Times New Roman"/>
        </w:rPr>
      </w:pPr>
      <w:r>
        <w:rPr>
          <w:rFonts w:ascii="Times New Roman" w:hAnsi="Times New Roman" w:cs="Times New Roman"/>
          <w:sz w:val="24"/>
          <w:szCs w:val="24"/>
        </w:rPr>
        <w:fldChar w:fldCharType="end"/>
      </w:r>
      <w:bookmarkEnd w:id="0"/>
    </w:p>
    <w:p>
      <w:pPr>
        <w:pStyle w:val="2"/>
        <w:spacing w:before="120"/>
        <w:rPr>
          <w:rFonts w:ascii="Times New Roman" w:hAnsi="Times New Roman" w:eastAsia="宋体" w:cs="Times New Roman"/>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1" w:name="_Toc86138240"/>
      <w:r>
        <w:rPr>
          <w:rFonts w:ascii="Times New Roman" w:hAnsi="Times New Roman" w:cs="Times New Roman"/>
        </w:rPr>
        <w:t>表一  项目基本情况及验收依据</w:t>
      </w:r>
      <w:bookmarkEnd w:id="1"/>
    </w:p>
    <w:tbl>
      <w:tblPr>
        <w:tblStyle w:val="27"/>
        <w:tblW w:w="938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
      <w:tblGrid>
        <w:gridCol w:w="1928"/>
        <w:gridCol w:w="2724"/>
        <w:gridCol w:w="1985"/>
        <w:gridCol w:w="1275"/>
        <w:gridCol w:w="709"/>
        <w:gridCol w:w="7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top w:val="single" w:color="auto" w:sz="12" w:space="0"/>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建设项目名称</w:t>
            </w:r>
          </w:p>
        </w:tc>
        <w:tc>
          <w:tcPr>
            <w:tcW w:w="7460" w:type="dxa"/>
            <w:gridSpan w:val="5"/>
            <w:tcBorders>
              <w:top w:val="single" w:color="auto" w:sz="12" w:space="0"/>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山西太钢不锈钢股份有限公司低参数余热利用项目及烟气余热回收改造工程</w:t>
            </w:r>
          </w:p>
          <w:p>
            <w:pPr>
              <w:pStyle w:val="2"/>
              <w:spacing w:before="120" w:line="360" w:lineRule="auto"/>
              <w:rPr>
                <w:rFonts w:ascii="Times New Roman" w:hAnsi="Times New Roman" w:eastAsia="宋体" w:cs="Times New Roman"/>
                <w:spacing w:val="0"/>
              </w:rPr>
            </w:pPr>
            <w:r>
              <w:rPr>
                <w:rFonts w:ascii="Times New Roman" w:hAnsi="Times New Roman" w:eastAsia="宋体" w:cs="Times New Roman"/>
                <w:spacing w:val="0"/>
              </w:rPr>
              <w:t>（低参数余热利用项目）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建设单位名称</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山西太钢不锈钢股份有限公司</w:t>
            </w:r>
            <w:r>
              <w:rPr>
                <w:rFonts w:hint="eastAsia" w:ascii="Times New Roman" w:hAnsi="Times New Roman" w:cs="Times New Roman"/>
                <w:lang w:eastAsia="zh-CN"/>
              </w:rPr>
              <w:t>能源动力总厂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建设项目性质</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技改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建设地点</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山西太钢不锈钢股份有限公司能源动力总厂现有2#机组东侧和5#、6#煤气炉的西侧之间、办公楼的南侧和空压机的北侧之间。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主要产品名称</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电力</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设计生产能力</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年发电量2.7亿KWh，年供电量2.619亿KWh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实际生产能力</w:t>
            </w:r>
          </w:p>
        </w:tc>
        <w:tc>
          <w:tcPr>
            <w:tcW w:w="7460" w:type="dxa"/>
            <w:gridSpan w:val="5"/>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年发电量2.3亿KWh，年供电量2.219亿KWh</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建设项目环评时间</w:t>
            </w:r>
          </w:p>
        </w:tc>
        <w:tc>
          <w:tcPr>
            <w:tcW w:w="2724" w:type="dxa"/>
            <w:vAlign w:val="center"/>
          </w:tcPr>
          <w:p>
            <w:pPr>
              <w:jc w:val="center"/>
              <w:rPr>
                <w:rFonts w:ascii="Times New Roman" w:hAnsi="Times New Roman" w:cs="Times New Roman"/>
              </w:rPr>
            </w:pPr>
            <w:r>
              <w:rPr>
                <w:rFonts w:ascii="Times New Roman" w:hAnsi="Times New Roman" w:cs="Times New Roman"/>
              </w:rPr>
              <w:t>2016年7月</w:t>
            </w:r>
          </w:p>
        </w:tc>
        <w:tc>
          <w:tcPr>
            <w:tcW w:w="1985" w:type="dxa"/>
            <w:vAlign w:val="center"/>
          </w:tcPr>
          <w:p>
            <w:pPr>
              <w:jc w:val="center"/>
              <w:rPr>
                <w:rFonts w:ascii="Times New Roman" w:hAnsi="Times New Roman" w:cs="Times New Roman"/>
              </w:rPr>
            </w:pPr>
            <w:r>
              <w:rPr>
                <w:rFonts w:ascii="Times New Roman" w:hAnsi="Times New Roman" w:cs="Times New Roman"/>
              </w:rPr>
              <w:t>开工建设时间</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2018年4月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调试时间</w:t>
            </w:r>
          </w:p>
        </w:tc>
        <w:tc>
          <w:tcPr>
            <w:tcW w:w="2724" w:type="dxa"/>
            <w:vAlign w:val="center"/>
          </w:tcPr>
          <w:p>
            <w:pPr>
              <w:jc w:val="center"/>
              <w:rPr>
                <w:rFonts w:ascii="Times New Roman" w:hAnsi="Times New Roman" w:cs="Times New Roman"/>
              </w:rPr>
            </w:pPr>
            <w:r>
              <w:rPr>
                <w:rFonts w:ascii="Times New Roman" w:hAnsi="Times New Roman" w:cs="Times New Roman"/>
              </w:rPr>
              <w:t>2021年3月</w:t>
            </w:r>
          </w:p>
        </w:tc>
        <w:tc>
          <w:tcPr>
            <w:tcW w:w="1985" w:type="dxa"/>
            <w:vAlign w:val="center"/>
          </w:tcPr>
          <w:p>
            <w:pPr>
              <w:jc w:val="center"/>
              <w:rPr>
                <w:rFonts w:ascii="Times New Roman" w:hAnsi="Times New Roman" w:cs="Times New Roman"/>
              </w:rPr>
            </w:pPr>
            <w:r>
              <w:rPr>
                <w:rFonts w:ascii="Times New Roman" w:hAnsi="Times New Roman" w:cs="Times New Roman"/>
              </w:rPr>
              <w:t>验收现场监测时间</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2021年8月9日-10日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环评报告表</w:t>
            </w:r>
          </w:p>
          <w:p>
            <w:pPr>
              <w:jc w:val="center"/>
              <w:rPr>
                <w:rFonts w:ascii="Times New Roman" w:hAnsi="Times New Roman" w:cs="Times New Roman"/>
              </w:rPr>
            </w:pPr>
            <w:r>
              <w:rPr>
                <w:rFonts w:ascii="Times New Roman" w:hAnsi="Times New Roman" w:cs="Times New Roman"/>
              </w:rPr>
              <w:t>审批部门</w:t>
            </w:r>
          </w:p>
        </w:tc>
        <w:tc>
          <w:tcPr>
            <w:tcW w:w="2724" w:type="dxa"/>
            <w:vAlign w:val="center"/>
          </w:tcPr>
          <w:p>
            <w:pPr>
              <w:jc w:val="center"/>
              <w:rPr>
                <w:rFonts w:ascii="Times New Roman" w:hAnsi="Times New Roman" w:cs="Times New Roman"/>
              </w:rPr>
            </w:pPr>
            <w:r>
              <w:rPr>
                <w:rFonts w:ascii="Times New Roman" w:hAnsi="Times New Roman" w:cs="Times New Roman"/>
              </w:rPr>
              <w:t>太原市环境保护局尖草坪分局</w:t>
            </w:r>
          </w:p>
        </w:tc>
        <w:tc>
          <w:tcPr>
            <w:tcW w:w="1985" w:type="dxa"/>
            <w:vAlign w:val="center"/>
          </w:tcPr>
          <w:p>
            <w:pPr>
              <w:jc w:val="center"/>
              <w:rPr>
                <w:rFonts w:ascii="Times New Roman" w:hAnsi="Times New Roman" w:cs="Times New Roman"/>
              </w:rPr>
            </w:pPr>
            <w:r>
              <w:rPr>
                <w:rFonts w:ascii="Times New Roman" w:hAnsi="Times New Roman" w:cs="Times New Roman"/>
              </w:rPr>
              <w:t>环评报告表</w:t>
            </w:r>
          </w:p>
          <w:p>
            <w:pPr>
              <w:jc w:val="center"/>
              <w:rPr>
                <w:rFonts w:ascii="Times New Roman" w:hAnsi="Times New Roman" w:cs="Times New Roman"/>
              </w:rPr>
            </w:pPr>
            <w:r>
              <w:rPr>
                <w:rFonts w:ascii="Times New Roman" w:hAnsi="Times New Roman" w:cs="Times New Roman"/>
              </w:rPr>
              <w:t>编制单位</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山西清泽阳光环保科技有限公司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环保设施设计单位</w:t>
            </w:r>
          </w:p>
        </w:tc>
        <w:tc>
          <w:tcPr>
            <w:tcW w:w="2724" w:type="dxa"/>
            <w:vAlign w:val="center"/>
          </w:tcPr>
          <w:p>
            <w:pPr>
              <w:jc w:val="center"/>
              <w:rPr>
                <w:rFonts w:ascii="Times New Roman" w:hAnsi="Times New Roman" w:cs="Times New Roman"/>
              </w:rPr>
            </w:pPr>
            <w:r>
              <w:rPr>
                <w:rFonts w:ascii="Times New Roman" w:hAnsi="Times New Roman" w:cs="Times New Roman"/>
              </w:rPr>
              <w:t>山西太钢工程技术有限公司、山西意迪光华电力勘测设计有限公司</w:t>
            </w:r>
          </w:p>
        </w:tc>
        <w:tc>
          <w:tcPr>
            <w:tcW w:w="1985" w:type="dxa"/>
            <w:vAlign w:val="center"/>
          </w:tcPr>
          <w:p>
            <w:pPr>
              <w:jc w:val="center"/>
              <w:rPr>
                <w:rFonts w:ascii="Times New Roman" w:hAnsi="Times New Roman" w:cs="Times New Roman"/>
              </w:rPr>
            </w:pPr>
            <w:r>
              <w:rPr>
                <w:rFonts w:ascii="Times New Roman" w:hAnsi="Times New Roman" w:cs="Times New Roman"/>
              </w:rPr>
              <w:t>环保设施施工单位</w:t>
            </w:r>
          </w:p>
        </w:tc>
        <w:tc>
          <w:tcPr>
            <w:tcW w:w="2751" w:type="dxa"/>
            <w:gridSpan w:val="3"/>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德阳东汽建设置业有限公司、安阳建工（集团）有限责任公司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tcBorders>
            <w:vAlign w:val="center"/>
          </w:tcPr>
          <w:p>
            <w:pPr>
              <w:jc w:val="center"/>
              <w:rPr>
                <w:rFonts w:ascii="Times New Roman" w:hAnsi="Times New Roman" w:cs="Times New Roman"/>
              </w:rPr>
            </w:pPr>
            <w:r>
              <w:rPr>
                <w:rFonts w:ascii="Times New Roman" w:hAnsi="Times New Roman" w:cs="Times New Roman"/>
              </w:rPr>
              <w:t>投资总概算</w:t>
            </w:r>
            <w:r>
              <w:rPr>
                <w:rFonts w:ascii="Times New Roman" w:hAnsi="Times New Roman" w:cs="Times New Roman"/>
                <w:spacing w:val="-20"/>
              </w:rPr>
              <w:t>（万元）</w:t>
            </w:r>
          </w:p>
        </w:tc>
        <w:tc>
          <w:tcPr>
            <w:tcW w:w="2724" w:type="dxa"/>
            <w:vAlign w:val="center"/>
          </w:tcPr>
          <w:p>
            <w:pPr>
              <w:jc w:val="center"/>
              <w:rPr>
                <w:rFonts w:ascii="Times New Roman" w:hAnsi="Times New Roman" w:cs="Times New Roman"/>
              </w:rPr>
            </w:pPr>
            <w:r>
              <w:rPr>
                <w:rFonts w:ascii="Times New Roman" w:hAnsi="Times New Roman" w:cs="Times New Roman"/>
              </w:rPr>
              <w:t>13739.25</w:t>
            </w:r>
          </w:p>
        </w:tc>
        <w:tc>
          <w:tcPr>
            <w:tcW w:w="1985" w:type="dxa"/>
            <w:vAlign w:val="center"/>
          </w:tcPr>
          <w:p>
            <w:pPr>
              <w:jc w:val="center"/>
              <w:rPr>
                <w:rFonts w:ascii="Times New Roman" w:hAnsi="Times New Roman" w:cs="Times New Roman"/>
                <w:spacing w:val="-20"/>
              </w:rPr>
            </w:pPr>
            <w:r>
              <w:rPr>
                <w:rFonts w:ascii="Times New Roman" w:hAnsi="Times New Roman" w:cs="Times New Roman"/>
                <w:spacing w:val="-20"/>
              </w:rPr>
              <w:t>环保投资总概算（万元）</w:t>
            </w:r>
          </w:p>
        </w:tc>
        <w:tc>
          <w:tcPr>
            <w:tcW w:w="1275" w:type="dxa"/>
            <w:vAlign w:val="center"/>
          </w:tcPr>
          <w:p>
            <w:pPr>
              <w:jc w:val="center"/>
              <w:rPr>
                <w:rFonts w:ascii="Times New Roman" w:hAnsi="Times New Roman" w:cs="Times New Roman"/>
              </w:rPr>
            </w:pPr>
            <w:r>
              <w:rPr>
                <w:rFonts w:ascii="Times New Roman" w:hAnsi="Times New Roman" w:cs="Times New Roman"/>
              </w:rPr>
              <w:t>210</w:t>
            </w:r>
          </w:p>
        </w:tc>
        <w:tc>
          <w:tcPr>
            <w:tcW w:w="709" w:type="dxa"/>
            <w:vAlign w:val="center"/>
          </w:tcPr>
          <w:p>
            <w:pPr>
              <w:jc w:val="center"/>
              <w:rPr>
                <w:rFonts w:ascii="Times New Roman" w:hAnsi="Times New Roman" w:cs="Times New Roman"/>
              </w:rPr>
            </w:pPr>
            <w:r>
              <w:rPr>
                <w:rFonts w:ascii="Times New Roman" w:hAnsi="Times New Roman" w:cs="Times New Roman"/>
              </w:rPr>
              <w:t>比例</w:t>
            </w:r>
          </w:p>
        </w:tc>
        <w:tc>
          <w:tcPr>
            <w:tcW w:w="767" w:type="dxa"/>
            <w:tcBorders>
              <w:right w:val="single" w:color="auto" w:sz="12" w:space="0"/>
            </w:tcBorders>
            <w:vAlign w:val="center"/>
          </w:tcPr>
          <w:p>
            <w:pPr>
              <w:jc w:val="center"/>
              <w:rPr>
                <w:rFonts w:ascii="Times New Roman" w:hAnsi="Times New Roman" w:cs="Times New Roman"/>
              </w:rPr>
            </w:pPr>
            <w:r>
              <w:rPr>
                <w:rFonts w:ascii="Times New Roman" w:hAnsi="Times New Roman" w:cs="Times New Roman"/>
              </w:rPr>
              <w:t>1.47%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left w:val="single" w:color="auto" w:sz="12" w:space="0"/>
              <w:bottom w:val="single" w:color="auto" w:sz="12" w:space="0"/>
            </w:tcBorders>
            <w:vAlign w:val="center"/>
          </w:tcPr>
          <w:p>
            <w:pPr>
              <w:jc w:val="center"/>
              <w:rPr>
                <w:rFonts w:ascii="Times New Roman" w:hAnsi="Times New Roman" w:cs="Times New Roman"/>
              </w:rPr>
            </w:pPr>
            <w:r>
              <w:rPr>
                <w:rFonts w:ascii="Times New Roman" w:hAnsi="Times New Roman" w:cs="Times New Roman"/>
              </w:rPr>
              <w:t>实际总概算</w:t>
            </w:r>
            <w:r>
              <w:rPr>
                <w:rFonts w:ascii="Times New Roman" w:hAnsi="Times New Roman" w:cs="Times New Roman"/>
                <w:spacing w:val="-20"/>
              </w:rPr>
              <w:t>（万元）</w:t>
            </w:r>
          </w:p>
        </w:tc>
        <w:tc>
          <w:tcPr>
            <w:tcW w:w="2724"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12232.63</w:t>
            </w:r>
          </w:p>
        </w:tc>
        <w:tc>
          <w:tcPr>
            <w:tcW w:w="1985"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环保投资</w:t>
            </w:r>
            <w:r>
              <w:rPr>
                <w:rFonts w:ascii="Times New Roman" w:hAnsi="Times New Roman" w:cs="Times New Roman"/>
                <w:spacing w:val="-20"/>
              </w:rPr>
              <w:t>（万元）</w:t>
            </w:r>
          </w:p>
        </w:tc>
        <w:tc>
          <w:tcPr>
            <w:tcW w:w="1275"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196</w:t>
            </w:r>
          </w:p>
        </w:tc>
        <w:tc>
          <w:tcPr>
            <w:tcW w:w="709"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rPr>
              <w:t>比例</w:t>
            </w:r>
          </w:p>
        </w:tc>
        <w:tc>
          <w:tcPr>
            <w:tcW w:w="767" w:type="dxa"/>
            <w:tcBorders>
              <w:bottom w:val="single" w:color="auto" w:sz="12" w:space="0"/>
              <w:right w:val="single" w:color="auto" w:sz="12" w:space="0"/>
            </w:tcBorders>
            <w:vAlign w:val="center"/>
          </w:tcPr>
          <w:p>
            <w:pPr>
              <w:jc w:val="center"/>
              <w:rPr>
                <w:rFonts w:ascii="Times New Roman" w:hAnsi="Times New Roman" w:cs="Times New Roman"/>
              </w:rPr>
            </w:pPr>
            <w:r>
              <w:rPr>
                <w:rFonts w:ascii="Times New Roman" w:hAnsi="Times New Roman" w:cs="Times New Roman"/>
              </w:rPr>
              <w:t>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340" w:hRule="atLeast"/>
          <w:jc w:val="center"/>
        </w:trPr>
        <w:tc>
          <w:tcPr>
            <w:tcW w:w="1928" w:type="dxa"/>
            <w:tcBorders>
              <w:top w:val="single" w:color="auto" w:sz="12" w:space="0"/>
              <w:left w:val="single" w:color="auto" w:sz="12" w:space="0"/>
              <w:bottom w:val="single" w:color="auto" w:sz="12" w:space="0"/>
              <w:right w:val="single" w:color="auto" w:sz="12" w:space="0"/>
            </w:tcBorders>
            <w:vAlign w:val="center"/>
          </w:tcPr>
          <w:p>
            <w:pPr>
              <w:pStyle w:val="38"/>
              <w:rPr>
                <w:sz w:val="24"/>
                <w:szCs w:val="24"/>
                <w:highlight w:val="yellow"/>
              </w:rPr>
            </w:pPr>
            <w:r>
              <w:rPr>
                <w:sz w:val="24"/>
                <w:szCs w:val="24"/>
              </w:rPr>
              <w:t>验收监测依据</w:t>
            </w:r>
          </w:p>
        </w:tc>
        <w:tc>
          <w:tcPr>
            <w:tcW w:w="7460" w:type="dxa"/>
            <w:gridSpan w:val="5"/>
            <w:tcBorders>
              <w:top w:val="single" w:color="auto" w:sz="12" w:space="0"/>
              <w:left w:val="single" w:color="auto" w:sz="12" w:space="0"/>
              <w:bottom w:val="single" w:color="auto" w:sz="12" w:space="0"/>
              <w:right w:val="single" w:color="auto" w:sz="12" w:space="0"/>
            </w:tcBorders>
            <w:vAlign w:val="center"/>
          </w:tcPr>
          <w:p>
            <w:pPr>
              <w:pStyle w:val="38"/>
              <w:rPr>
                <w:b/>
                <w:bCs/>
                <w:sz w:val="24"/>
                <w:szCs w:val="24"/>
              </w:rPr>
            </w:pPr>
            <w:r>
              <w:rPr>
                <w:b/>
                <w:bCs/>
                <w:sz w:val="24"/>
                <w:szCs w:val="24"/>
              </w:rPr>
              <w:t>1、建设项目环境保护相关法律、法规和规章制度</w:t>
            </w:r>
          </w:p>
          <w:p>
            <w:pPr>
              <w:pStyle w:val="38"/>
              <w:rPr>
                <w:sz w:val="24"/>
                <w:szCs w:val="24"/>
              </w:rPr>
            </w:pPr>
            <w:r>
              <w:rPr>
                <w:sz w:val="24"/>
                <w:szCs w:val="24"/>
              </w:rPr>
              <w:t>（1）《中华人民共和国环境保护法》（2015年1月1日）；</w:t>
            </w:r>
          </w:p>
          <w:p>
            <w:pPr>
              <w:pStyle w:val="38"/>
              <w:rPr>
                <w:sz w:val="24"/>
                <w:szCs w:val="24"/>
              </w:rPr>
            </w:pPr>
            <w:r>
              <w:rPr>
                <w:sz w:val="24"/>
                <w:szCs w:val="24"/>
              </w:rPr>
              <w:t>（2）《中华人民共和国环境影响评价法》（2018年12月29日）；</w:t>
            </w:r>
          </w:p>
          <w:p>
            <w:pPr>
              <w:pStyle w:val="38"/>
              <w:rPr>
                <w:sz w:val="24"/>
                <w:szCs w:val="24"/>
              </w:rPr>
            </w:pPr>
            <w:r>
              <w:rPr>
                <w:sz w:val="24"/>
                <w:szCs w:val="24"/>
              </w:rPr>
              <w:t>（3）《中华人民共和国大气污染防治法》（2018年11月13日）；</w:t>
            </w:r>
          </w:p>
          <w:p>
            <w:pPr>
              <w:pStyle w:val="38"/>
              <w:rPr>
                <w:sz w:val="24"/>
                <w:szCs w:val="24"/>
              </w:rPr>
            </w:pPr>
            <w:r>
              <w:rPr>
                <w:sz w:val="24"/>
                <w:szCs w:val="24"/>
              </w:rPr>
              <w:t>（4）《中华人名共和国水污染防治法》（2018年1月1日）；</w:t>
            </w:r>
          </w:p>
          <w:p>
            <w:pPr>
              <w:pStyle w:val="38"/>
              <w:rPr>
                <w:sz w:val="24"/>
                <w:szCs w:val="24"/>
              </w:rPr>
            </w:pPr>
            <w:r>
              <w:rPr>
                <w:sz w:val="24"/>
                <w:szCs w:val="24"/>
              </w:rPr>
              <w:t>（5）《中华人民共和国固体废弃物污染环境防治法》（2020年9月1日）；</w:t>
            </w:r>
          </w:p>
          <w:p>
            <w:pPr>
              <w:pStyle w:val="38"/>
              <w:rPr>
                <w:sz w:val="24"/>
                <w:szCs w:val="24"/>
              </w:rPr>
            </w:pPr>
            <w:r>
              <w:rPr>
                <w:sz w:val="24"/>
                <w:szCs w:val="24"/>
              </w:rPr>
              <w:t>（6）《中华人民共和国环境噪声污染防治法》（2018年12月29日）；</w:t>
            </w:r>
          </w:p>
          <w:p>
            <w:pPr>
              <w:pStyle w:val="38"/>
              <w:rPr>
                <w:sz w:val="24"/>
                <w:szCs w:val="24"/>
              </w:rPr>
            </w:pPr>
            <w:r>
              <w:rPr>
                <w:sz w:val="24"/>
                <w:szCs w:val="24"/>
              </w:rPr>
              <w:t>（7）《建设项目环境保护管理条例》（2017年10月1号）。</w:t>
            </w:r>
          </w:p>
          <w:p>
            <w:pPr>
              <w:pStyle w:val="38"/>
              <w:rPr>
                <w:b/>
                <w:bCs/>
                <w:sz w:val="24"/>
                <w:szCs w:val="24"/>
              </w:rPr>
            </w:pPr>
            <w:r>
              <w:rPr>
                <w:b/>
                <w:bCs/>
                <w:sz w:val="24"/>
                <w:szCs w:val="24"/>
              </w:rPr>
              <w:t>2、建设项目竣工环境保护验收技术规范</w:t>
            </w:r>
          </w:p>
          <w:p>
            <w:pPr>
              <w:pStyle w:val="38"/>
              <w:rPr>
                <w:sz w:val="24"/>
                <w:szCs w:val="24"/>
              </w:rPr>
            </w:pPr>
            <w:r>
              <w:rPr>
                <w:sz w:val="24"/>
                <w:szCs w:val="24"/>
              </w:rPr>
              <w:t>（1）《建设项目竣工环境保护验收暂行办法》（国环规环评[2017]4号，2017年11月22日）；</w:t>
            </w:r>
          </w:p>
          <w:p>
            <w:pPr>
              <w:pStyle w:val="38"/>
              <w:rPr>
                <w:sz w:val="24"/>
                <w:szCs w:val="24"/>
              </w:rPr>
            </w:pPr>
            <w:r>
              <w:rPr>
                <w:sz w:val="24"/>
                <w:szCs w:val="24"/>
              </w:rPr>
              <w:t>（2）《建设项目竣工环境保护验收技术指南 污染影响类》（生态环境保护部公告2018年第9号，2018年5月15日）；</w:t>
            </w:r>
          </w:p>
          <w:p>
            <w:pPr>
              <w:pStyle w:val="38"/>
              <w:rPr>
                <w:sz w:val="24"/>
                <w:szCs w:val="24"/>
              </w:rPr>
            </w:pPr>
            <w:r>
              <w:rPr>
                <w:sz w:val="24"/>
                <w:szCs w:val="24"/>
              </w:rPr>
              <w:t>（3）《工业企业厂界环境噪声排放标准》（GB12348-2008）；</w:t>
            </w:r>
          </w:p>
          <w:p>
            <w:pPr>
              <w:pStyle w:val="38"/>
              <w:rPr>
                <w:sz w:val="24"/>
                <w:szCs w:val="24"/>
              </w:rPr>
            </w:pPr>
            <w:r>
              <w:rPr>
                <w:sz w:val="24"/>
                <w:szCs w:val="24"/>
              </w:rPr>
              <w:t>（4）《一般工业固体废物贮存和填埋污染控制标准》（GB18599-2020）。</w:t>
            </w:r>
          </w:p>
          <w:p>
            <w:pPr>
              <w:pStyle w:val="38"/>
              <w:rPr>
                <w:b/>
                <w:bCs/>
                <w:sz w:val="24"/>
                <w:szCs w:val="24"/>
              </w:rPr>
            </w:pPr>
            <w:r>
              <w:rPr>
                <w:b/>
                <w:bCs/>
                <w:sz w:val="24"/>
                <w:szCs w:val="24"/>
              </w:rPr>
              <w:t>3、建设项目环境影响报告书（表）及其审批部门审批决定</w:t>
            </w:r>
          </w:p>
          <w:p>
            <w:pPr>
              <w:pStyle w:val="38"/>
              <w:rPr>
                <w:sz w:val="24"/>
                <w:szCs w:val="24"/>
              </w:rPr>
            </w:pPr>
            <w:r>
              <w:rPr>
                <w:sz w:val="24"/>
                <w:szCs w:val="24"/>
              </w:rPr>
              <w:t>（1）</w:t>
            </w:r>
            <w:bookmarkStart w:id="2" w:name="_Hlk73374047"/>
            <w:r>
              <w:rPr>
                <w:sz w:val="24"/>
                <w:szCs w:val="24"/>
              </w:rPr>
              <w:t>《山西太钢不锈钢股份有限公司低参数余热利用项目及烟气余热回收改造工程环境影响报告表》</w:t>
            </w:r>
            <w:bookmarkEnd w:id="2"/>
            <w:r>
              <w:rPr>
                <w:sz w:val="24"/>
                <w:szCs w:val="24"/>
              </w:rPr>
              <w:t>（</w:t>
            </w:r>
            <w:bookmarkStart w:id="3" w:name="_Hlk73374033"/>
            <w:r>
              <w:rPr>
                <w:sz w:val="24"/>
                <w:szCs w:val="24"/>
              </w:rPr>
              <w:t>山西清泽阳光环保科技有限公司</w:t>
            </w:r>
            <w:bookmarkEnd w:id="3"/>
            <w:r>
              <w:rPr>
                <w:sz w:val="24"/>
                <w:szCs w:val="24"/>
              </w:rPr>
              <w:t>，2016年7月）；</w:t>
            </w:r>
          </w:p>
          <w:p>
            <w:pPr>
              <w:pStyle w:val="38"/>
              <w:rPr>
                <w:sz w:val="24"/>
                <w:szCs w:val="24"/>
              </w:rPr>
            </w:pPr>
            <w:r>
              <w:rPr>
                <w:sz w:val="24"/>
                <w:szCs w:val="24"/>
              </w:rPr>
              <w:t>（2）</w:t>
            </w:r>
            <w:bookmarkStart w:id="4" w:name="_Hlk73374173"/>
            <w:r>
              <w:rPr>
                <w:sz w:val="24"/>
                <w:szCs w:val="24"/>
              </w:rPr>
              <w:t>《山西太钢不锈钢股份有限公司低参数余热利用项目及烟气余热回收改造工程环境影响报告表的批复》（太原市环境保护局尖草坪分局 并环尖审批〔2016〕第33号）</w:t>
            </w:r>
            <w:bookmarkEnd w:id="4"/>
            <w:r>
              <w:rPr>
                <w:sz w:val="24"/>
                <w:szCs w:val="24"/>
              </w:rPr>
              <w:t>。</w:t>
            </w:r>
          </w:p>
          <w:p>
            <w:pPr>
              <w:pStyle w:val="38"/>
              <w:rPr>
                <w:b/>
                <w:bCs/>
                <w:sz w:val="24"/>
                <w:szCs w:val="24"/>
              </w:rPr>
            </w:pPr>
            <w:r>
              <w:rPr>
                <w:b/>
                <w:bCs/>
                <w:sz w:val="24"/>
                <w:szCs w:val="24"/>
              </w:rPr>
              <w:t>4、其他相关文件</w:t>
            </w:r>
          </w:p>
          <w:p>
            <w:pPr>
              <w:pStyle w:val="38"/>
              <w:rPr>
                <w:sz w:val="24"/>
                <w:szCs w:val="24"/>
              </w:rPr>
            </w:pPr>
            <w:r>
              <w:rPr>
                <w:sz w:val="24"/>
                <w:szCs w:val="24"/>
              </w:rPr>
              <w:t>（1）</w:t>
            </w:r>
            <w:bookmarkStart w:id="5" w:name="_Hlk73373941"/>
            <w:r>
              <w:rPr>
                <w:sz w:val="24"/>
                <w:szCs w:val="24"/>
              </w:rPr>
              <w:t>《关于山西太钢不锈钢股份有限公司低参数余热利用项目核准的批复》（山西省发展和改革委员会，晋发改新能源发</w:t>
            </w:r>
            <w:r>
              <w:rPr>
                <w:rFonts w:ascii="Cambria" w:hAnsi="Cambria" w:cs="Cambria"/>
                <w:sz w:val="24"/>
                <w:szCs w:val="24"/>
              </w:rPr>
              <w:t>⟮</w:t>
            </w:r>
            <w:r>
              <w:rPr>
                <w:sz w:val="24"/>
                <w:szCs w:val="24"/>
              </w:rPr>
              <w:t>2017</w:t>
            </w:r>
            <w:r>
              <w:rPr>
                <w:rFonts w:ascii="Cambria" w:hAnsi="Cambria" w:cs="Cambria"/>
                <w:sz w:val="24"/>
                <w:szCs w:val="24"/>
              </w:rPr>
              <w:t>⟯</w:t>
            </w:r>
            <w:r>
              <w:rPr>
                <w:sz w:val="24"/>
                <w:szCs w:val="24"/>
              </w:rPr>
              <w:t>145号，2017年3月8日）</w:t>
            </w:r>
            <w:bookmarkEnd w:id="5"/>
            <w:r>
              <w:rPr>
                <w:sz w:val="24"/>
                <w:szCs w:val="24"/>
              </w:rPr>
              <w:t>；</w:t>
            </w:r>
          </w:p>
          <w:p>
            <w:pPr>
              <w:pStyle w:val="38"/>
              <w:rPr>
                <w:sz w:val="24"/>
                <w:szCs w:val="24"/>
              </w:rPr>
            </w:pPr>
            <w:r>
              <w:rPr>
                <w:sz w:val="24"/>
                <w:szCs w:val="24"/>
              </w:rPr>
              <w:t>（2）《山西太钢不锈钢股份有限公司低参数余热利用项目竣工环境保护验收监测报告》（山西太钢环境监测有限公司，编号：太钢环境监测（气）2021﹝验﹞第0009号，2021年8月20日）。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928" w:type="dxa"/>
            <w:tcBorders>
              <w:top w:val="single" w:color="auto" w:sz="12" w:space="0"/>
              <w:left w:val="single" w:color="auto" w:sz="12" w:space="0"/>
              <w:bottom w:val="single" w:color="auto" w:sz="12" w:space="0"/>
              <w:right w:val="single" w:color="auto" w:sz="12" w:space="0"/>
            </w:tcBorders>
            <w:vAlign w:val="center"/>
          </w:tcPr>
          <w:p>
            <w:pPr>
              <w:pStyle w:val="38"/>
              <w:rPr>
                <w:sz w:val="24"/>
                <w:szCs w:val="24"/>
              </w:rPr>
            </w:pPr>
            <w:r>
              <w:rPr>
                <w:sz w:val="24"/>
                <w:szCs w:val="24"/>
              </w:rPr>
              <w:t>验收监测评价标准、标号、级别、限值</w:t>
            </w:r>
          </w:p>
        </w:tc>
        <w:tc>
          <w:tcPr>
            <w:tcW w:w="7460" w:type="dxa"/>
            <w:gridSpan w:val="5"/>
            <w:tcBorders>
              <w:top w:val="single" w:color="auto" w:sz="12" w:space="0"/>
              <w:left w:val="single" w:color="auto" w:sz="12" w:space="0"/>
              <w:bottom w:val="single" w:color="auto" w:sz="12" w:space="0"/>
              <w:right w:val="single" w:color="auto" w:sz="12" w:space="0"/>
            </w:tcBorders>
            <w:vAlign w:val="center"/>
          </w:tcPr>
          <w:p>
            <w:pPr>
              <w:pStyle w:val="38"/>
              <w:rPr>
                <w:b/>
                <w:bCs/>
                <w:sz w:val="24"/>
                <w:szCs w:val="24"/>
              </w:rPr>
            </w:pPr>
            <w:r>
              <w:rPr>
                <w:b/>
                <w:bCs/>
                <w:sz w:val="24"/>
                <w:szCs w:val="24"/>
              </w:rPr>
              <w:t>1、噪声</w:t>
            </w:r>
          </w:p>
          <w:p>
            <w:pPr>
              <w:pStyle w:val="38"/>
              <w:ind w:firstLine="480" w:firstLineChars="200"/>
              <w:rPr>
                <w:sz w:val="24"/>
                <w:szCs w:val="24"/>
              </w:rPr>
            </w:pPr>
            <w:r>
              <w:rPr>
                <w:sz w:val="24"/>
                <w:szCs w:val="24"/>
              </w:rPr>
              <w:t>厂界噪声执行《工业企业厂界环境噪声排放标准》（GB12348-2008）中的3类标准，昼间65dB（A），夜间55dB（A）。</w:t>
            </w:r>
          </w:p>
          <w:p>
            <w:pPr>
              <w:pStyle w:val="38"/>
              <w:rPr>
                <w:b/>
                <w:bCs/>
                <w:sz w:val="24"/>
                <w:szCs w:val="24"/>
              </w:rPr>
            </w:pPr>
            <w:r>
              <w:rPr>
                <w:b/>
                <w:bCs/>
                <w:sz w:val="24"/>
                <w:szCs w:val="24"/>
              </w:rPr>
              <w:t>2、固体废物</w:t>
            </w:r>
          </w:p>
          <w:p>
            <w:pPr>
              <w:pStyle w:val="38"/>
              <w:ind w:firstLine="480" w:firstLineChars="200"/>
              <w:rPr>
                <w:sz w:val="24"/>
                <w:szCs w:val="24"/>
              </w:rPr>
            </w:pPr>
            <w:r>
              <w:rPr>
                <w:sz w:val="24"/>
                <w:szCs w:val="24"/>
              </w:rPr>
              <w:t>本项目产生的固体废物主要为生活垃圾，执行《一般工业固体废物贮存和填埋污染控制标准》（GB18599-2020）的要求。</w:t>
            </w: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tc>
      </w:tr>
    </w:tbl>
    <w:p>
      <w:pPr>
        <w:pStyle w:val="4"/>
        <w:rPr>
          <w:rFonts w:ascii="Times New Roman" w:hAnsi="Times New Roman" w:cs="Times New Roman"/>
        </w:rPr>
      </w:pPr>
      <w:bookmarkStart w:id="6" w:name="_Toc86138241"/>
      <w:r>
        <w:rPr>
          <w:rFonts w:ascii="Times New Roman" w:hAnsi="Times New Roman" w:cs="Times New Roman"/>
        </w:rPr>
        <w:t>表二  项目建设情况</w:t>
      </w:r>
      <w:bookmarkEnd w:id="6"/>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932"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工程建设内容：</w:t>
            </w:r>
          </w:p>
          <w:p>
            <w:pPr>
              <w:pStyle w:val="38"/>
              <w:rPr>
                <w:b/>
                <w:bCs/>
                <w:sz w:val="24"/>
                <w:szCs w:val="24"/>
              </w:rPr>
            </w:pPr>
            <w:r>
              <w:rPr>
                <w:b/>
                <w:bCs/>
                <w:sz w:val="24"/>
                <w:szCs w:val="24"/>
              </w:rPr>
              <w:t>1、地理位置及平面布置</w:t>
            </w:r>
          </w:p>
          <w:p>
            <w:pPr>
              <w:pStyle w:val="38"/>
              <w:ind w:firstLine="480" w:firstLineChars="200"/>
              <w:rPr>
                <w:sz w:val="24"/>
                <w:szCs w:val="24"/>
              </w:rPr>
            </w:pPr>
            <w:bookmarkStart w:id="7" w:name="_Hlk62808924"/>
            <w:r>
              <w:rPr>
                <w:sz w:val="24"/>
                <w:szCs w:val="24"/>
              </w:rPr>
              <w:t>本项目新建2×30MW低参数发电机组位于太钢能源动力总厂现有2#机组东侧和5#、6#煤气炉的西侧之间、办公楼的南侧和空压机的北侧之间。项目中心地理坐标为北纬42°55'13.35"，东经125°32'25.71"。</w:t>
            </w:r>
          </w:p>
          <w:p>
            <w:pPr>
              <w:pStyle w:val="38"/>
              <w:ind w:firstLine="480" w:firstLineChars="200"/>
              <w:rPr>
                <w:sz w:val="24"/>
                <w:szCs w:val="24"/>
              </w:rPr>
            </w:pPr>
            <w:r>
              <w:rPr>
                <w:sz w:val="24"/>
                <w:szCs w:val="24"/>
              </w:rPr>
              <w:t>本项目建设位置图见附图一，项目总平面布置图见附图二。</w:t>
            </w:r>
          </w:p>
          <w:p>
            <w:pPr>
              <w:pStyle w:val="38"/>
              <w:rPr>
                <w:b/>
                <w:bCs/>
                <w:sz w:val="24"/>
                <w:szCs w:val="24"/>
              </w:rPr>
            </w:pPr>
            <w:r>
              <w:rPr>
                <w:b/>
                <w:bCs/>
                <w:sz w:val="24"/>
                <w:szCs w:val="24"/>
              </w:rPr>
              <w:t>2、建设规模</w:t>
            </w:r>
          </w:p>
          <w:p>
            <w:pPr>
              <w:pStyle w:val="38"/>
              <w:ind w:firstLine="480" w:firstLineChars="200"/>
              <w:rPr>
                <w:sz w:val="24"/>
                <w:szCs w:val="24"/>
              </w:rPr>
            </w:pPr>
            <w:r>
              <w:rPr>
                <w:sz w:val="24"/>
                <w:szCs w:val="24"/>
              </w:rPr>
              <w:t>本项目为在太钢能源动力总厂新建2×30MW的低参数发电机组，包括工艺系统、控制系统、电气系统、主厂房等。项目实施后，年发电量2.3亿KWh，年供电量2.219亿KWh</w:t>
            </w:r>
            <w:bookmarkEnd w:id="7"/>
            <w:r>
              <w:rPr>
                <w:sz w:val="24"/>
                <w:szCs w:val="24"/>
              </w:rPr>
              <w:t>。</w:t>
            </w:r>
          </w:p>
          <w:p>
            <w:pPr>
              <w:pStyle w:val="38"/>
              <w:rPr>
                <w:b/>
                <w:bCs/>
                <w:sz w:val="24"/>
                <w:szCs w:val="24"/>
              </w:rPr>
            </w:pPr>
            <w:r>
              <w:rPr>
                <w:b/>
                <w:bCs/>
                <w:sz w:val="24"/>
                <w:szCs w:val="24"/>
              </w:rPr>
              <w:t>3、工作制度及劳动定员</w:t>
            </w:r>
          </w:p>
          <w:p>
            <w:pPr>
              <w:pStyle w:val="38"/>
              <w:ind w:firstLine="480" w:firstLineChars="200"/>
              <w:rPr>
                <w:sz w:val="24"/>
                <w:szCs w:val="24"/>
              </w:rPr>
            </w:pPr>
            <w:bookmarkStart w:id="8" w:name="_Hlk66257632"/>
            <w:r>
              <w:rPr>
                <w:sz w:val="24"/>
                <w:szCs w:val="24"/>
              </w:rPr>
              <w:t>本项目2×30MW低参数发电机组每年4月-10月运行，运行天数214天。新增定员20人，采用四班三运转工作制。</w:t>
            </w:r>
          </w:p>
          <w:bookmarkEnd w:id="8"/>
          <w:p>
            <w:pPr>
              <w:pStyle w:val="38"/>
              <w:rPr>
                <w:b/>
                <w:bCs/>
                <w:sz w:val="24"/>
                <w:szCs w:val="24"/>
              </w:rPr>
            </w:pPr>
            <w:r>
              <w:rPr>
                <w:b/>
                <w:bCs/>
                <w:sz w:val="24"/>
                <w:szCs w:val="24"/>
              </w:rPr>
              <w:t>4、主要建设内容</w:t>
            </w:r>
          </w:p>
          <w:p>
            <w:pPr>
              <w:pStyle w:val="38"/>
              <w:ind w:firstLine="480" w:firstLineChars="200"/>
              <w:rPr>
                <w:sz w:val="24"/>
                <w:szCs w:val="24"/>
              </w:rPr>
            </w:pPr>
            <w:r>
              <w:rPr>
                <w:sz w:val="24"/>
                <w:szCs w:val="24"/>
              </w:rPr>
              <w:t>本项目主要建设内容为2×30MW低参数发电机组及配套的供水、供电等公用工程。</w:t>
            </w:r>
          </w:p>
          <w:p>
            <w:pPr>
              <w:pStyle w:val="38"/>
              <w:jc w:val="center"/>
              <w:rPr>
                <w:sz w:val="24"/>
                <w:szCs w:val="24"/>
              </w:rPr>
            </w:pPr>
            <w:r>
              <w:rPr>
                <w:sz w:val="24"/>
                <w:szCs w:val="24"/>
              </w:rPr>
              <w:t>表1  主要建设内容一览表</w:t>
            </w:r>
          </w:p>
          <w:tbl>
            <w:tblPr>
              <w:tblStyle w:val="27"/>
              <w:tblW w:w="8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98"/>
              <w:gridCol w:w="426"/>
              <w:gridCol w:w="938"/>
              <w:gridCol w:w="2842"/>
              <w:gridCol w:w="2842"/>
              <w:gridCol w:w="1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62" w:type="dxa"/>
                  <w:gridSpan w:val="3"/>
                  <w:vAlign w:val="center"/>
                </w:tcPr>
                <w:p>
                  <w:pPr>
                    <w:spacing w:line="276" w:lineRule="auto"/>
                    <w:jc w:val="center"/>
                    <w:outlineLvl w:val="2"/>
                    <w:rPr>
                      <w:rFonts w:ascii="Times New Roman" w:hAnsi="Times New Roman" w:cs="Times New Roman"/>
                      <w:b/>
                      <w:bCs/>
                    </w:rPr>
                  </w:pPr>
                  <w:bookmarkStart w:id="9" w:name="_Toc86138242"/>
                  <w:r>
                    <w:rPr>
                      <w:rFonts w:ascii="Times New Roman" w:hAnsi="Times New Roman" w:cs="Times New Roman"/>
                      <w:b/>
                      <w:bCs/>
                    </w:rPr>
                    <w:t>建设单元</w:t>
                  </w:r>
                  <w:bookmarkEnd w:id="9"/>
                </w:p>
              </w:tc>
              <w:tc>
                <w:tcPr>
                  <w:tcW w:w="2842" w:type="dxa"/>
                  <w:vAlign w:val="center"/>
                </w:tcPr>
                <w:p>
                  <w:pPr>
                    <w:spacing w:line="276" w:lineRule="auto"/>
                    <w:jc w:val="center"/>
                    <w:outlineLvl w:val="2"/>
                    <w:rPr>
                      <w:rFonts w:ascii="Times New Roman" w:hAnsi="Times New Roman" w:cs="Times New Roman"/>
                      <w:b/>
                      <w:bCs/>
                    </w:rPr>
                  </w:pPr>
                  <w:bookmarkStart w:id="10" w:name="_Toc86138243"/>
                  <w:r>
                    <w:rPr>
                      <w:rFonts w:ascii="Times New Roman" w:hAnsi="Times New Roman" w:cs="Times New Roman"/>
                      <w:b/>
                      <w:bCs/>
                    </w:rPr>
                    <w:t>环评建设内容</w:t>
                  </w:r>
                  <w:bookmarkEnd w:id="10"/>
                </w:p>
              </w:tc>
              <w:tc>
                <w:tcPr>
                  <w:tcW w:w="2842" w:type="dxa"/>
                  <w:vAlign w:val="center"/>
                </w:tcPr>
                <w:p>
                  <w:pPr>
                    <w:spacing w:line="276" w:lineRule="auto"/>
                    <w:jc w:val="center"/>
                    <w:outlineLvl w:val="2"/>
                    <w:rPr>
                      <w:rFonts w:ascii="Times New Roman" w:hAnsi="Times New Roman" w:cs="Times New Roman"/>
                      <w:b/>
                      <w:bCs/>
                    </w:rPr>
                  </w:pPr>
                  <w:bookmarkStart w:id="11" w:name="_Toc86138244"/>
                  <w:r>
                    <w:rPr>
                      <w:rFonts w:ascii="Times New Roman" w:hAnsi="Times New Roman" w:cs="Times New Roman"/>
                      <w:b/>
                      <w:bCs/>
                    </w:rPr>
                    <w:t>实际建设内容</w:t>
                  </w:r>
                  <w:bookmarkEnd w:id="11"/>
                </w:p>
              </w:tc>
              <w:tc>
                <w:tcPr>
                  <w:tcW w:w="1135" w:type="dxa"/>
                  <w:vAlign w:val="center"/>
                </w:tcPr>
                <w:p>
                  <w:pPr>
                    <w:spacing w:line="276" w:lineRule="auto"/>
                    <w:jc w:val="center"/>
                    <w:outlineLvl w:val="2"/>
                    <w:rPr>
                      <w:rFonts w:ascii="Times New Roman" w:hAnsi="Times New Roman" w:cs="Times New Roman"/>
                      <w:b/>
                      <w:bCs/>
                    </w:rPr>
                  </w:pPr>
                  <w:bookmarkStart w:id="12" w:name="_Toc86138245"/>
                  <w:r>
                    <w:rPr>
                      <w:rFonts w:ascii="Times New Roman" w:hAnsi="Times New Roman" w:cs="Times New Roman"/>
                      <w:b/>
                      <w:bCs/>
                    </w:rPr>
                    <w:t>与环评一致性说明</w:t>
                  </w:r>
                  <w:bookmarkEnd w:id="1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Align w:val="center"/>
                </w:tcPr>
                <w:p>
                  <w:pPr>
                    <w:spacing w:line="276" w:lineRule="auto"/>
                    <w:jc w:val="center"/>
                    <w:outlineLvl w:val="2"/>
                    <w:rPr>
                      <w:rFonts w:ascii="Times New Roman" w:hAnsi="Times New Roman" w:cs="Times New Roman"/>
                      <w:lang w:bidi="en-US"/>
                    </w:rPr>
                  </w:pPr>
                  <w:bookmarkStart w:id="13" w:name="_Toc86138246"/>
                  <w:r>
                    <w:rPr>
                      <w:rFonts w:ascii="Times New Roman" w:hAnsi="Times New Roman" w:cs="Times New Roman"/>
                      <w:lang w:bidi="en-US"/>
                    </w:rPr>
                    <w:t>主体</w:t>
                  </w:r>
                  <w:bookmarkEnd w:id="13"/>
                </w:p>
                <w:p>
                  <w:pPr>
                    <w:spacing w:line="276" w:lineRule="auto"/>
                    <w:jc w:val="center"/>
                    <w:outlineLvl w:val="2"/>
                    <w:rPr>
                      <w:rFonts w:ascii="Times New Roman" w:hAnsi="Times New Roman" w:cs="Times New Roman"/>
                      <w:lang w:bidi="en-US"/>
                    </w:rPr>
                  </w:pPr>
                  <w:bookmarkStart w:id="14" w:name="_Toc86138247"/>
                  <w:r>
                    <w:rPr>
                      <w:rFonts w:ascii="Times New Roman" w:hAnsi="Times New Roman" w:cs="Times New Roman"/>
                      <w:lang w:bidi="en-US"/>
                    </w:rPr>
                    <w:t>工程</w:t>
                  </w:r>
                  <w:bookmarkEnd w:id="14"/>
                </w:p>
              </w:tc>
              <w:tc>
                <w:tcPr>
                  <w:tcW w:w="1364" w:type="dxa"/>
                  <w:gridSpan w:val="2"/>
                  <w:vAlign w:val="center"/>
                </w:tcPr>
                <w:p>
                  <w:pPr>
                    <w:spacing w:line="276" w:lineRule="auto"/>
                    <w:jc w:val="center"/>
                    <w:outlineLvl w:val="2"/>
                    <w:rPr>
                      <w:rFonts w:ascii="Times New Roman" w:hAnsi="Times New Roman" w:cs="Times New Roman"/>
                    </w:rPr>
                  </w:pPr>
                  <w:bookmarkStart w:id="15" w:name="_Toc86138248"/>
                  <w:r>
                    <w:rPr>
                      <w:rFonts w:ascii="Times New Roman" w:hAnsi="Times New Roman" w:cs="Times New Roman"/>
                      <w:lang w:bidi="en-US"/>
                    </w:rPr>
                    <w:t>2×30MW低参数余热发电机组</w:t>
                  </w:r>
                  <w:bookmarkEnd w:id="15"/>
                </w:p>
              </w:tc>
              <w:tc>
                <w:tcPr>
                  <w:tcW w:w="2842" w:type="dxa"/>
                  <w:vAlign w:val="center"/>
                </w:tcPr>
                <w:p>
                  <w:pPr>
                    <w:autoSpaceDE w:val="0"/>
                    <w:autoSpaceDN w:val="0"/>
                    <w:spacing w:line="276" w:lineRule="auto"/>
                    <w:jc w:val="both"/>
                    <w:rPr>
                      <w:rFonts w:ascii="Times New Roman" w:hAnsi="Times New Roman" w:cs="Times New Roman"/>
                    </w:rPr>
                  </w:pPr>
                  <w:r>
                    <w:rPr>
                      <w:rFonts w:ascii="Times New Roman" w:hAnsi="Times New Roman" w:cs="Times New Roman"/>
                    </w:rPr>
                    <w:t>建设两台30MW空冷纯凝汽机组，充分发挥现有低压蒸汽富裕能力，使富余低压蒸汽最大限度高效发挥其能力。</w:t>
                  </w:r>
                </w:p>
              </w:tc>
              <w:tc>
                <w:tcPr>
                  <w:tcW w:w="2842" w:type="dxa"/>
                  <w:vAlign w:val="center"/>
                </w:tcPr>
                <w:p>
                  <w:pPr>
                    <w:spacing w:line="276" w:lineRule="auto"/>
                    <w:jc w:val="both"/>
                    <w:outlineLvl w:val="2"/>
                    <w:rPr>
                      <w:rFonts w:ascii="Times New Roman" w:hAnsi="Times New Roman" w:cs="Times New Roman"/>
                    </w:rPr>
                  </w:pPr>
                  <w:bookmarkStart w:id="16" w:name="_Toc86138249"/>
                  <w:r>
                    <w:rPr>
                      <w:rFonts w:ascii="Times New Roman" w:hAnsi="Times New Roman" w:cs="Times New Roman"/>
                    </w:rPr>
                    <w:t>建设两台30MW空冷纯凝汽机组</w:t>
                  </w:r>
                  <w:bookmarkEnd w:id="16"/>
                </w:p>
              </w:tc>
              <w:tc>
                <w:tcPr>
                  <w:tcW w:w="1135" w:type="dxa"/>
                  <w:vAlign w:val="center"/>
                </w:tcPr>
                <w:p>
                  <w:pPr>
                    <w:spacing w:line="276" w:lineRule="auto"/>
                    <w:jc w:val="center"/>
                    <w:outlineLvl w:val="2"/>
                    <w:rPr>
                      <w:rFonts w:ascii="Times New Roman" w:hAnsi="Times New Roman" w:cs="Times New Roman"/>
                    </w:rPr>
                  </w:pPr>
                  <w:bookmarkStart w:id="17" w:name="_Toc86138250"/>
                  <w:r>
                    <w:rPr>
                      <w:rFonts w:ascii="Times New Roman" w:hAnsi="Times New Roman" w:cs="Times New Roman"/>
                    </w:rPr>
                    <w:t>一致</w:t>
                  </w:r>
                  <w:bookmarkEnd w:id="1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restart"/>
                  <w:vAlign w:val="center"/>
                </w:tcPr>
                <w:p>
                  <w:pPr>
                    <w:spacing w:line="276" w:lineRule="auto"/>
                    <w:jc w:val="center"/>
                    <w:outlineLvl w:val="2"/>
                    <w:rPr>
                      <w:rFonts w:ascii="Times New Roman" w:hAnsi="Times New Roman" w:cs="Times New Roman"/>
                      <w:lang w:bidi="en-US"/>
                    </w:rPr>
                  </w:pPr>
                  <w:bookmarkStart w:id="18" w:name="_Toc86138251"/>
                  <w:r>
                    <w:rPr>
                      <w:rFonts w:ascii="Times New Roman" w:hAnsi="Times New Roman" w:cs="Times New Roman"/>
                      <w:lang w:bidi="en-US"/>
                    </w:rPr>
                    <w:t>辅助工程</w:t>
                  </w:r>
                  <w:bookmarkEnd w:id="18"/>
                </w:p>
              </w:tc>
              <w:tc>
                <w:tcPr>
                  <w:tcW w:w="1364" w:type="dxa"/>
                  <w:gridSpan w:val="2"/>
                  <w:vAlign w:val="center"/>
                </w:tcPr>
                <w:p>
                  <w:pPr>
                    <w:spacing w:line="276" w:lineRule="auto"/>
                    <w:jc w:val="center"/>
                    <w:outlineLvl w:val="2"/>
                    <w:rPr>
                      <w:rFonts w:ascii="Times New Roman" w:hAnsi="Times New Roman" w:cs="Times New Roman"/>
                    </w:rPr>
                  </w:pPr>
                  <w:bookmarkStart w:id="19" w:name="_Toc86138252"/>
                  <w:r>
                    <w:rPr>
                      <w:rFonts w:ascii="Times New Roman" w:hAnsi="Times New Roman" w:cs="Times New Roman"/>
                    </w:rPr>
                    <w:t>控制系统</w:t>
                  </w:r>
                  <w:bookmarkEnd w:id="19"/>
                </w:p>
              </w:tc>
              <w:tc>
                <w:tcPr>
                  <w:tcW w:w="2842" w:type="dxa"/>
                  <w:vAlign w:val="center"/>
                </w:tcPr>
                <w:p>
                  <w:pPr>
                    <w:autoSpaceDE w:val="0"/>
                    <w:autoSpaceDN w:val="0"/>
                    <w:spacing w:line="276" w:lineRule="auto"/>
                    <w:jc w:val="both"/>
                    <w:rPr>
                      <w:rFonts w:ascii="Times New Roman" w:hAnsi="Times New Roman" w:cs="Times New Roman"/>
                    </w:rPr>
                  </w:pPr>
                  <w:r>
                    <w:rPr>
                      <w:rFonts w:ascii="Times New Roman" w:hAnsi="Times New Roman" w:cs="Times New Roman"/>
                    </w:rPr>
                    <w:t>PLC控制系统采用S7-300，实现系统工艺逻辑控制，完成数据采集、报警状态的显示与设定，电动阀门及泵的远程控制等相关操作。上位机放在中控室，主要完成远程集中操作和监控、实时数据的显示、历史数据查询和报表打印等功能。</w:t>
                  </w:r>
                </w:p>
              </w:tc>
              <w:tc>
                <w:tcPr>
                  <w:tcW w:w="2842" w:type="dxa"/>
                  <w:vAlign w:val="center"/>
                </w:tcPr>
                <w:p>
                  <w:pPr>
                    <w:spacing w:line="276" w:lineRule="auto"/>
                    <w:jc w:val="both"/>
                    <w:outlineLvl w:val="2"/>
                    <w:rPr>
                      <w:rFonts w:ascii="Times New Roman" w:hAnsi="Times New Roman" w:cs="Times New Roman"/>
                    </w:rPr>
                  </w:pPr>
                  <w:bookmarkStart w:id="20" w:name="_Toc86138253"/>
                  <w:r>
                    <w:rPr>
                      <w:rFonts w:ascii="Times New Roman" w:hAnsi="Times New Roman" w:cs="Times New Roman"/>
                    </w:rPr>
                    <w:t>PLC控制系统采用S7-300，实现系统工艺逻辑控制，完成数据采集、报警状态的显示与设定，电动阀门及泵的远程控制等相关操作。上位机放在中控室，主要完成远程集中操作和监控、实时数据的显示、历史数据查询和报表打印等功能。</w:t>
                  </w:r>
                  <w:bookmarkEnd w:id="20"/>
                </w:p>
              </w:tc>
              <w:tc>
                <w:tcPr>
                  <w:tcW w:w="1135" w:type="dxa"/>
                  <w:vAlign w:val="center"/>
                </w:tcPr>
                <w:p>
                  <w:pPr>
                    <w:spacing w:line="276" w:lineRule="auto"/>
                    <w:jc w:val="center"/>
                    <w:outlineLvl w:val="2"/>
                    <w:rPr>
                      <w:rFonts w:ascii="Times New Roman" w:hAnsi="Times New Roman" w:cs="Times New Roman"/>
                    </w:rPr>
                  </w:pPr>
                  <w:bookmarkStart w:id="21" w:name="_Toc86138254"/>
                  <w:r>
                    <w:rPr>
                      <w:rFonts w:ascii="Times New Roman" w:hAnsi="Times New Roman" w:cs="Times New Roman"/>
                    </w:rPr>
                    <w:t>一致</w:t>
                  </w:r>
                  <w:bookmarkEnd w:id="2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continue"/>
                  <w:vAlign w:val="center"/>
                </w:tcPr>
                <w:p>
                  <w:pPr>
                    <w:spacing w:line="276" w:lineRule="auto"/>
                    <w:jc w:val="center"/>
                    <w:outlineLvl w:val="2"/>
                    <w:rPr>
                      <w:rFonts w:ascii="Times New Roman" w:hAnsi="Times New Roman" w:cs="Times New Roman"/>
                    </w:rPr>
                  </w:pPr>
                </w:p>
              </w:tc>
              <w:tc>
                <w:tcPr>
                  <w:tcW w:w="1364" w:type="dxa"/>
                  <w:gridSpan w:val="2"/>
                  <w:vAlign w:val="center"/>
                </w:tcPr>
                <w:p>
                  <w:pPr>
                    <w:spacing w:line="276" w:lineRule="auto"/>
                    <w:jc w:val="center"/>
                    <w:outlineLvl w:val="2"/>
                    <w:rPr>
                      <w:rFonts w:ascii="Times New Roman" w:hAnsi="Times New Roman" w:cs="Times New Roman"/>
                    </w:rPr>
                  </w:pPr>
                  <w:bookmarkStart w:id="22" w:name="_Toc86138255"/>
                  <w:r>
                    <w:rPr>
                      <w:rFonts w:ascii="Times New Roman" w:hAnsi="Times New Roman" w:cs="Times New Roman"/>
                    </w:rPr>
                    <w:t>办公</w:t>
                  </w:r>
                  <w:bookmarkEnd w:id="22"/>
                </w:p>
              </w:tc>
              <w:tc>
                <w:tcPr>
                  <w:tcW w:w="2842" w:type="dxa"/>
                  <w:vAlign w:val="center"/>
                </w:tcPr>
                <w:p>
                  <w:pPr>
                    <w:autoSpaceDE w:val="0"/>
                    <w:autoSpaceDN w:val="0"/>
                    <w:spacing w:line="276" w:lineRule="auto"/>
                    <w:jc w:val="both"/>
                    <w:rPr>
                      <w:rFonts w:ascii="Times New Roman" w:hAnsi="Times New Roman" w:cs="Times New Roman"/>
                    </w:rPr>
                  </w:pPr>
                  <w:r>
                    <w:rPr>
                      <w:rFonts w:ascii="Times New Roman" w:hAnsi="Times New Roman" w:cs="Times New Roman"/>
                    </w:rPr>
                    <w:t>办公场所依托太钢能源动力厂现有办公楼。</w:t>
                  </w:r>
                </w:p>
              </w:tc>
              <w:tc>
                <w:tcPr>
                  <w:tcW w:w="2842" w:type="dxa"/>
                  <w:vAlign w:val="center"/>
                </w:tcPr>
                <w:p>
                  <w:pPr>
                    <w:spacing w:line="276" w:lineRule="auto"/>
                    <w:jc w:val="both"/>
                    <w:outlineLvl w:val="2"/>
                    <w:rPr>
                      <w:rFonts w:ascii="Times New Roman" w:hAnsi="Times New Roman" w:cs="Times New Roman"/>
                    </w:rPr>
                  </w:pPr>
                  <w:bookmarkStart w:id="23" w:name="_Toc86138256"/>
                  <w:r>
                    <w:rPr>
                      <w:rFonts w:ascii="Times New Roman" w:hAnsi="Times New Roman" w:cs="Times New Roman"/>
                    </w:rPr>
                    <w:t>办公场所依托太钢能源动力厂现有办公楼。</w:t>
                  </w:r>
                  <w:bookmarkEnd w:id="23"/>
                </w:p>
              </w:tc>
              <w:tc>
                <w:tcPr>
                  <w:tcW w:w="1135" w:type="dxa"/>
                  <w:vAlign w:val="center"/>
                </w:tcPr>
                <w:p>
                  <w:pPr>
                    <w:spacing w:line="276" w:lineRule="auto"/>
                    <w:jc w:val="center"/>
                    <w:outlineLvl w:val="2"/>
                    <w:rPr>
                      <w:rFonts w:ascii="Times New Roman" w:hAnsi="Times New Roman" w:cs="Times New Roman"/>
                    </w:rPr>
                  </w:pPr>
                  <w:bookmarkStart w:id="24" w:name="_Toc86138257"/>
                  <w:r>
                    <w:rPr>
                      <w:rFonts w:ascii="Times New Roman" w:hAnsi="Times New Roman" w:cs="Times New Roman"/>
                    </w:rPr>
                    <w:t>一致</w:t>
                  </w:r>
                  <w:bookmarkEnd w:id="2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restart"/>
                  <w:vAlign w:val="center"/>
                </w:tcPr>
                <w:p>
                  <w:pPr>
                    <w:spacing w:line="276" w:lineRule="auto"/>
                    <w:jc w:val="center"/>
                    <w:outlineLvl w:val="2"/>
                    <w:rPr>
                      <w:rFonts w:ascii="Times New Roman" w:hAnsi="Times New Roman" w:cs="Times New Roman"/>
                      <w:lang w:bidi="en-US"/>
                    </w:rPr>
                  </w:pPr>
                  <w:bookmarkStart w:id="25" w:name="_Toc86138258"/>
                  <w:r>
                    <w:rPr>
                      <w:rFonts w:ascii="Times New Roman" w:hAnsi="Times New Roman" w:cs="Times New Roman"/>
                      <w:lang w:bidi="en-US"/>
                    </w:rPr>
                    <w:t>环保</w:t>
                  </w:r>
                  <w:bookmarkEnd w:id="25"/>
                </w:p>
                <w:p>
                  <w:pPr>
                    <w:spacing w:line="276" w:lineRule="auto"/>
                    <w:jc w:val="center"/>
                    <w:outlineLvl w:val="2"/>
                    <w:rPr>
                      <w:rFonts w:ascii="Times New Roman" w:hAnsi="Times New Roman" w:cs="Times New Roman"/>
                      <w:lang w:bidi="en-US"/>
                    </w:rPr>
                  </w:pPr>
                  <w:bookmarkStart w:id="26" w:name="_Toc86138259"/>
                  <w:r>
                    <w:rPr>
                      <w:rFonts w:ascii="Times New Roman" w:hAnsi="Times New Roman" w:cs="Times New Roman"/>
                      <w:lang w:bidi="en-US"/>
                    </w:rPr>
                    <w:t>工程</w:t>
                  </w:r>
                  <w:bookmarkEnd w:id="26"/>
                </w:p>
              </w:tc>
              <w:tc>
                <w:tcPr>
                  <w:tcW w:w="426" w:type="dxa"/>
                  <w:vMerge w:val="restart"/>
                  <w:vAlign w:val="center"/>
                </w:tcPr>
                <w:p>
                  <w:pPr>
                    <w:spacing w:line="276" w:lineRule="auto"/>
                    <w:jc w:val="center"/>
                    <w:outlineLvl w:val="2"/>
                    <w:rPr>
                      <w:rFonts w:ascii="Times New Roman" w:hAnsi="Times New Roman" w:cs="Times New Roman"/>
                    </w:rPr>
                  </w:pPr>
                  <w:bookmarkStart w:id="27" w:name="_Toc86138260"/>
                  <w:r>
                    <w:rPr>
                      <w:rFonts w:ascii="Times New Roman" w:hAnsi="Times New Roman" w:cs="Times New Roman"/>
                    </w:rPr>
                    <w:t>废水</w:t>
                  </w:r>
                  <w:bookmarkEnd w:id="27"/>
                </w:p>
              </w:tc>
              <w:tc>
                <w:tcPr>
                  <w:tcW w:w="938" w:type="dxa"/>
                  <w:vAlign w:val="center"/>
                </w:tcPr>
                <w:p>
                  <w:pPr>
                    <w:spacing w:line="276" w:lineRule="auto"/>
                    <w:jc w:val="center"/>
                    <w:outlineLvl w:val="2"/>
                    <w:rPr>
                      <w:rFonts w:ascii="Times New Roman" w:hAnsi="Times New Roman" w:cs="Times New Roman"/>
                    </w:rPr>
                  </w:pPr>
                  <w:bookmarkStart w:id="28" w:name="_Toc86138261"/>
                  <w:r>
                    <w:rPr>
                      <w:rFonts w:ascii="Times New Roman" w:hAnsi="Times New Roman" w:cs="Times New Roman"/>
                    </w:rPr>
                    <w:t>汽轮机凝结水</w:t>
                  </w:r>
                  <w:bookmarkEnd w:id="28"/>
                </w:p>
              </w:tc>
              <w:tc>
                <w:tcPr>
                  <w:tcW w:w="2842" w:type="dxa"/>
                  <w:vAlign w:val="center"/>
                </w:tcPr>
                <w:p>
                  <w:pPr>
                    <w:autoSpaceDE w:val="0"/>
                    <w:autoSpaceDN w:val="0"/>
                    <w:spacing w:line="276" w:lineRule="auto"/>
                    <w:jc w:val="both"/>
                    <w:rPr>
                      <w:rFonts w:ascii="Times New Roman" w:hAnsi="Times New Roman" w:cs="Times New Roman"/>
                      <w:lang w:bidi="en-US"/>
                    </w:rPr>
                  </w:pPr>
                  <w:r>
                    <w:rPr>
                      <w:rFonts w:ascii="Times New Roman" w:hAnsi="Times New Roman" w:cs="Times New Roman"/>
                      <w:lang w:bidi="en-US"/>
                    </w:rPr>
                    <w:t>从汽轮机凝结水全部收集于下部凝结水箱经凝结泵送入现有凝结水处理装置循环利用，不外排。</w:t>
                  </w:r>
                </w:p>
              </w:tc>
              <w:tc>
                <w:tcPr>
                  <w:tcW w:w="2842" w:type="dxa"/>
                  <w:vAlign w:val="center"/>
                </w:tcPr>
                <w:p>
                  <w:pPr>
                    <w:autoSpaceDE w:val="0"/>
                    <w:autoSpaceDN w:val="0"/>
                    <w:spacing w:line="276" w:lineRule="auto"/>
                    <w:jc w:val="both"/>
                    <w:rPr>
                      <w:rFonts w:ascii="Times New Roman" w:hAnsi="Times New Roman" w:cs="Times New Roman"/>
                    </w:rPr>
                  </w:pPr>
                  <w:r>
                    <w:rPr>
                      <w:rFonts w:ascii="Times New Roman" w:hAnsi="Times New Roman" w:cs="Times New Roman"/>
                      <w:lang w:bidi="en-US"/>
                    </w:rPr>
                    <w:t>从汽轮机凝结水全部收集于下部凝结水箱经凝结泵送入现有凝结水处理装置循环利用，不外排。</w:t>
                  </w:r>
                </w:p>
              </w:tc>
              <w:tc>
                <w:tcPr>
                  <w:tcW w:w="1135"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continue"/>
                  <w:vAlign w:val="center"/>
                </w:tcPr>
                <w:p>
                  <w:pPr>
                    <w:spacing w:line="276" w:lineRule="auto"/>
                    <w:jc w:val="center"/>
                    <w:outlineLvl w:val="2"/>
                    <w:rPr>
                      <w:rFonts w:ascii="Times New Roman" w:hAnsi="Times New Roman" w:cs="Times New Roman"/>
                    </w:rPr>
                  </w:pPr>
                </w:p>
              </w:tc>
              <w:tc>
                <w:tcPr>
                  <w:tcW w:w="426" w:type="dxa"/>
                  <w:vMerge w:val="continue"/>
                  <w:vAlign w:val="center"/>
                </w:tcPr>
                <w:p>
                  <w:pPr>
                    <w:spacing w:line="276" w:lineRule="auto"/>
                    <w:jc w:val="center"/>
                    <w:outlineLvl w:val="2"/>
                    <w:rPr>
                      <w:rFonts w:ascii="Times New Roman" w:hAnsi="Times New Roman" w:cs="Times New Roman"/>
                    </w:rPr>
                  </w:pPr>
                </w:p>
              </w:tc>
              <w:tc>
                <w:tcPr>
                  <w:tcW w:w="938" w:type="dxa"/>
                  <w:vAlign w:val="center"/>
                </w:tcPr>
                <w:p>
                  <w:pPr>
                    <w:spacing w:line="276" w:lineRule="auto"/>
                    <w:jc w:val="center"/>
                    <w:outlineLvl w:val="2"/>
                    <w:rPr>
                      <w:rFonts w:ascii="Times New Roman" w:hAnsi="Times New Roman" w:cs="Times New Roman"/>
                    </w:rPr>
                  </w:pPr>
                  <w:bookmarkStart w:id="29" w:name="_Toc86138262"/>
                  <w:r>
                    <w:rPr>
                      <w:rFonts w:ascii="Times New Roman" w:hAnsi="Times New Roman" w:cs="Times New Roman"/>
                    </w:rPr>
                    <w:t>生活污水</w:t>
                  </w:r>
                  <w:bookmarkEnd w:id="29"/>
                </w:p>
              </w:tc>
              <w:tc>
                <w:tcPr>
                  <w:tcW w:w="2842" w:type="dxa"/>
                  <w:vAlign w:val="center"/>
                </w:tcPr>
                <w:p>
                  <w:pPr>
                    <w:spacing w:line="276" w:lineRule="auto"/>
                    <w:jc w:val="both"/>
                    <w:outlineLvl w:val="2"/>
                    <w:rPr>
                      <w:rFonts w:ascii="Times New Roman" w:hAnsi="Times New Roman" w:cs="Times New Roman"/>
                    </w:rPr>
                  </w:pPr>
                  <w:bookmarkStart w:id="30" w:name="_Toc86138263"/>
                  <w:r>
                    <w:rPr>
                      <w:rFonts w:ascii="Times New Roman" w:hAnsi="Times New Roman" w:cs="Times New Roman"/>
                    </w:rPr>
                    <w:t>依托太钢厂区现有生活污水排水管网，最终进入太钢赵庄污水处理厂处理后回用，不外排。</w:t>
                  </w:r>
                  <w:bookmarkEnd w:id="30"/>
                </w:p>
              </w:tc>
              <w:tc>
                <w:tcPr>
                  <w:tcW w:w="2842" w:type="dxa"/>
                  <w:vAlign w:val="center"/>
                </w:tcPr>
                <w:p>
                  <w:pPr>
                    <w:spacing w:line="276" w:lineRule="auto"/>
                    <w:jc w:val="both"/>
                    <w:outlineLvl w:val="2"/>
                    <w:rPr>
                      <w:rFonts w:ascii="Times New Roman" w:hAnsi="Times New Roman" w:cs="Times New Roman"/>
                    </w:rPr>
                  </w:pPr>
                  <w:bookmarkStart w:id="31" w:name="_Toc86138264"/>
                  <w:r>
                    <w:rPr>
                      <w:rFonts w:ascii="Times New Roman" w:hAnsi="Times New Roman" w:cs="Times New Roman"/>
                    </w:rPr>
                    <w:t>依托太钢厂区现有生活污水排水管网，最终进入太钢赵庄污水处理厂处理后回用，不外排。</w:t>
                  </w:r>
                  <w:bookmarkEnd w:id="31"/>
                </w:p>
              </w:tc>
              <w:tc>
                <w:tcPr>
                  <w:tcW w:w="1135" w:type="dxa"/>
                  <w:vAlign w:val="center"/>
                </w:tcPr>
                <w:p>
                  <w:pPr>
                    <w:spacing w:line="276" w:lineRule="auto"/>
                    <w:jc w:val="center"/>
                    <w:outlineLvl w:val="2"/>
                    <w:rPr>
                      <w:rFonts w:ascii="Times New Roman" w:hAnsi="Times New Roman" w:cs="Times New Roman"/>
                    </w:rPr>
                  </w:pPr>
                  <w:bookmarkStart w:id="32" w:name="_Toc86138265"/>
                  <w:r>
                    <w:rPr>
                      <w:rFonts w:ascii="Times New Roman" w:hAnsi="Times New Roman" w:cs="Times New Roman"/>
                    </w:rPr>
                    <w:t>一致</w:t>
                  </w:r>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continue"/>
                  <w:vAlign w:val="center"/>
                </w:tcPr>
                <w:p>
                  <w:pPr>
                    <w:spacing w:line="276" w:lineRule="auto"/>
                    <w:jc w:val="center"/>
                    <w:outlineLvl w:val="2"/>
                    <w:rPr>
                      <w:rFonts w:ascii="Times New Roman" w:hAnsi="Times New Roman" w:cs="Times New Roman"/>
                    </w:rPr>
                  </w:pPr>
                </w:p>
              </w:tc>
              <w:tc>
                <w:tcPr>
                  <w:tcW w:w="1364" w:type="dxa"/>
                  <w:gridSpan w:val="2"/>
                  <w:vAlign w:val="center"/>
                </w:tcPr>
                <w:p>
                  <w:pPr>
                    <w:spacing w:line="276" w:lineRule="auto"/>
                    <w:jc w:val="center"/>
                    <w:outlineLvl w:val="2"/>
                    <w:rPr>
                      <w:rFonts w:ascii="Times New Roman" w:hAnsi="Times New Roman" w:cs="Times New Roman"/>
                    </w:rPr>
                  </w:pPr>
                  <w:bookmarkStart w:id="33" w:name="_Toc86138266"/>
                  <w:r>
                    <w:rPr>
                      <w:rFonts w:ascii="Times New Roman" w:hAnsi="Times New Roman" w:cs="Times New Roman"/>
                    </w:rPr>
                    <w:t>噪声</w:t>
                  </w:r>
                  <w:bookmarkEnd w:id="33"/>
                </w:p>
              </w:tc>
              <w:tc>
                <w:tcPr>
                  <w:tcW w:w="2842" w:type="dxa"/>
                  <w:vAlign w:val="center"/>
                </w:tcPr>
                <w:p>
                  <w:pPr>
                    <w:spacing w:line="276" w:lineRule="auto"/>
                    <w:jc w:val="both"/>
                    <w:outlineLvl w:val="2"/>
                    <w:rPr>
                      <w:rFonts w:ascii="Times New Roman" w:hAnsi="Times New Roman" w:cs="Times New Roman"/>
                    </w:rPr>
                  </w:pPr>
                  <w:bookmarkStart w:id="34" w:name="_Toc86138267"/>
                  <w:r>
                    <w:rPr>
                      <w:rFonts w:ascii="Times New Roman" w:hAnsi="Times New Roman" w:cs="Times New Roman"/>
                    </w:rPr>
                    <w:t>基础减振、密闭厂房隔音、重视绿化，尽可能增加绿化面积。</w:t>
                  </w:r>
                  <w:bookmarkEnd w:id="34"/>
                </w:p>
              </w:tc>
              <w:tc>
                <w:tcPr>
                  <w:tcW w:w="2842" w:type="dxa"/>
                  <w:vAlign w:val="center"/>
                </w:tcPr>
                <w:p>
                  <w:pPr>
                    <w:spacing w:line="276" w:lineRule="auto"/>
                    <w:jc w:val="both"/>
                    <w:outlineLvl w:val="2"/>
                    <w:rPr>
                      <w:rFonts w:ascii="Times New Roman" w:hAnsi="Times New Roman" w:cs="Times New Roman"/>
                    </w:rPr>
                  </w:pPr>
                  <w:bookmarkStart w:id="35" w:name="_Toc86138268"/>
                  <w:r>
                    <w:rPr>
                      <w:rFonts w:ascii="Times New Roman" w:hAnsi="Times New Roman" w:cs="Times New Roman"/>
                    </w:rPr>
                    <w:t>设备做减振基础、厂房密闭隔音。</w:t>
                  </w:r>
                  <w:bookmarkEnd w:id="35"/>
                </w:p>
              </w:tc>
              <w:tc>
                <w:tcPr>
                  <w:tcW w:w="1135" w:type="dxa"/>
                  <w:vAlign w:val="center"/>
                </w:tcPr>
                <w:p>
                  <w:pPr>
                    <w:spacing w:line="276" w:lineRule="auto"/>
                    <w:jc w:val="center"/>
                    <w:outlineLvl w:val="2"/>
                    <w:rPr>
                      <w:rFonts w:ascii="Times New Roman" w:hAnsi="Times New Roman" w:cs="Times New Roman"/>
                    </w:rPr>
                  </w:pPr>
                  <w:bookmarkStart w:id="36" w:name="_Toc86138269"/>
                  <w:r>
                    <w:rPr>
                      <w:rFonts w:ascii="Times New Roman" w:hAnsi="Times New Roman" w:cs="Times New Roman"/>
                    </w:rPr>
                    <w:t>一致</w:t>
                  </w:r>
                  <w:bookmarkEnd w:id="3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continue"/>
                  <w:vAlign w:val="center"/>
                </w:tcPr>
                <w:p>
                  <w:pPr>
                    <w:spacing w:line="276" w:lineRule="auto"/>
                    <w:jc w:val="center"/>
                    <w:outlineLvl w:val="2"/>
                    <w:rPr>
                      <w:rFonts w:ascii="Times New Roman" w:hAnsi="Times New Roman" w:cs="Times New Roman"/>
                    </w:rPr>
                  </w:pPr>
                </w:p>
              </w:tc>
              <w:tc>
                <w:tcPr>
                  <w:tcW w:w="1364" w:type="dxa"/>
                  <w:gridSpan w:val="2"/>
                  <w:vAlign w:val="center"/>
                </w:tcPr>
                <w:p>
                  <w:pPr>
                    <w:spacing w:line="276" w:lineRule="auto"/>
                    <w:jc w:val="center"/>
                    <w:outlineLvl w:val="2"/>
                    <w:rPr>
                      <w:rFonts w:ascii="Times New Roman" w:hAnsi="Times New Roman" w:cs="Times New Roman"/>
                    </w:rPr>
                  </w:pPr>
                  <w:bookmarkStart w:id="37" w:name="_Toc86138270"/>
                  <w:r>
                    <w:rPr>
                      <w:rFonts w:ascii="Times New Roman" w:hAnsi="Times New Roman" w:cs="Times New Roman"/>
                    </w:rPr>
                    <w:t>固废</w:t>
                  </w:r>
                  <w:bookmarkEnd w:id="37"/>
                </w:p>
              </w:tc>
              <w:tc>
                <w:tcPr>
                  <w:tcW w:w="2842" w:type="dxa"/>
                  <w:vAlign w:val="center"/>
                </w:tcPr>
                <w:p>
                  <w:pPr>
                    <w:spacing w:line="276" w:lineRule="auto"/>
                    <w:jc w:val="both"/>
                    <w:outlineLvl w:val="2"/>
                    <w:rPr>
                      <w:rFonts w:ascii="Times New Roman" w:hAnsi="Times New Roman" w:cs="Times New Roman"/>
                    </w:rPr>
                  </w:pPr>
                  <w:bookmarkStart w:id="38" w:name="_Toc86138271"/>
                  <w:r>
                    <w:rPr>
                      <w:rFonts w:ascii="Times New Roman" w:hAnsi="Times New Roman" w:cs="Times New Roman"/>
                    </w:rPr>
                    <w:t>少量生活垃圾经厂区垃圾筒收集后由环卫部门统一清运处置。</w:t>
                  </w:r>
                  <w:bookmarkEnd w:id="38"/>
                </w:p>
              </w:tc>
              <w:tc>
                <w:tcPr>
                  <w:tcW w:w="2842" w:type="dxa"/>
                  <w:vAlign w:val="center"/>
                </w:tcPr>
                <w:p>
                  <w:pPr>
                    <w:spacing w:line="276" w:lineRule="auto"/>
                    <w:jc w:val="both"/>
                    <w:outlineLvl w:val="2"/>
                    <w:rPr>
                      <w:rFonts w:ascii="Times New Roman" w:hAnsi="Times New Roman" w:cs="Times New Roman"/>
                    </w:rPr>
                  </w:pPr>
                  <w:bookmarkStart w:id="39" w:name="_Toc86138272"/>
                  <w:r>
                    <w:rPr>
                      <w:rFonts w:ascii="Times New Roman" w:hAnsi="Times New Roman" w:cs="Times New Roman"/>
                    </w:rPr>
                    <w:t>少量生活垃圾经厂区垃圾筒收集后由环卫部门统一清运处置。</w:t>
                  </w:r>
                  <w:bookmarkEnd w:id="39"/>
                </w:p>
              </w:tc>
              <w:tc>
                <w:tcPr>
                  <w:tcW w:w="1135" w:type="dxa"/>
                  <w:vAlign w:val="center"/>
                </w:tcPr>
                <w:p>
                  <w:pPr>
                    <w:spacing w:line="276" w:lineRule="auto"/>
                    <w:jc w:val="center"/>
                    <w:outlineLvl w:val="2"/>
                    <w:rPr>
                      <w:rFonts w:ascii="Times New Roman" w:hAnsi="Times New Roman" w:cs="Times New Roman"/>
                    </w:rPr>
                  </w:pPr>
                  <w:bookmarkStart w:id="40" w:name="_Toc86138273"/>
                  <w:r>
                    <w:rPr>
                      <w:rFonts w:ascii="Times New Roman" w:hAnsi="Times New Roman" w:cs="Times New Roman"/>
                    </w:rPr>
                    <w:t>一致</w:t>
                  </w:r>
                  <w:bookmarkEnd w:id="4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598" w:type="dxa"/>
                  <w:vMerge w:val="continue"/>
                  <w:vAlign w:val="center"/>
                </w:tcPr>
                <w:p>
                  <w:pPr>
                    <w:spacing w:line="276" w:lineRule="auto"/>
                    <w:jc w:val="center"/>
                    <w:outlineLvl w:val="2"/>
                    <w:rPr>
                      <w:rFonts w:ascii="Times New Roman" w:hAnsi="Times New Roman" w:cs="Times New Roman"/>
                    </w:rPr>
                  </w:pPr>
                </w:p>
              </w:tc>
              <w:tc>
                <w:tcPr>
                  <w:tcW w:w="1364" w:type="dxa"/>
                  <w:gridSpan w:val="2"/>
                  <w:vAlign w:val="center"/>
                </w:tcPr>
                <w:p>
                  <w:pPr>
                    <w:spacing w:line="276" w:lineRule="auto"/>
                    <w:jc w:val="center"/>
                    <w:outlineLvl w:val="2"/>
                    <w:rPr>
                      <w:rFonts w:ascii="Times New Roman" w:hAnsi="Times New Roman" w:cs="Times New Roman"/>
                    </w:rPr>
                  </w:pPr>
                  <w:bookmarkStart w:id="41" w:name="_Toc86138274"/>
                  <w:r>
                    <w:rPr>
                      <w:rFonts w:ascii="Times New Roman" w:hAnsi="Times New Roman" w:cs="Times New Roman"/>
                    </w:rPr>
                    <w:t>绿化</w:t>
                  </w:r>
                  <w:bookmarkEnd w:id="41"/>
                </w:p>
              </w:tc>
              <w:tc>
                <w:tcPr>
                  <w:tcW w:w="2842" w:type="dxa"/>
                  <w:vAlign w:val="center"/>
                </w:tcPr>
                <w:p>
                  <w:pPr>
                    <w:autoSpaceDE w:val="0"/>
                    <w:autoSpaceDN w:val="0"/>
                    <w:spacing w:line="276" w:lineRule="auto"/>
                    <w:jc w:val="both"/>
                    <w:rPr>
                      <w:rFonts w:ascii="Times New Roman" w:hAnsi="Times New Roman" w:cs="Times New Roman"/>
                    </w:rPr>
                  </w:pPr>
                  <w:r>
                    <w:rPr>
                      <w:rFonts w:ascii="Times New Roman" w:hAnsi="Times New Roman" w:cs="Times New Roman"/>
                    </w:rPr>
                    <w:t>在发电机房周围及其它地面硬化以外的零散空地种植花草树木进行绿化。</w:t>
                  </w:r>
                </w:p>
              </w:tc>
              <w:tc>
                <w:tcPr>
                  <w:tcW w:w="2842" w:type="dxa"/>
                  <w:vAlign w:val="center"/>
                </w:tcPr>
                <w:p>
                  <w:pPr>
                    <w:autoSpaceDE w:val="0"/>
                    <w:autoSpaceDN w:val="0"/>
                    <w:spacing w:line="276" w:lineRule="auto"/>
                    <w:jc w:val="both"/>
                    <w:rPr>
                      <w:rFonts w:ascii="Times New Roman" w:hAnsi="Times New Roman" w:cs="Times New Roman"/>
                    </w:rPr>
                  </w:pPr>
                  <w:r>
                    <w:rPr>
                      <w:rFonts w:ascii="Times New Roman" w:hAnsi="Times New Roman" w:cs="Times New Roman"/>
                    </w:rPr>
                    <w:t>在发电机房周围及其它地面硬化以外的零散空地种植花草树木进行绿化。</w:t>
                  </w:r>
                </w:p>
              </w:tc>
              <w:tc>
                <w:tcPr>
                  <w:tcW w:w="1135" w:type="dxa"/>
                  <w:vAlign w:val="center"/>
                </w:tcPr>
                <w:p>
                  <w:pPr>
                    <w:autoSpaceDE w:val="0"/>
                    <w:autoSpaceDN w:val="0"/>
                    <w:spacing w:line="276" w:lineRule="auto"/>
                    <w:jc w:val="center"/>
                    <w:rPr>
                      <w:rFonts w:ascii="Times New Roman" w:hAnsi="Times New Roman" w:cs="Times New Roman"/>
                    </w:rPr>
                  </w:pPr>
                  <w:r>
                    <w:rPr>
                      <w:rFonts w:ascii="Times New Roman" w:hAnsi="Times New Roman" w:cs="Times New Roman"/>
                    </w:rPr>
                    <w:t>一致</w:t>
                  </w:r>
                </w:p>
              </w:tc>
            </w:tr>
          </w:tbl>
          <w:p>
            <w:pPr>
              <w:pStyle w:val="38"/>
              <w:rPr>
                <w:sz w:val="24"/>
                <w:szCs w:val="24"/>
              </w:rPr>
            </w:pPr>
            <w:r>
              <w:rPr>
                <w:sz w:val="24"/>
                <w:szCs w:val="24"/>
              </w:rPr>
              <w:t>本项目主要装置设备见下表。</w:t>
            </w:r>
          </w:p>
          <w:p>
            <w:pPr>
              <w:pStyle w:val="38"/>
              <w:jc w:val="center"/>
              <w:rPr>
                <w:sz w:val="24"/>
                <w:szCs w:val="24"/>
              </w:rPr>
            </w:pPr>
            <w:r>
              <w:rPr>
                <w:sz w:val="24"/>
                <w:szCs w:val="24"/>
              </w:rPr>
              <w:t>表2  主要装置设备一览表</w:t>
            </w:r>
          </w:p>
          <w:tbl>
            <w:tblPr>
              <w:tblStyle w:val="27"/>
              <w:tblW w:w="8504" w:type="dxa"/>
              <w:jc w:val="center"/>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108" w:type="dxa"/>
                <w:right w:w="108" w:type="dxa"/>
              </w:tblCellMar>
            </w:tblPr>
            <w:tblGrid>
              <w:gridCol w:w="794"/>
              <w:gridCol w:w="2268"/>
              <w:gridCol w:w="1984"/>
              <w:gridCol w:w="1417"/>
              <w:gridCol w:w="2041"/>
            </w:tblGrid>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108" w:type="dxa"/>
                  <w:right w:w="108" w:type="dxa"/>
                </w:tblCellMar>
              </w:tblPrEx>
              <w:trPr>
                <w:trHeight w:val="397" w:hRule="atLeast"/>
                <w:jc w:val="center"/>
              </w:trPr>
              <w:tc>
                <w:tcPr>
                  <w:tcW w:w="794" w:type="dxa"/>
                  <w:tcBorders>
                    <w:top w:val="single" w:color="auto" w:sz="2" w:space="0"/>
                    <w:left w:val="single" w:color="auto" w:sz="2" w:space="0"/>
                    <w:bottom w:val="single" w:color="auto" w:sz="6" w:space="0"/>
                    <w:right w:val="single" w:color="auto" w:sz="6"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序号</w:t>
                  </w:r>
                </w:p>
              </w:tc>
              <w:tc>
                <w:tcPr>
                  <w:tcW w:w="2268" w:type="dxa"/>
                  <w:tcBorders>
                    <w:top w:val="single" w:color="auto" w:sz="2"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设备名称</w:t>
                  </w:r>
                </w:p>
              </w:tc>
              <w:tc>
                <w:tcPr>
                  <w:tcW w:w="1984" w:type="dxa"/>
                  <w:tcBorders>
                    <w:top w:val="single" w:color="auto" w:sz="2"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环评规格</w:t>
                  </w:r>
                </w:p>
              </w:tc>
              <w:tc>
                <w:tcPr>
                  <w:tcW w:w="1417" w:type="dxa"/>
                  <w:tcBorders>
                    <w:top w:val="single" w:color="auto" w:sz="2"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环评数量</w:t>
                  </w:r>
                </w:p>
              </w:tc>
              <w:tc>
                <w:tcPr>
                  <w:tcW w:w="2041" w:type="dxa"/>
                  <w:tcBorders>
                    <w:top w:val="single" w:color="auto" w:sz="2" w:space="0"/>
                    <w:left w:val="single" w:color="auto" w:sz="6" w:space="0"/>
                    <w:bottom w:val="single" w:color="auto" w:sz="6" w:space="0"/>
                    <w:right w:val="single" w:color="auto" w:sz="2"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实际建设情况</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108" w:type="dxa"/>
                  <w:right w:w="108" w:type="dxa"/>
                </w:tblCellMar>
              </w:tblPrEx>
              <w:trPr>
                <w:trHeight w:val="397" w:hRule="atLeast"/>
                <w:jc w:val="center"/>
              </w:trPr>
              <w:tc>
                <w:tcPr>
                  <w:tcW w:w="794" w:type="dxa"/>
                  <w:tcBorders>
                    <w:top w:val="single" w:color="auto" w:sz="6" w:space="0"/>
                    <w:left w:val="single" w:color="auto" w:sz="2"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226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汽轮机</w:t>
                  </w:r>
                </w:p>
              </w:tc>
              <w:tc>
                <w:tcPr>
                  <w:tcW w:w="1984"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NZK31-0.6</w:t>
                  </w:r>
                </w:p>
              </w:tc>
              <w:tc>
                <w:tcPr>
                  <w:tcW w:w="1417"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2台</w:t>
                  </w:r>
                </w:p>
              </w:tc>
              <w:tc>
                <w:tcPr>
                  <w:tcW w:w="2041" w:type="dxa"/>
                  <w:tcBorders>
                    <w:top w:val="single" w:color="auto" w:sz="6" w:space="0"/>
                    <w:left w:val="single" w:color="auto" w:sz="6" w:space="0"/>
                    <w:bottom w:val="single" w:color="auto" w:sz="6" w:space="0"/>
                    <w:right w:val="single" w:color="auto" w:sz="2" w:space="0"/>
                  </w:tcBorders>
                  <w:vAlign w:val="center"/>
                </w:tcPr>
                <w:p>
                  <w:pPr>
                    <w:spacing w:line="276" w:lineRule="auto"/>
                    <w:jc w:val="center"/>
                    <w:rPr>
                      <w:rFonts w:ascii="Times New Roman" w:hAnsi="Times New Roman" w:cs="Times New Roman"/>
                    </w:rPr>
                  </w:pPr>
                  <w:r>
                    <w:rPr>
                      <w:rFonts w:ascii="Times New Roman" w:hAnsi="Times New Roman" w:cs="Times New Roman"/>
                    </w:rPr>
                    <w:t>与环评一致</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108" w:type="dxa"/>
                  <w:right w:w="108" w:type="dxa"/>
                </w:tblCellMar>
              </w:tblPrEx>
              <w:trPr>
                <w:trHeight w:val="397" w:hRule="atLeast"/>
                <w:jc w:val="center"/>
              </w:trPr>
              <w:tc>
                <w:tcPr>
                  <w:tcW w:w="794" w:type="dxa"/>
                  <w:tcBorders>
                    <w:top w:val="single" w:color="auto" w:sz="6" w:space="0"/>
                    <w:left w:val="single" w:color="auto" w:sz="2"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226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循环水冷却水泵</w:t>
                  </w:r>
                </w:p>
              </w:tc>
              <w:tc>
                <w:tcPr>
                  <w:tcW w:w="1984"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1000t/h</w:t>
                  </w:r>
                </w:p>
              </w:tc>
              <w:tc>
                <w:tcPr>
                  <w:tcW w:w="1417"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2台</w:t>
                  </w:r>
                </w:p>
              </w:tc>
              <w:tc>
                <w:tcPr>
                  <w:tcW w:w="2041" w:type="dxa"/>
                  <w:tcBorders>
                    <w:top w:val="single" w:color="auto" w:sz="6" w:space="0"/>
                    <w:left w:val="single" w:color="auto" w:sz="6" w:space="0"/>
                    <w:bottom w:val="single" w:color="auto" w:sz="6" w:space="0"/>
                    <w:right w:val="single" w:color="auto" w:sz="2" w:space="0"/>
                  </w:tcBorders>
                  <w:vAlign w:val="center"/>
                </w:tcPr>
                <w:p>
                  <w:pPr>
                    <w:spacing w:line="276" w:lineRule="auto"/>
                    <w:jc w:val="center"/>
                    <w:rPr>
                      <w:rFonts w:ascii="Times New Roman" w:hAnsi="Times New Roman" w:cs="Times New Roman"/>
                    </w:rPr>
                  </w:pPr>
                  <w:r>
                    <w:rPr>
                      <w:rFonts w:ascii="Times New Roman" w:hAnsi="Times New Roman" w:cs="Times New Roman"/>
                    </w:rPr>
                    <w:t>与环评一致</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108" w:type="dxa"/>
                  <w:right w:w="108" w:type="dxa"/>
                </w:tblCellMar>
              </w:tblPrEx>
              <w:trPr>
                <w:trHeight w:val="397" w:hRule="atLeast"/>
                <w:jc w:val="center"/>
              </w:trPr>
              <w:tc>
                <w:tcPr>
                  <w:tcW w:w="794" w:type="dxa"/>
                  <w:tcBorders>
                    <w:top w:val="single" w:color="auto" w:sz="6" w:space="0"/>
                    <w:left w:val="single" w:color="auto" w:sz="2"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226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空冷凝汽器风机</w:t>
                  </w:r>
                </w:p>
              </w:tc>
              <w:tc>
                <w:tcPr>
                  <w:tcW w:w="1984"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542m</w:t>
                  </w:r>
                  <w:r>
                    <w:rPr>
                      <w:rFonts w:ascii="Times New Roman" w:hAnsi="Times New Roman" w:cs="Times New Roman"/>
                      <w:vertAlign w:val="superscript"/>
                      <w:lang w:bidi="en-US"/>
                    </w:rPr>
                    <w:t>3</w:t>
                  </w:r>
                  <w:r>
                    <w:rPr>
                      <w:rFonts w:ascii="Times New Roman" w:hAnsi="Times New Roman" w:cs="Times New Roman"/>
                      <w:lang w:bidi="en-US"/>
                    </w:rPr>
                    <w:t>/s</w:t>
                  </w:r>
                </w:p>
              </w:tc>
              <w:tc>
                <w:tcPr>
                  <w:tcW w:w="1417"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9台</w:t>
                  </w:r>
                </w:p>
              </w:tc>
              <w:tc>
                <w:tcPr>
                  <w:tcW w:w="2041" w:type="dxa"/>
                  <w:tcBorders>
                    <w:top w:val="single" w:color="auto" w:sz="6" w:space="0"/>
                    <w:left w:val="single" w:color="auto" w:sz="6" w:space="0"/>
                    <w:bottom w:val="single" w:color="auto" w:sz="6" w:space="0"/>
                    <w:right w:val="single" w:color="auto" w:sz="2" w:space="0"/>
                  </w:tcBorders>
                  <w:vAlign w:val="center"/>
                </w:tcPr>
                <w:p>
                  <w:pPr>
                    <w:spacing w:line="276" w:lineRule="auto"/>
                    <w:jc w:val="center"/>
                    <w:rPr>
                      <w:rFonts w:ascii="Times New Roman" w:hAnsi="Times New Roman" w:cs="Times New Roman"/>
                    </w:rPr>
                  </w:pPr>
                  <w:r>
                    <w:rPr>
                      <w:rFonts w:ascii="Times New Roman" w:hAnsi="Times New Roman" w:cs="Times New Roman"/>
                    </w:rPr>
                    <w:t>与环评一致</w:t>
                  </w:r>
                </w:p>
              </w:tc>
            </w:tr>
            <w:tr>
              <w:tblPrEx>
                <w:tblBorders>
                  <w:top w:val="single" w:color="auto" w:sz="2" w:space="0"/>
                  <w:left w:val="single" w:color="auto" w:sz="2" w:space="0"/>
                  <w:bottom w:val="single" w:color="auto" w:sz="2" w:space="0"/>
                  <w:right w:val="single" w:color="auto" w:sz="2" w:space="0"/>
                  <w:insideH w:val="single" w:color="auto" w:sz="6" w:space="0"/>
                  <w:insideV w:val="single" w:color="auto" w:sz="6" w:space="0"/>
                </w:tblBorders>
                <w:tblLayout w:type="fixed"/>
                <w:tblCellMar>
                  <w:left w:w="108" w:type="dxa"/>
                  <w:right w:w="108" w:type="dxa"/>
                </w:tblCellMar>
              </w:tblPrEx>
              <w:trPr>
                <w:trHeight w:val="397" w:hRule="atLeast"/>
                <w:jc w:val="center"/>
              </w:trPr>
              <w:tc>
                <w:tcPr>
                  <w:tcW w:w="794" w:type="dxa"/>
                  <w:tcBorders>
                    <w:top w:val="single" w:color="auto" w:sz="6" w:space="0"/>
                    <w:left w:val="single" w:color="auto" w:sz="2"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rPr>
                    <w:t>4</w:t>
                  </w:r>
                </w:p>
              </w:tc>
              <w:tc>
                <w:tcPr>
                  <w:tcW w:w="2268"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蒸发式冷却器</w:t>
                  </w:r>
                </w:p>
              </w:tc>
              <w:tc>
                <w:tcPr>
                  <w:tcW w:w="1984"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单台150m</w:t>
                  </w:r>
                  <w:r>
                    <w:rPr>
                      <w:rFonts w:ascii="Times New Roman" w:hAnsi="Times New Roman" w:cs="Times New Roman"/>
                      <w:vertAlign w:val="superscript"/>
                      <w:lang w:bidi="en-US"/>
                    </w:rPr>
                    <w:t>3</w:t>
                  </w:r>
                  <w:r>
                    <w:rPr>
                      <w:rFonts w:ascii="Times New Roman" w:hAnsi="Times New Roman" w:cs="Times New Roman"/>
                      <w:lang w:bidi="en-US"/>
                    </w:rPr>
                    <w:t>/h</w:t>
                  </w:r>
                </w:p>
              </w:tc>
              <w:tc>
                <w:tcPr>
                  <w:tcW w:w="1417" w:type="dxa"/>
                  <w:tcBorders>
                    <w:top w:val="single" w:color="auto" w:sz="6" w:space="0"/>
                    <w:left w:val="single" w:color="auto" w:sz="6" w:space="0"/>
                    <w:bottom w:val="single" w:color="auto" w:sz="6" w:space="0"/>
                    <w:right w:val="single" w:color="auto" w:sz="6"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2台</w:t>
                  </w:r>
                </w:p>
              </w:tc>
              <w:tc>
                <w:tcPr>
                  <w:tcW w:w="2041" w:type="dxa"/>
                  <w:tcBorders>
                    <w:top w:val="single" w:color="auto" w:sz="6" w:space="0"/>
                    <w:left w:val="single" w:color="auto" w:sz="6" w:space="0"/>
                    <w:bottom w:val="single" w:color="auto" w:sz="6" w:space="0"/>
                    <w:right w:val="single" w:color="auto" w:sz="2" w:space="0"/>
                  </w:tcBorders>
                  <w:vAlign w:val="center"/>
                </w:tcPr>
                <w:p>
                  <w:pPr>
                    <w:spacing w:line="276" w:lineRule="auto"/>
                    <w:jc w:val="center"/>
                    <w:rPr>
                      <w:rFonts w:ascii="Times New Roman" w:hAnsi="Times New Roman" w:cs="Times New Roman"/>
                    </w:rPr>
                  </w:pPr>
                  <w:r>
                    <w:rPr>
                      <w:rFonts w:ascii="Times New Roman" w:hAnsi="Times New Roman" w:cs="Times New Roman"/>
                    </w:rPr>
                    <w:t>与环评一致</w:t>
                  </w:r>
                </w:p>
              </w:tc>
            </w:tr>
          </w:tbl>
          <w:p>
            <w:pPr>
              <w:pStyle w:val="38"/>
              <w:rPr>
                <w:b/>
                <w:bCs/>
                <w:sz w:val="24"/>
                <w:szCs w:val="24"/>
              </w:rPr>
            </w:pPr>
            <w:r>
              <w:rPr>
                <w:b/>
                <w:bCs/>
                <w:sz w:val="24"/>
                <w:szCs w:val="24"/>
              </w:rPr>
              <w:t>5、项目变动情况</w:t>
            </w:r>
          </w:p>
          <w:p>
            <w:pPr>
              <w:pStyle w:val="38"/>
              <w:ind w:firstLine="480" w:firstLineChars="200"/>
              <w:rPr>
                <w:sz w:val="24"/>
                <w:szCs w:val="24"/>
              </w:rPr>
            </w:pPr>
            <w:r>
              <w:rPr>
                <w:sz w:val="24"/>
                <w:szCs w:val="24"/>
              </w:rPr>
              <w:t>经现场检查，本项目实际建设规模、建设内容、建构筑物及设备与环境影响评价中描述相一致，无变动内容。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7"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原辅材料消耗及水用量：</w:t>
            </w:r>
          </w:p>
          <w:p>
            <w:pPr>
              <w:pStyle w:val="38"/>
              <w:rPr>
                <w:b/>
                <w:bCs/>
                <w:sz w:val="24"/>
                <w:szCs w:val="24"/>
              </w:rPr>
            </w:pPr>
            <w:r>
              <w:rPr>
                <w:b/>
                <w:bCs/>
                <w:sz w:val="24"/>
                <w:szCs w:val="24"/>
              </w:rPr>
              <w:t>1、原辅材料消耗</w:t>
            </w:r>
          </w:p>
          <w:p>
            <w:pPr>
              <w:pStyle w:val="38"/>
              <w:ind w:firstLine="480" w:firstLineChars="200"/>
              <w:rPr>
                <w:sz w:val="24"/>
                <w:szCs w:val="24"/>
              </w:rPr>
            </w:pPr>
            <w:r>
              <w:rPr>
                <w:sz w:val="24"/>
                <w:szCs w:val="24"/>
              </w:rPr>
              <w:t>太钢厂内夏季实际蒸汽富余量约450t/h。本项目单台发电机组额定进汽量为200t/h，2台总进汽量为400t/h，富余蒸汽满足本项目用汽需求。</w:t>
            </w:r>
          </w:p>
          <w:p>
            <w:pPr>
              <w:pStyle w:val="38"/>
              <w:ind w:firstLine="480" w:firstLineChars="200"/>
              <w:rPr>
                <w:sz w:val="24"/>
                <w:szCs w:val="24"/>
              </w:rPr>
            </w:pPr>
            <w:r>
              <w:rPr>
                <w:sz w:val="24"/>
                <w:szCs w:val="24"/>
              </w:rPr>
              <w:t>本项目年消耗蒸汽180万t，折合热力1653.4GJ。</w:t>
            </w:r>
          </w:p>
          <w:p>
            <w:pPr>
              <w:pStyle w:val="38"/>
              <w:rPr>
                <w:b/>
                <w:bCs/>
                <w:sz w:val="24"/>
                <w:szCs w:val="24"/>
              </w:rPr>
            </w:pPr>
            <w:r>
              <w:rPr>
                <w:b/>
                <w:bCs/>
                <w:sz w:val="24"/>
                <w:szCs w:val="24"/>
              </w:rPr>
              <w:t>2、水用量</w:t>
            </w:r>
          </w:p>
          <w:p>
            <w:pPr>
              <w:pStyle w:val="38"/>
              <w:ind w:firstLine="480" w:firstLineChars="200"/>
              <w:rPr>
                <w:sz w:val="24"/>
                <w:szCs w:val="24"/>
              </w:rPr>
            </w:pPr>
            <w:r>
              <w:rPr>
                <w:sz w:val="24"/>
                <w:szCs w:val="24"/>
              </w:rPr>
              <w:t>本项目辅机冷却水采用蒸发式冷却器的循环供水系统。辅机冷却用水设备有空冷器、油冷器、工业设备等，循环冷却水补水量为10m³/h，年补水总量约10万t。</w:t>
            </w:r>
          </w:p>
          <w:p>
            <w:pPr>
              <w:pStyle w:val="38"/>
              <w:ind w:firstLine="480" w:firstLineChars="200"/>
              <w:rPr>
                <w:sz w:val="24"/>
                <w:szCs w:val="24"/>
              </w:rPr>
            </w:pPr>
            <w:r>
              <w:rPr>
                <w:sz w:val="24"/>
                <w:szCs w:val="24"/>
              </w:rPr>
              <w:t>汽轮机冷凝水全部收集于下部凝结水箱经凝结泵送入现有凝结水处理装置，不外排，年回收冷凝水量约190万t。</w:t>
            </w:r>
          </w:p>
          <w:p>
            <w:pPr>
              <w:pStyle w:val="38"/>
              <w:ind w:firstLine="480" w:firstLineChars="200"/>
              <w:rPr>
                <w:sz w:val="24"/>
                <w:szCs w:val="24"/>
              </w:rPr>
            </w:pPr>
            <w:r>
              <w:rPr>
                <w:sz w:val="24"/>
                <w:szCs w:val="24"/>
              </w:rPr>
              <w:t>综上所述，年节约水量约180万t。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69"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主要工艺流程及产污环节（附处理工艺流程图，标出产污节点）</w:t>
            </w:r>
          </w:p>
          <w:p>
            <w:pPr>
              <w:pStyle w:val="38"/>
              <w:rPr>
                <w:b/>
                <w:bCs/>
                <w:sz w:val="24"/>
                <w:szCs w:val="24"/>
              </w:rPr>
            </w:pPr>
            <w:r>
              <w:rPr>
                <w:b/>
                <w:bCs/>
                <w:sz w:val="24"/>
                <w:szCs w:val="24"/>
              </w:rPr>
              <w:t>一、工艺流程</w:t>
            </w:r>
          </w:p>
          <w:p>
            <w:pPr>
              <w:pStyle w:val="38"/>
              <w:ind w:firstLine="480" w:firstLineChars="200"/>
              <w:rPr>
                <w:sz w:val="24"/>
                <w:szCs w:val="24"/>
              </w:rPr>
            </w:pPr>
            <w:r>
              <w:rPr>
                <w:sz w:val="24"/>
                <w:szCs w:val="24"/>
              </w:rPr>
              <w:t>1、汽轮机</w:t>
            </w:r>
          </w:p>
          <w:p>
            <w:pPr>
              <w:pStyle w:val="38"/>
              <w:ind w:firstLine="480" w:firstLineChars="200"/>
              <w:rPr>
                <w:sz w:val="24"/>
                <w:szCs w:val="24"/>
              </w:rPr>
            </w:pPr>
            <w:r>
              <w:rPr>
                <w:sz w:val="24"/>
                <w:szCs w:val="24"/>
              </w:rPr>
              <w:t>汽轮机为低压中温直接空冷式汽轮机，额定进汽量2×200t/h</w:t>
            </w:r>
          </w:p>
          <w:p>
            <w:pPr>
              <w:pStyle w:val="38"/>
              <w:ind w:firstLine="480" w:firstLineChars="200"/>
              <w:rPr>
                <w:sz w:val="24"/>
                <w:szCs w:val="24"/>
              </w:rPr>
            </w:pPr>
            <w:r>
              <w:rPr>
                <w:sz w:val="24"/>
                <w:szCs w:val="24"/>
              </w:rPr>
              <w:t>2、发电机</w:t>
            </w:r>
          </w:p>
          <w:p>
            <w:pPr>
              <w:pStyle w:val="38"/>
              <w:ind w:firstLine="480" w:firstLineChars="200"/>
              <w:rPr>
                <w:sz w:val="24"/>
                <w:szCs w:val="24"/>
              </w:rPr>
            </w:pPr>
            <w:r>
              <w:rPr>
                <w:sz w:val="24"/>
                <w:szCs w:val="24"/>
              </w:rPr>
              <w:t>发电机为空冷发电机。额定容量37.5MVA，额定功率2×30MW。</w:t>
            </w:r>
          </w:p>
          <w:p>
            <w:pPr>
              <w:pStyle w:val="38"/>
              <w:ind w:firstLine="480" w:firstLineChars="200"/>
              <w:rPr>
                <w:sz w:val="24"/>
                <w:szCs w:val="24"/>
              </w:rPr>
            </w:pPr>
            <w:bookmarkStart w:id="42" w:name="_Toc451326056"/>
            <w:r>
              <w:rPr>
                <w:sz w:val="24"/>
                <w:szCs w:val="24"/>
              </w:rPr>
              <w:t>3、热力系统</w:t>
            </w:r>
            <w:bookmarkEnd w:id="42"/>
          </w:p>
          <w:p>
            <w:pPr>
              <w:pStyle w:val="38"/>
              <w:ind w:firstLine="480" w:firstLineChars="200"/>
              <w:rPr>
                <w:sz w:val="24"/>
                <w:szCs w:val="24"/>
              </w:rPr>
            </w:pPr>
            <w:r>
              <w:rPr>
                <w:sz w:val="24"/>
                <w:szCs w:val="24"/>
              </w:rPr>
              <w:t>除汽机本体系统及汽机本体附属设备、直接空冷系统、循环冷却水系统外，其它系统均利用现有能源动力总厂公用系统，与现有公司管网的汽水母管相连接。热力系统主要采用单元制方式。</w:t>
            </w:r>
          </w:p>
          <w:p>
            <w:pPr>
              <w:pStyle w:val="38"/>
              <w:ind w:firstLine="480" w:firstLineChars="200"/>
              <w:rPr>
                <w:sz w:val="24"/>
                <w:szCs w:val="24"/>
              </w:rPr>
            </w:pPr>
            <w:r>
              <w:rPr>
                <w:sz w:val="24"/>
                <w:szCs w:val="24"/>
              </w:rPr>
              <w:t>（1）主蒸汽系统</w:t>
            </w:r>
          </w:p>
          <w:p>
            <w:pPr>
              <w:pStyle w:val="38"/>
              <w:ind w:firstLine="480" w:firstLineChars="200"/>
              <w:rPr>
                <w:sz w:val="24"/>
                <w:szCs w:val="24"/>
              </w:rPr>
            </w:pPr>
            <w:r>
              <w:rPr>
                <w:sz w:val="24"/>
                <w:szCs w:val="24"/>
              </w:rPr>
              <w:t>集团公司现有低压蒸汽管网蒸汽作为主蒸汽，除满足原有工艺外，其余部分用以驱动本工程两台汽轮机。主蒸汽管道管径为Φ820×12，材质为20#钢。</w:t>
            </w:r>
          </w:p>
          <w:p>
            <w:pPr>
              <w:pStyle w:val="38"/>
              <w:ind w:firstLine="480" w:firstLineChars="200"/>
              <w:rPr>
                <w:sz w:val="24"/>
                <w:szCs w:val="24"/>
              </w:rPr>
            </w:pPr>
            <w:r>
              <w:rPr>
                <w:sz w:val="24"/>
                <w:szCs w:val="24"/>
              </w:rPr>
              <w:t>（2）轴封供汽系统</w:t>
            </w:r>
          </w:p>
          <w:p>
            <w:pPr>
              <w:pStyle w:val="38"/>
              <w:ind w:firstLine="480" w:firstLineChars="200"/>
              <w:rPr>
                <w:sz w:val="24"/>
                <w:szCs w:val="24"/>
              </w:rPr>
            </w:pPr>
            <w:r>
              <w:rPr>
                <w:sz w:val="24"/>
                <w:szCs w:val="24"/>
              </w:rPr>
              <w:t>单台机组设1套100％容量的轴封蒸汽冷却器及其辅助系统，轴封系统的启动汽源满足机组冷、热态启动、运行和停机的需要，该系统设有气动调节阀、轴封蒸汽冷却器和轴封抽气装置等。</w:t>
            </w:r>
          </w:p>
          <w:p>
            <w:pPr>
              <w:pStyle w:val="38"/>
              <w:ind w:firstLine="480" w:firstLineChars="200"/>
              <w:rPr>
                <w:sz w:val="24"/>
                <w:szCs w:val="24"/>
              </w:rPr>
            </w:pPr>
            <w:r>
              <w:rPr>
                <w:sz w:val="24"/>
                <w:szCs w:val="24"/>
              </w:rPr>
              <w:t>轴封冷却器系统设置2台100%容量的轴封风机，以排出轴封蒸汽冷却器内不凝结气体。2台轴封风机满足1台运行、1台检修的要求。</w:t>
            </w:r>
          </w:p>
          <w:p>
            <w:pPr>
              <w:pStyle w:val="38"/>
              <w:ind w:firstLine="480" w:firstLineChars="200"/>
              <w:rPr>
                <w:sz w:val="24"/>
                <w:szCs w:val="24"/>
              </w:rPr>
            </w:pPr>
            <w:r>
              <w:rPr>
                <w:sz w:val="24"/>
                <w:szCs w:val="24"/>
              </w:rPr>
              <w:t>（3）排汽装置及凝结水系统</w:t>
            </w:r>
          </w:p>
          <w:p>
            <w:pPr>
              <w:pStyle w:val="38"/>
              <w:ind w:firstLine="480" w:firstLineChars="200"/>
              <w:rPr>
                <w:sz w:val="24"/>
                <w:szCs w:val="24"/>
              </w:rPr>
            </w:pPr>
            <w:r>
              <w:rPr>
                <w:sz w:val="24"/>
                <w:szCs w:val="24"/>
              </w:rPr>
              <w:t>汽机配套设置排汽联合装置（含内置式凝结水箱），该装置兼有排汽通道和收集凝结水功能。</w:t>
            </w:r>
          </w:p>
          <w:p>
            <w:pPr>
              <w:pStyle w:val="38"/>
              <w:ind w:firstLine="480" w:firstLineChars="200"/>
              <w:rPr>
                <w:sz w:val="24"/>
                <w:szCs w:val="24"/>
              </w:rPr>
            </w:pPr>
            <w:r>
              <w:rPr>
                <w:sz w:val="24"/>
                <w:szCs w:val="24"/>
              </w:rPr>
              <w:t>从汽轮机排出的蒸汽，经排汽装置通过1根DN3400的管道，流向空冷凝汽器，凝结水经排汽装置收集于凝结水箱中，通过凝结水泵送入现有厂区凝结水处理装置。同时，汽机本体及管道的疏水收集于汽轮机排汽装置，经扩容器随汽机排汽至空冷排汽装置最终至下部凝结水箱。</w:t>
            </w:r>
          </w:p>
          <w:p>
            <w:pPr>
              <w:pStyle w:val="38"/>
              <w:ind w:firstLine="480" w:firstLineChars="200"/>
              <w:rPr>
                <w:sz w:val="24"/>
                <w:szCs w:val="24"/>
              </w:rPr>
            </w:pPr>
            <w:r>
              <w:rPr>
                <w:sz w:val="24"/>
                <w:szCs w:val="24"/>
              </w:rPr>
              <w:t>（4）抽真空系统</w:t>
            </w:r>
          </w:p>
          <w:p>
            <w:pPr>
              <w:pStyle w:val="38"/>
              <w:ind w:firstLine="480" w:firstLineChars="200"/>
              <w:rPr>
                <w:sz w:val="24"/>
                <w:szCs w:val="24"/>
              </w:rPr>
            </w:pPr>
            <w:r>
              <w:rPr>
                <w:sz w:val="24"/>
                <w:szCs w:val="24"/>
              </w:rPr>
              <w:t>抽真空系统是直接空冷机组的重要组成部分。</w:t>
            </w:r>
          </w:p>
          <w:p>
            <w:pPr>
              <w:pStyle w:val="38"/>
              <w:ind w:firstLine="480" w:firstLineChars="200"/>
              <w:rPr>
                <w:sz w:val="24"/>
                <w:szCs w:val="24"/>
              </w:rPr>
            </w:pPr>
            <w:r>
              <w:rPr>
                <w:sz w:val="24"/>
                <w:szCs w:val="24"/>
              </w:rPr>
              <w:t>本系统的作用是在机组启动时将一些汽、水管路系统和设备当中所积集的空气抽掉，以便加快启动速度；正常运行时及时抽掉各蒸汽、疏水、排气带入及泄漏到空冷凝汽器中的空气和其它不凝结气体，以维持空冷凝汽器真空以及减少对设备的腐蚀。</w:t>
            </w:r>
          </w:p>
          <w:p>
            <w:pPr>
              <w:pStyle w:val="38"/>
              <w:ind w:firstLine="480" w:firstLineChars="200"/>
              <w:rPr>
                <w:sz w:val="24"/>
                <w:szCs w:val="24"/>
              </w:rPr>
            </w:pPr>
            <w:r>
              <w:rPr>
                <w:sz w:val="24"/>
                <w:szCs w:val="24"/>
              </w:rPr>
              <w:t>抽真空系统由三台100%的真空泵，以及所需的管道、阀门等组成。该系统用于将空冷凝汽器中不能凝结的气体抽出，以便保持系统的真空状态。该系统也同样要求严密不漏气，并且在运行过程中始终保证有一台真空泵运行工作。机组启动时三台泵同时运行，机组正常运行时一台泵运行。</w:t>
            </w:r>
          </w:p>
          <w:p>
            <w:pPr>
              <w:pStyle w:val="38"/>
              <w:ind w:firstLine="480" w:firstLineChars="200"/>
              <w:rPr>
                <w:sz w:val="24"/>
                <w:szCs w:val="24"/>
              </w:rPr>
            </w:pPr>
            <w:r>
              <w:rPr>
                <w:sz w:val="24"/>
                <w:szCs w:val="24"/>
              </w:rPr>
              <w:t>（5）工业水、冷却水系统</w:t>
            </w:r>
          </w:p>
          <w:p>
            <w:pPr>
              <w:pStyle w:val="38"/>
              <w:ind w:firstLine="480" w:firstLineChars="200"/>
              <w:rPr>
                <w:sz w:val="24"/>
                <w:szCs w:val="24"/>
              </w:rPr>
            </w:pPr>
            <w:r>
              <w:rPr>
                <w:sz w:val="24"/>
                <w:szCs w:val="24"/>
              </w:rPr>
              <w:t>汽机冷油器、发电机空气冷却器、工业设备等冷却水均取自循环冷却水，循环冷却水通过蒸发式冷却器冷却，以节约用水。</w:t>
            </w:r>
          </w:p>
          <w:p>
            <w:pPr>
              <w:pStyle w:val="38"/>
              <w:ind w:firstLine="480" w:firstLineChars="200"/>
              <w:rPr>
                <w:sz w:val="24"/>
                <w:szCs w:val="24"/>
              </w:rPr>
            </w:pPr>
            <w:r>
              <w:rPr>
                <w:sz w:val="24"/>
                <w:szCs w:val="24"/>
              </w:rPr>
              <w:t>（6）外部管线</w:t>
            </w:r>
          </w:p>
          <w:p>
            <w:pPr>
              <w:pStyle w:val="38"/>
              <w:ind w:firstLine="480" w:firstLineChars="200"/>
              <w:rPr>
                <w:sz w:val="24"/>
                <w:szCs w:val="24"/>
              </w:rPr>
            </w:pPr>
            <w:r>
              <w:rPr>
                <w:sz w:val="24"/>
                <w:szCs w:val="24"/>
              </w:rPr>
              <w:t>能源动力总厂东南侧公司管网低压蒸汽有瓶颈，整个公司低压蒸汽有余量，为此从新建汽轮机房外西南侧的Φ820×12蒸汽管道引出两根管径为Φ478×10，最终至到4#风机附近上公司管网架，与现有蒸汽管道连接，便于冬季公司蒸气供应的灵活调度、调整。</w:t>
            </w:r>
          </w:p>
          <w:p>
            <w:pPr>
              <w:pStyle w:val="38"/>
              <w:rPr>
                <w:b/>
                <w:bCs/>
                <w:sz w:val="24"/>
                <w:szCs w:val="24"/>
              </w:rPr>
            </w:pPr>
            <w:r>
              <w:rPr>
                <w:b/>
                <w:bCs/>
                <w:sz w:val="24"/>
                <w:szCs w:val="24"/>
              </w:rPr>
              <w:t>二、产污节点</w:t>
            </w:r>
          </w:p>
          <w:p>
            <w:pPr>
              <w:pStyle w:val="38"/>
              <w:ind w:firstLine="480" w:firstLineChars="200"/>
              <w:rPr>
                <w:sz w:val="24"/>
                <w:szCs w:val="24"/>
              </w:rPr>
            </w:pPr>
            <w:r>
              <w:rPr>
                <w:sz w:val="24"/>
                <w:szCs w:val="24"/>
              </w:rPr>
              <w:t>（1）废水：汽轮机凝结水。</w:t>
            </w:r>
          </w:p>
          <w:p>
            <w:pPr>
              <w:pStyle w:val="38"/>
              <w:ind w:firstLine="480" w:firstLineChars="200"/>
              <w:rPr>
                <w:sz w:val="24"/>
                <w:szCs w:val="24"/>
              </w:rPr>
            </w:pPr>
            <w:r>
              <w:rPr>
                <w:sz w:val="24"/>
                <w:szCs w:val="24"/>
              </w:rPr>
              <w:t>（2）噪声：发电机、各类风机、水泵等设备运行产生的噪声。</w:t>
            </w: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tc>
      </w:tr>
    </w:tbl>
    <w:p>
      <w:pPr>
        <w:rPr>
          <w:rFonts w:ascii="Times New Roman" w:hAnsi="Times New Roman" w:cs="Times New Roman"/>
          <w:b/>
          <w:bCs/>
          <w:color w:val="000000"/>
        </w:rPr>
        <w:sectPr>
          <w:footerReference r:id="rId7" w:type="default"/>
          <w:pgSz w:w="11906" w:h="16838"/>
          <w:pgMar w:top="1440" w:right="1800" w:bottom="1440" w:left="1800" w:header="708" w:footer="708" w:gutter="0"/>
          <w:pgNumType w:start="1"/>
          <w:cols w:space="720" w:num="1"/>
          <w:docGrid w:linePitch="360" w:charSpace="0"/>
        </w:sectPr>
      </w:pPr>
    </w:p>
    <w:p>
      <w:pPr>
        <w:pStyle w:val="4"/>
        <w:rPr>
          <w:rFonts w:ascii="Times New Roman" w:hAnsi="Times New Roman" w:cs="Times New Roman"/>
        </w:rPr>
      </w:pPr>
      <w:bookmarkStart w:id="43" w:name="_Toc86138275"/>
      <w:r>
        <w:rPr>
          <w:rFonts w:ascii="Times New Roman" w:hAnsi="Times New Roman" w:cs="Times New Roman"/>
        </w:rPr>
        <w:t>表三  主要污染源及污染物处理和排放情况</w:t>
      </w:r>
      <w:bookmarkEnd w:id="43"/>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457"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1、废水污染源处理和排放情况</w:t>
            </w:r>
          </w:p>
          <w:p>
            <w:pPr>
              <w:pStyle w:val="38"/>
              <w:ind w:firstLine="480" w:firstLineChars="200"/>
              <w:rPr>
                <w:sz w:val="24"/>
                <w:szCs w:val="24"/>
              </w:rPr>
            </w:pPr>
            <w:r>
              <w:rPr>
                <w:sz w:val="24"/>
                <w:szCs w:val="24"/>
              </w:rPr>
              <w:t>本项目运营期产生的废水包括汽轮机冷凝水、新增人员生活污水。</w:t>
            </w:r>
          </w:p>
          <w:p>
            <w:pPr>
              <w:pStyle w:val="38"/>
              <w:ind w:firstLine="480" w:firstLineChars="200"/>
              <w:rPr>
                <w:sz w:val="24"/>
                <w:szCs w:val="24"/>
              </w:rPr>
            </w:pPr>
            <w:r>
              <w:rPr>
                <w:sz w:val="24"/>
                <w:szCs w:val="24"/>
              </w:rPr>
              <w:t>汽轮机冷凝水全部收集于下部凝结水箱经凝结泵送入现有凝结水处理装置，不外排。</w:t>
            </w:r>
          </w:p>
          <w:p>
            <w:pPr>
              <w:pStyle w:val="38"/>
              <w:ind w:firstLine="480" w:firstLineChars="200"/>
              <w:rPr>
                <w:sz w:val="24"/>
                <w:szCs w:val="24"/>
              </w:rPr>
            </w:pPr>
            <w:r>
              <w:rPr>
                <w:sz w:val="24"/>
                <w:szCs w:val="24"/>
              </w:rPr>
              <w:t>人员产生的日常生活污水，其污染物主要为COD、BOD</w:t>
            </w:r>
            <w:r>
              <w:rPr>
                <w:sz w:val="24"/>
                <w:szCs w:val="24"/>
                <w:vertAlign w:val="subscript"/>
              </w:rPr>
              <w:t>5</w:t>
            </w:r>
            <w:r>
              <w:rPr>
                <w:sz w:val="24"/>
                <w:szCs w:val="24"/>
              </w:rPr>
              <w:t>、SS等杂质，每年产生量为256m³/a，污水经化粪池处理后就近排入太钢生活污水管网，最终进入赵庄污水处理厂集中处理后回用。</w:t>
            </w:r>
          </w:p>
          <w:p>
            <w:pPr>
              <w:pStyle w:val="38"/>
              <w:rPr>
                <w:b/>
                <w:bCs/>
                <w:sz w:val="24"/>
                <w:szCs w:val="24"/>
              </w:rPr>
            </w:pPr>
            <w:r>
              <w:rPr>
                <w:b/>
                <w:bCs/>
                <w:sz w:val="24"/>
                <w:szCs w:val="24"/>
              </w:rPr>
              <w:t>2、废气污染源处理和排放情况</w:t>
            </w:r>
          </w:p>
          <w:p>
            <w:pPr>
              <w:pStyle w:val="38"/>
              <w:ind w:firstLine="480" w:firstLineChars="200"/>
              <w:rPr>
                <w:sz w:val="24"/>
                <w:szCs w:val="24"/>
              </w:rPr>
            </w:pPr>
            <w:r>
              <w:rPr>
                <w:sz w:val="24"/>
                <w:szCs w:val="24"/>
              </w:rPr>
              <w:t>本项目运营期间无废气产生。</w:t>
            </w:r>
          </w:p>
          <w:p>
            <w:pPr>
              <w:pStyle w:val="38"/>
              <w:rPr>
                <w:b/>
                <w:bCs/>
                <w:sz w:val="24"/>
                <w:szCs w:val="24"/>
              </w:rPr>
            </w:pPr>
            <w:r>
              <w:rPr>
                <w:b/>
                <w:bCs/>
                <w:sz w:val="24"/>
                <w:szCs w:val="24"/>
              </w:rPr>
              <w:t>3、噪声污染源处理和排放情况</w:t>
            </w:r>
          </w:p>
          <w:p>
            <w:pPr>
              <w:pStyle w:val="38"/>
              <w:ind w:firstLine="480" w:firstLineChars="200"/>
              <w:rPr>
                <w:sz w:val="24"/>
                <w:szCs w:val="24"/>
              </w:rPr>
            </w:pPr>
            <w:bookmarkStart w:id="44" w:name="_Hlk62821965"/>
            <w:r>
              <w:rPr>
                <w:sz w:val="24"/>
                <w:szCs w:val="24"/>
              </w:rPr>
              <w:t>本项目噪声主要为发电机组、各类风机、水泵运行过程中产生。</w:t>
            </w:r>
          </w:p>
          <w:p>
            <w:pPr>
              <w:pStyle w:val="38"/>
              <w:ind w:firstLine="480" w:firstLineChars="200"/>
              <w:rPr>
                <w:sz w:val="24"/>
                <w:szCs w:val="24"/>
              </w:rPr>
            </w:pPr>
            <w:r>
              <w:rPr>
                <w:sz w:val="24"/>
                <w:szCs w:val="24"/>
              </w:rPr>
              <w:t>本项目选用低噪声设备，声源大多设在室内，采取减振、隔声措施，在发电机房周围及其它地面硬化以外的零散空地种植花草树木进行绿化，削减噪声产生的影响。</w:t>
            </w:r>
          </w:p>
          <w:bookmarkEnd w:id="44"/>
          <w:p>
            <w:pPr>
              <w:pStyle w:val="38"/>
              <w:rPr>
                <w:b/>
                <w:bCs/>
                <w:sz w:val="24"/>
                <w:szCs w:val="24"/>
              </w:rPr>
            </w:pPr>
            <w:r>
              <w:rPr>
                <w:b/>
                <w:bCs/>
                <w:sz w:val="24"/>
                <w:szCs w:val="24"/>
              </w:rPr>
              <w:t>4、固体废物处理和排放情况</w:t>
            </w:r>
          </w:p>
          <w:p>
            <w:pPr>
              <w:pStyle w:val="38"/>
              <w:ind w:firstLine="480" w:firstLineChars="200"/>
              <w:rPr>
                <w:sz w:val="24"/>
                <w:szCs w:val="24"/>
              </w:rPr>
            </w:pPr>
            <w:r>
              <w:rPr>
                <w:sz w:val="24"/>
                <w:szCs w:val="24"/>
              </w:rPr>
              <w:t>本项目固废主要为新增人员产生的生活垃圾，年产生量为2.14t/a，依托太钢厂区内现有环卫设施收集后，定期由环卫部门统一处理。</w:t>
            </w: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tc>
      </w:tr>
    </w:tbl>
    <w:p>
      <w:pPr>
        <w:pStyle w:val="4"/>
        <w:rPr>
          <w:rFonts w:ascii="Times New Roman" w:hAnsi="Times New Roman" w:cs="Times New Roman"/>
        </w:rPr>
      </w:pPr>
      <w:bookmarkStart w:id="45" w:name="_Toc86138276"/>
      <w:r>
        <w:rPr>
          <w:rFonts w:ascii="Times New Roman" w:hAnsi="Times New Roman" w:cs="Times New Roman"/>
        </w:rPr>
        <w:t>表四  建设项目环境影响报告表主要结论及审批部门审批决定</w:t>
      </w:r>
      <w:bookmarkEnd w:id="45"/>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978"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1、环境影响报告表主要结论与建议</w:t>
            </w:r>
          </w:p>
          <w:p>
            <w:pPr>
              <w:pStyle w:val="38"/>
              <w:ind w:firstLine="480" w:firstLineChars="200"/>
              <w:rPr>
                <w:sz w:val="24"/>
                <w:szCs w:val="24"/>
              </w:rPr>
            </w:pPr>
            <w:r>
              <w:rPr>
                <w:sz w:val="24"/>
                <w:szCs w:val="24"/>
              </w:rPr>
              <w:t>《山西太钢不锈钢股份有限公司低参数余热利用项目及烟气余热回收改造工程环境影响报告表》包含了低参数余热利用项目和烟气余热回收改造工程两个项目的相关内容，由于烟气余热回收改造工程未进行建设，本次只对低参数余热利用项目进行环保验收，有关低参数余热利用项目的环境影响报告表主要结论与建议如下：</w:t>
            </w:r>
          </w:p>
          <w:p>
            <w:pPr>
              <w:pStyle w:val="38"/>
              <w:ind w:firstLine="480" w:firstLineChars="200"/>
              <w:rPr>
                <w:sz w:val="24"/>
                <w:szCs w:val="24"/>
              </w:rPr>
            </w:pPr>
            <w:r>
              <w:rPr>
                <w:sz w:val="24"/>
                <w:szCs w:val="24"/>
              </w:rPr>
              <w:t>本项目的建设，符合国家及地方的产业政策，符合太原市总体规划要求，选址合理。经分析评价，该项目在建成投入运营后会产生少量的污染物，在全面落实本报告提出的各项环境污染治理措施的基础上，可基本控制环境污染，做到废水、噪声及固体废物达标排放，对环境影响较小。因此，该项目的建设从环保角度讲是可行的。</w:t>
            </w:r>
          </w:p>
          <w:p>
            <w:pPr>
              <w:pStyle w:val="38"/>
              <w:ind w:firstLine="480" w:firstLineChars="200"/>
              <w:rPr>
                <w:sz w:val="24"/>
                <w:szCs w:val="24"/>
              </w:rPr>
            </w:pPr>
            <w:r>
              <w:rPr>
                <w:sz w:val="24"/>
                <w:szCs w:val="24"/>
              </w:rPr>
              <w:t>（1）结论中主要环境影响及环保措施要求</w:t>
            </w:r>
          </w:p>
          <w:p>
            <w:pPr>
              <w:pStyle w:val="38"/>
              <w:ind w:left="2" w:leftChars="-5" w:hanging="12" w:hangingChars="5"/>
              <w:jc w:val="center"/>
              <w:rPr>
                <w:sz w:val="24"/>
                <w:szCs w:val="24"/>
              </w:rPr>
            </w:pPr>
            <w:r>
              <w:rPr>
                <w:sz w:val="24"/>
                <w:szCs w:val="24"/>
              </w:rPr>
              <w:t>表3  环境影响报告表结论中主要环境影响及环保措施要求</w:t>
            </w:r>
          </w:p>
          <w:tbl>
            <w:tblPr>
              <w:tblStyle w:val="27"/>
              <w:tblW w:w="87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01"/>
              <w:gridCol w:w="1417"/>
              <w:gridCol w:w="1417"/>
              <w:gridCol w:w="2836"/>
              <w:gridCol w:w="2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污染类型</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排放源</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污染物名称</w:t>
                  </w:r>
                </w:p>
              </w:tc>
              <w:tc>
                <w:tcPr>
                  <w:tcW w:w="283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防治措施</w:t>
                  </w:r>
                </w:p>
              </w:tc>
              <w:tc>
                <w:tcPr>
                  <w:tcW w:w="226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预期治理效果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01"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废水</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ind w:left="-57" w:right="-57"/>
                    <w:jc w:val="center"/>
                    <w:rPr>
                      <w:rFonts w:ascii="Times New Roman" w:hAnsi="Times New Roman" w:cs="Times New Roman"/>
                    </w:rPr>
                  </w:pPr>
                  <w:r>
                    <w:rPr>
                      <w:rFonts w:ascii="Times New Roman" w:hAnsi="Times New Roman" w:cs="Times New Roman"/>
                    </w:rPr>
                    <w:t>汽轮机冷凝水</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清洁水</w:t>
                  </w:r>
                </w:p>
              </w:tc>
              <w:tc>
                <w:tcPr>
                  <w:tcW w:w="283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lang w:bidi="en-US"/>
                    </w:rPr>
                    <w:t>全部收集于下部凝结水箱经凝结泵送入现有凝结水处理装置，不外排。</w:t>
                  </w:r>
                </w:p>
              </w:tc>
              <w:tc>
                <w:tcPr>
                  <w:tcW w:w="226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不会对周围环境造成影响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01"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生活污水</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BOD、COD、氨氮等</w:t>
                  </w:r>
                </w:p>
              </w:tc>
              <w:tc>
                <w:tcPr>
                  <w:tcW w:w="283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经化粪池处理后就近排入太钢生活污水管网，最终进入赵庄污水处理厂集中处理后回用。</w:t>
                  </w:r>
                </w:p>
              </w:tc>
              <w:tc>
                <w:tcPr>
                  <w:tcW w:w="226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不会对周围环境造成影响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各类设备</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283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采用低噪设备、基础减振、隔声吸声、室内布置</w:t>
                  </w:r>
                </w:p>
              </w:tc>
              <w:tc>
                <w:tcPr>
                  <w:tcW w:w="226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《工业企业厂界环境噪声排放标准》（GB12348-2008）中3类标准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801"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固体废物</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职工</w:t>
                  </w:r>
                </w:p>
              </w:tc>
              <w:tc>
                <w:tcPr>
                  <w:tcW w:w="141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生活垃圾</w:t>
                  </w:r>
                </w:p>
              </w:tc>
              <w:tc>
                <w:tcPr>
                  <w:tcW w:w="283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厂区设封闭垃圾箱，定期交环卫部门统一处理</w:t>
                  </w:r>
                </w:p>
              </w:tc>
              <w:tc>
                <w:tcPr>
                  <w:tcW w:w="226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合理处置，不会对周围环境造成影响</w:t>
                  </w:r>
                </w:p>
              </w:tc>
            </w:tr>
          </w:tbl>
          <w:p>
            <w:pPr>
              <w:pStyle w:val="38"/>
              <w:ind w:firstLine="480" w:firstLineChars="200"/>
              <w:rPr>
                <w:sz w:val="24"/>
                <w:szCs w:val="24"/>
              </w:rPr>
            </w:pPr>
            <w:r>
              <w:rPr>
                <w:sz w:val="24"/>
                <w:szCs w:val="24"/>
              </w:rPr>
              <w:t>（2）建议</w:t>
            </w:r>
          </w:p>
          <w:p>
            <w:pPr>
              <w:pStyle w:val="38"/>
              <w:ind w:firstLine="480" w:firstLineChars="200"/>
              <w:rPr>
                <w:sz w:val="24"/>
                <w:szCs w:val="24"/>
              </w:rPr>
            </w:pPr>
            <w:r>
              <w:rPr>
                <w:sz w:val="24"/>
                <w:szCs w:val="24"/>
              </w:rPr>
              <w:t>1）本项目要严格执行“三同时”制度，即防治污染的设施与主体工程“同时设计、同时施工、同时运行“。</w:t>
            </w:r>
          </w:p>
          <w:p>
            <w:pPr>
              <w:pStyle w:val="38"/>
              <w:ind w:firstLine="480" w:firstLineChars="200"/>
              <w:rPr>
                <w:sz w:val="24"/>
                <w:szCs w:val="24"/>
              </w:rPr>
            </w:pPr>
            <w:r>
              <w:rPr>
                <w:sz w:val="24"/>
                <w:szCs w:val="24"/>
              </w:rPr>
              <w:t>2）加强管理，保证节能设施稳定运行，并应对其经常检修，最大限度做到节能减排。</w:t>
            </w:r>
          </w:p>
          <w:p>
            <w:pPr>
              <w:pStyle w:val="38"/>
              <w:ind w:firstLine="480" w:firstLineChars="200"/>
              <w:rPr>
                <w:sz w:val="24"/>
                <w:szCs w:val="24"/>
              </w:rPr>
            </w:pPr>
            <w:r>
              <w:rPr>
                <w:sz w:val="24"/>
                <w:szCs w:val="24"/>
              </w:rPr>
              <w:t>3）加强环保宣传教育，提高职工的环保意识。</w:t>
            </w:r>
          </w:p>
          <w:p>
            <w:pPr>
              <w:pStyle w:val="38"/>
              <w:ind w:firstLine="480" w:firstLineChars="200"/>
              <w:rPr>
                <w:sz w:val="24"/>
                <w:szCs w:val="24"/>
              </w:rPr>
            </w:pPr>
            <w:r>
              <w:rPr>
                <w:sz w:val="24"/>
                <w:szCs w:val="24"/>
              </w:rPr>
              <w:t>4）厂区要加强绿化、美化，实现厂区园林化，建设文明工厂。</w:t>
            </w:r>
          </w:p>
          <w:p>
            <w:pPr>
              <w:pStyle w:val="38"/>
              <w:rPr>
                <w:b/>
                <w:bCs/>
                <w:sz w:val="24"/>
                <w:szCs w:val="24"/>
              </w:rPr>
            </w:pPr>
            <w:r>
              <w:rPr>
                <w:b/>
                <w:bCs/>
                <w:sz w:val="24"/>
                <w:szCs w:val="24"/>
              </w:rPr>
              <w:t>2、审批部门审批决定</w:t>
            </w:r>
          </w:p>
          <w:p>
            <w:pPr>
              <w:pStyle w:val="38"/>
              <w:ind w:firstLine="480" w:firstLineChars="200"/>
              <w:rPr>
                <w:sz w:val="24"/>
                <w:szCs w:val="24"/>
              </w:rPr>
            </w:pPr>
            <w:r>
              <w:rPr>
                <w:sz w:val="24"/>
                <w:szCs w:val="24"/>
              </w:rPr>
              <w:t>你单位报送的《山西太钢不锈钢股份有限公司太钢能源动力总厂低参数余热利用项目及烟气余热回收改造工程建设项目环境影响报告表》的报批申请等有关材料已收悉，根据《中华人民共和国环境影响评价法》、《建设项目环境保护管理条例》等有关规定，经研究，现批复如下：</w:t>
            </w:r>
          </w:p>
          <w:p>
            <w:pPr>
              <w:pStyle w:val="38"/>
              <w:ind w:firstLine="480" w:firstLineChars="200"/>
              <w:rPr>
                <w:sz w:val="24"/>
                <w:szCs w:val="24"/>
              </w:rPr>
            </w:pPr>
            <w:r>
              <w:rPr>
                <w:sz w:val="24"/>
                <w:szCs w:val="24"/>
              </w:rPr>
              <w:t>一、原则同意报告表结论和专家技术审查意见。该项目位于太原市尖草坪区尖草坪街2号，占地面积2400m²，总投资为13739.25万元（其中环保投资为210万元）。主要建设内容为太钢能源动力总厂低参数余热利用项目及烟气余热回收改造工程项目，主体工程为建设两台30MW空冷纯凝汽机组，充分发挥现有低压蒸汽富余能力，使富余低压蒸汽最大限度高效发挥其能力；公用工程为供水、供电；环保工程为生活污水、汽轮机凝结水、噪声；依托工程为固废、办公、供水、供电、生活污水、汽轮机凝结水、固废。项目在认真落实报告表及其批复规定的各项环境保护措施的基础上，从环保角度建设可行。如改变工程建设规模、性质、地址，须另行申报，并要服从城市整体规划。</w:t>
            </w:r>
          </w:p>
          <w:p>
            <w:pPr>
              <w:pStyle w:val="38"/>
              <w:ind w:firstLine="480" w:firstLineChars="200"/>
              <w:rPr>
                <w:sz w:val="24"/>
                <w:szCs w:val="24"/>
              </w:rPr>
            </w:pPr>
            <w:r>
              <w:rPr>
                <w:sz w:val="24"/>
                <w:szCs w:val="24"/>
              </w:rPr>
              <w:t>二、同意环评提出的营运期环境保护措施</w:t>
            </w:r>
          </w:p>
          <w:p>
            <w:pPr>
              <w:pStyle w:val="38"/>
              <w:ind w:firstLine="480" w:firstLineChars="200"/>
              <w:rPr>
                <w:sz w:val="24"/>
                <w:szCs w:val="24"/>
              </w:rPr>
            </w:pPr>
            <w:r>
              <w:rPr>
                <w:sz w:val="24"/>
                <w:szCs w:val="24"/>
              </w:rPr>
              <w:t>1、要认真落实水污染防治措施。汽轮机冷凝水全部收集于下部凝结泵送入现的凝结水处理装置，不外排，采暖前期管道试水就近排入公司的渣水系统进行水渣淬冷，循环使用不外排，生活污水经化粪池处理后就近排入太钢生活污水管网，最终进入赵庄污水处理厂集中处理后回用；软水站排水回用于厂区降尘。</w:t>
            </w:r>
          </w:p>
          <w:p>
            <w:pPr>
              <w:pStyle w:val="38"/>
              <w:ind w:firstLine="480" w:firstLineChars="200"/>
              <w:rPr>
                <w:sz w:val="24"/>
                <w:szCs w:val="24"/>
              </w:rPr>
            </w:pPr>
            <w:r>
              <w:rPr>
                <w:sz w:val="24"/>
                <w:szCs w:val="24"/>
              </w:rPr>
              <w:t>2、要防治噪声污染，各类产噪设备，采取室内屏蔽、隔声吸声、安装减振垫等措施，选用立式水泵，设于地下。污染物排放标准执行《工业企业厂界环境噪声排放标准》（GB12348-2008）中3类标准。</w:t>
            </w:r>
          </w:p>
          <w:p>
            <w:pPr>
              <w:pStyle w:val="38"/>
              <w:ind w:firstLine="480" w:firstLineChars="200"/>
              <w:rPr>
                <w:sz w:val="24"/>
                <w:szCs w:val="24"/>
              </w:rPr>
            </w:pPr>
            <w:r>
              <w:rPr>
                <w:sz w:val="24"/>
                <w:szCs w:val="24"/>
              </w:rPr>
              <w:t>3、生活垃圾统一收集后由环卫部门统一处理。</w:t>
            </w:r>
          </w:p>
          <w:p>
            <w:pPr>
              <w:pStyle w:val="38"/>
              <w:ind w:firstLine="480" w:firstLineChars="200"/>
              <w:rPr>
                <w:sz w:val="24"/>
                <w:szCs w:val="24"/>
              </w:rPr>
            </w:pPr>
            <w:r>
              <w:rPr>
                <w:sz w:val="24"/>
                <w:szCs w:val="24"/>
              </w:rPr>
              <w:t>三、报告表和本批复规定的各项环境保护措施要逐项落实，做到污染防治设施和主体工程同时设计、同时施工、同时投入使用。项目运行正常要申请项目竣工环保验收。</w:t>
            </w:r>
          </w:p>
          <w:p>
            <w:pPr>
              <w:pStyle w:val="38"/>
              <w:ind w:firstLine="480" w:firstLineChars="200"/>
              <w:rPr>
                <w:sz w:val="24"/>
                <w:szCs w:val="24"/>
              </w:rPr>
            </w:pPr>
            <w:r>
              <w:rPr>
                <w:sz w:val="24"/>
                <w:szCs w:val="24"/>
              </w:rPr>
              <w:t>四、我分局委托分局监察大队负责本项目的现场检查和监督管理工作。</w:t>
            </w: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rPr>
                <w:b/>
                <w:bCs/>
                <w:sz w:val="24"/>
                <w:szCs w:val="24"/>
              </w:rPr>
            </w:pPr>
            <w:r>
              <w:rPr>
                <w:b/>
                <w:bCs/>
                <w:sz w:val="24"/>
                <w:szCs w:val="24"/>
              </w:rPr>
              <w:t>3、环评及批复要求的环保措施及设施实际完成情况</w:t>
            </w:r>
          </w:p>
          <w:p>
            <w:pPr>
              <w:pStyle w:val="38"/>
              <w:jc w:val="center"/>
              <w:rPr>
                <w:sz w:val="24"/>
                <w:szCs w:val="24"/>
              </w:rPr>
            </w:pPr>
            <w:r>
              <w:rPr>
                <w:sz w:val="24"/>
                <w:szCs w:val="24"/>
              </w:rPr>
              <w:t>表4  环评及批复要求的环保措施及设施实际完成情况</w:t>
            </w:r>
          </w:p>
          <w:tbl>
            <w:tblPr>
              <w:tblStyle w:val="27"/>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3966"/>
              <w:gridCol w:w="3969"/>
              <w:gridCol w:w="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环评及批复要求</w:t>
                  </w:r>
                </w:p>
              </w:tc>
              <w:tc>
                <w:tcPr>
                  <w:tcW w:w="396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实际落实情况</w:t>
                  </w:r>
                </w:p>
              </w:tc>
              <w:tc>
                <w:tcPr>
                  <w:tcW w:w="90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lang w:bidi="en-US"/>
                    </w:rPr>
                    <w:t>汽轮机冷凝水全部收集于下部凝结水箱经凝结泵送入现有凝结水处理装置，不外排。</w:t>
                  </w:r>
                </w:p>
              </w:tc>
              <w:tc>
                <w:tcPr>
                  <w:tcW w:w="3969"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lang w:bidi="en-US"/>
                    </w:rPr>
                    <w:t>汽轮机冷凝水全部收集于下部凝结水箱经凝结泵送入现有凝结水处理装置，不外排。</w:t>
                  </w:r>
                </w:p>
              </w:tc>
              <w:tc>
                <w:tcPr>
                  <w:tcW w:w="90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生活污水经化粪池处理后就近排入太钢生活污水管网，最终进入赵庄污水处理厂集中处理后回用。</w:t>
                  </w:r>
                </w:p>
              </w:tc>
              <w:tc>
                <w:tcPr>
                  <w:tcW w:w="3969"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生活污水经化粪池处理后就近排入太钢生活污水管网，最终进入赵庄污水处理厂集中处理后回用。</w:t>
                  </w:r>
                </w:p>
              </w:tc>
              <w:tc>
                <w:tcPr>
                  <w:tcW w:w="90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各类产噪设备，采取室内屏蔽、隔声吸声、安装减振垫等措施。</w:t>
                  </w:r>
                </w:p>
              </w:tc>
              <w:tc>
                <w:tcPr>
                  <w:tcW w:w="3969"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各类产噪设备，采取室内屏蔽、隔声吸声、安装减振垫等措施。符合《工业企业厂界环境噪声排放标准》（GB12348-2008）中3类标准。</w:t>
                  </w:r>
                </w:p>
              </w:tc>
              <w:tc>
                <w:tcPr>
                  <w:tcW w:w="90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3966"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厂区设封闭垃圾箱，生活垃圾统一收集后定期交环卫部门统一处理。</w:t>
                  </w:r>
                </w:p>
              </w:tc>
              <w:tc>
                <w:tcPr>
                  <w:tcW w:w="3969" w:type="dxa"/>
                  <w:tcBorders>
                    <w:top w:val="single" w:color="auto" w:sz="4" w:space="0"/>
                    <w:left w:val="single" w:color="auto" w:sz="4" w:space="0"/>
                    <w:bottom w:val="single" w:color="auto" w:sz="4" w:space="0"/>
                    <w:right w:val="single" w:color="auto" w:sz="4" w:space="0"/>
                  </w:tcBorders>
                  <w:vAlign w:val="center"/>
                </w:tcPr>
                <w:p>
                  <w:pPr>
                    <w:spacing w:line="276" w:lineRule="auto"/>
                    <w:jc w:val="both"/>
                    <w:rPr>
                      <w:rFonts w:ascii="Times New Roman" w:hAnsi="Times New Roman" w:cs="Times New Roman"/>
                    </w:rPr>
                  </w:pPr>
                  <w:r>
                    <w:rPr>
                      <w:rFonts w:ascii="Times New Roman" w:hAnsi="Times New Roman" w:cs="Times New Roman"/>
                    </w:rPr>
                    <w:t>厂区设封闭垃圾箱，生活垃圾统一收集后定期交环卫部门统一处理。</w:t>
                  </w:r>
                </w:p>
              </w:tc>
              <w:tc>
                <w:tcPr>
                  <w:tcW w:w="90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一致</w:t>
                  </w:r>
                </w:p>
              </w:tc>
            </w:tr>
          </w:tbl>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rPr>
                <w:sz w:val="24"/>
                <w:szCs w:val="24"/>
              </w:rPr>
            </w:pPr>
          </w:p>
        </w:tc>
      </w:tr>
    </w:tbl>
    <w:p>
      <w:pPr>
        <w:rPr>
          <w:rFonts w:ascii="Times New Roman" w:hAnsi="Times New Roman" w:cs="Times New Roman"/>
          <w:color w:val="000000"/>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46" w:name="_Toc86138277"/>
      <w:r>
        <w:rPr>
          <w:rFonts w:ascii="Times New Roman" w:hAnsi="Times New Roman" w:cs="Times New Roman"/>
        </w:rPr>
        <w:t>表五  验收监测质量保证及质量控制</w:t>
      </w:r>
      <w:bookmarkEnd w:id="46"/>
    </w:p>
    <w:tbl>
      <w:tblPr>
        <w:tblStyle w:val="27"/>
        <w:tblW w:w="896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80" w:hRule="atLeast"/>
        </w:trPr>
        <w:tc>
          <w:tcPr>
            <w:tcW w:w="8965"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1、第三方监测机构资质</w:t>
            </w:r>
          </w:p>
          <w:p>
            <w:pPr>
              <w:pStyle w:val="38"/>
              <w:ind w:firstLine="480" w:firstLineChars="200"/>
              <w:rPr>
                <w:sz w:val="24"/>
                <w:szCs w:val="24"/>
              </w:rPr>
            </w:pPr>
            <w:r>
              <w:rPr>
                <w:sz w:val="24"/>
                <w:szCs w:val="24"/>
              </w:rPr>
              <w:t>委托有资质的检（监）测机构进行验收监测，对检（监）测机构的资质进行确认，确认检（监）测机构的监测业务能力符合要求。</w:t>
            </w:r>
          </w:p>
          <w:p>
            <w:pPr>
              <w:pStyle w:val="38"/>
              <w:ind w:firstLine="480" w:firstLineChars="200"/>
              <w:rPr>
                <w:sz w:val="24"/>
                <w:szCs w:val="24"/>
              </w:rPr>
            </w:pPr>
            <w:r>
              <w:rPr>
                <w:sz w:val="24"/>
                <w:szCs w:val="24"/>
              </w:rPr>
              <w:t>本项目具体由山西太钢环境监测有限公司承担本次竣工环保验收的监测工作。</w:t>
            </w:r>
          </w:p>
          <w:p>
            <w:pPr>
              <w:pStyle w:val="38"/>
              <w:rPr>
                <w:b/>
                <w:bCs/>
                <w:sz w:val="24"/>
                <w:szCs w:val="24"/>
              </w:rPr>
            </w:pPr>
            <w:r>
              <w:rPr>
                <w:b/>
                <w:bCs/>
                <w:sz w:val="24"/>
                <w:szCs w:val="24"/>
              </w:rPr>
              <w:t>2、质量保证及质量控制措施</w:t>
            </w:r>
          </w:p>
          <w:p>
            <w:pPr>
              <w:pStyle w:val="38"/>
              <w:ind w:firstLine="480" w:firstLineChars="200"/>
              <w:rPr>
                <w:sz w:val="24"/>
                <w:szCs w:val="24"/>
              </w:rPr>
            </w:pPr>
            <w:r>
              <w:rPr>
                <w:sz w:val="24"/>
                <w:szCs w:val="24"/>
              </w:rPr>
              <w:t>为确保本次监测数据准确、可靠，代表性强，依据《环境监测质量管理技术导则》（HJ630-2011）、《固定污染源监测质量保证与质量控制技术规范（试行）》（HJ/T373-2007）、《工业企业厂界环境噪声排放标准》（GB12348-2008）等有关规定，对监测全程序进行质量控制，主要措施有：</w:t>
            </w:r>
          </w:p>
          <w:p>
            <w:pPr>
              <w:pStyle w:val="38"/>
              <w:ind w:firstLine="480" w:firstLineChars="200"/>
              <w:rPr>
                <w:sz w:val="24"/>
                <w:szCs w:val="24"/>
              </w:rPr>
            </w:pPr>
            <w:r>
              <w:rPr>
                <w:sz w:val="24"/>
                <w:szCs w:val="24"/>
              </w:rPr>
              <w:t>（1）人员持证上岗</w:t>
            </w:r>
          </w:p>
          <w:p>
            <w:pPr>
              <w:pStyle w:val="38"/>
              <w:ind w:firstLine="480" w:firstLineChars="200"/>
              <w:rPr>
                <w:sz w:val="24"/>
                <w:szCs w:val="24"/>
              </w:rPr>
            </w:pPr>
            <w:r>
              <w:rPr>
                <w:sz w:val="24"/>
                <w:szCs w:val="24"/>
              </w:rPr>
              <w:t>山西太钢环境监测有限公司参加本次竣工环保验收监测工作的所有监测人员均持证上岗，监测人员姓名及上岗证号见下表：</w:t>
            </w:r>
          </w:p>
          <w:p>
            <w:pPr>
              <w:pStyle w:val="38"/>
              <w:jc w:val="center"/>
              <w:rPr>
                <w:sz w:val="24"/>
                <w:szCs w:val="24"/>
              </w:rPr>
            </w:pPr>
            <w:r>
              <w:rPr>
                <w:sz w:val="24"/>
                <w:szCs w:val="24"/>
              </w:rPr>
              <w:t>表5  监测人员姓名及上岗证号一览表</w:t>
            </w:r>
          </w:p>
          <w:tbl>
            <w:tblPr>
              <w:tblStyle w:val="27"/>
              <w:tblW w:w="65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178"/>
              <w:gridCol w:w="2179"/>
              <w:gridCol w:w="2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姓名</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color w:val="000000"/>
                    </w:rPr>
                    <w:t>赵江</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color w:val="000000"/>
                    </w:rPr>
                    <w:t>郝伟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2178"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上岗证号</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color w:val="000000"/>
                    </w:rPr>
                    <w:t>TGHJ012</w:t>
                  </w:r>
                </w:p>
              </w:tc>
              <w:tc>
                <w:tcPr>
                  <w:tcW w:w="2179"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color w:val="000000"/>
                    </w:rPr>
                    <w:t>TGHJ011</w:t>
                  </w:r>
                </w:p>
              </w:tc>
            </w:tr>
          </w:tbl>
          <w:p>
            <w:pPr>
              <w:pStyle w:val="38"/>
              <w:ind w:firstLine="480" w:firstLineChars="200"/>
              <w:rPr>
                <w:sz w:val="24"/>
                <w:szCs w:val="24"/>
              </w:rPr>
            </w:pPr>
            <w:r>
              <w:rPr>
                <w:sz w:val="24"/>
                <w:szCs w:val="24"/>
              </w:rPr>
              <w:t>（2）监测分析方法</w:t>
            </w:r>
          </w:p>
          <w:p>
            <w:pPr>
              <w:pStyle w:val="38"/>
              <w:ind w:firstLine="480" w:firstLineChars="200"/>
              <w:rPr>
                <w:sz w:val="24"/>
                <w:szCs w:val="24"/>
              </w:rPr>
            </w:pPr>
            <w:r>
              <w:rPr>
                <w:sz w:val="24"/>
                <w:szCs w:val="24"/>
              </w:rPr>
              <w:t>本次竣工环保验收选择监测方法均</w:t>
            </w:r>
            <w:r>
              <w:rPr>
                <w:color w:val="000000"/>
                <w:sz w:val="24"/>
                <w:szCs w:val="24"/>
              </w:rPr>
              <w:t>采用国家有关部门颁布的标准（或推荐）方法</w:t>
            </w:r>
            <w:r>
              <w:rPr>
                <w:sz w:val="24"/>
                <w:szCs w:val="24"/>
              </w:rPr>
              <w:t>，详见下表：</w:t>
            </w:r>
          </w:p>
          <w:p>
            <w:pPr>
              <w:pStyle w:val="38"/>
              <w:jc w:val="center"/>
              <w:rPr>
                <w:sz w:val="24"/>
                <w:szCs w:val="24"/>
              </w:rPr>
            </w:pPr>
            <w:r>
              <w:rPr>
                <w:sz w:val="24"/>
                <w:szCs w:val="24"/>
              </w:rPr>
              <w:t>表6  监测分析方法一览表</w:t>
            </w:r>
          </w:p>
          <w:tbl>
            <w:tblPr>
              <w:tblStyle w:val="27"/>
              <w:tblW w:w="8736"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37"/>
              <w:gridCol w:w="1397"/>
              <w:gridCol w:w="3543"/>
              <w:gridCol w:w="1276"/>
              <w:gridCol w:w="1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trPr>
              <w:tc>
                <w:tcPr>
                  <w:tcW w:w="73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类别</w:t>
                  </w: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项目</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分析方法</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方法或仪器最低检出限</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方法来源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trPr>
              <w:tc>
                <w:tcPr>
                  <w:tcW w:w="73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4"/>
                      <w:sz w:val="21"/>
                      <w:szCs w:val="21"/>
                    </w:rPr>
                  </w:pPr>
                  <w:r>
                    <w:rPr>
                      <w:rStyle w:val="64"/>
                      <w:sz w:val="21"/>
                      <w:szCs w:val="21"/>
                    </w:rPr>
                    <w:t>噪声</w:t>
                  </w:r>
                </w:p>
              </w:tc>
              <w:tc>
                <w:tcPr>
                  <w:tcW w:w="139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4"/>
                      <w:sz w:val="21"/>
                      <w:szCs w:val="21"/>
                    </w:rPr>
                  </w:pPr>
                  <w:r>
                    <w:rPr>
                      <w:rStyle w:val="64"/>
                      <w:sz w:val="21"/>
                      <w:szCs w:val="21"/>
                    </w:rPr>
                    <w:t>厂界噪声</w:t>
                  </w:r>
                </w:p>
              </w:tc>
              <w:tc>
                <w:tcPr>
                  <w:tcW w:w="354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4"/>
                      <w:sz w:val="21"/>
                      <w:szCs w:val="21"/>
                    </w:rPr>
                  </w:pPr>
                  <w:r>
                    <w:rPr>
                      <w:rStyle w:val="64"/>
                      <w:sz w:val="21"/>
                      <w:szCs w:val="21"/>
                    </w:rPr>
                    <w:t>《工业企业厂界环境噪声排放标准》</w:t>
                  </w:r>
                </w:p>
              </w:tc>
              <w:tc>
                <w:tcPr>
                  <w:tcW w:w="1276"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4"/>
                      <w:sz w:val="21"/>
                      <w:szCs w:val="21"/>
                    </w:rPr>
                  </w:pPr>
                  <w:r>
                    <w:rPr>
                      <w:rStyle w:val="64"/>
                      <w:sz w:val="21"/>
                      <w:szCs w:val="21"/>
                    </w:rPr>
                    <w:t>35dB</w:t>
                  </w:r>
                </w:p>
              </w:tc>
              <w:tc>
                <w:tcPr>
                  <w:tcW w:w="178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Style w:val="64"/>
                      <w:sz w:val="21"/>
                      <w:szCs w:val="21"/>
                    </w:rPr>
                  </w:pPr>
                  <w:r>
                    <w:rPr>
                      <w:rStyle w:val="64"/>
                      <w:sz w:val="21"/>
                      <w:szCs w:val="21"/>
                    </w:rPr>
                    <w:t>GB12348-2008</w:t>
                  </w:r>
                </w:p>
              </w:tc>
            </w:tr>
          </w:tbl>
          <w:p>
            <w:pPr>
              <w:pStyle w:val="38"/>
              <w:ind w:firstLine="480" w:firstLineChars="200"/>
              <w:rPr>
                <w:sz w:val="24"/>
                <w:szCs w:val="24"/>
              </w:rPr>
            </w:pPr>
            <w:r>
              <w:rPr>
                <w:sz w:val="24"/>
                <w:szCs w:val="24"/>
              </w:rPr>
              <w:t>（3）监测仪器</w:t>
            </w:r>
          </w:p>
          <w:p>
            <w:pPr>
              <w:pStyle w:val="38"/>
              <w:ind w:firstLine="480" w:firstLineChars="200"/>
              <w:rPr>
                <w:sz w:val="24"/>
                <w:szCs w:val="24"/>
              </w:rPr>
            </w:pPr>
            <w:r>
              <w:rPr>
                <w:sz w:val="24"/>
                <w:szCs w:val="24"/>
              </w:rPr>
              <w:t>监测所用采样、分析仪器、计量器具经有资质的单位检定合格，并在检定周期有效期内的，以确保监测与分析仪器的准确计量，监测使用仪器见下表：</w:t>
            </w:r>
          </w:p>
          <w:p>
            <w:pPr>
              <w:pStyle w:val="38"/>
              <w:jc w:val="center"/>
              <w:rPr>
                <w:sz w:val="24"/>
                <w:szCs w:val="24"/>
              </w:rPr>
            </w:pPr>
            <w:r>
              <w:rPr>
                <w:sz w:val="24"/>
                <w:szCs w:val="24"/>
              </w:rPr>
              <w:t>表7  监测仪器一览表</w:t>
            </w:r>
          </w:p>
          <w:tbl>
            <w:tblPr>
              <w:tblStyle w:val="27"/>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57"/>
              <w:gridCol w:w="2927"/>
              <w:gridCol w:w="1675"/>
              <w:gridCol w:w="1396"/>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357"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项目</w:t>
                  </w:r>
                </w:p>
              </w:tc>
              <w:tc>
                <w:tcPr>
                  <w:tcW w:w="2927"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仪器名称及型号</w:t>
                  </w:r>
                </w:p>
              </w:tc>
              <w:tc>
                <w:tcPr>
                  <w:tcW w:w="1675"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管理编号</w:t>
                  </w:r>
                </w:p>
              </w:tc>
              <w:tc>
                <w:tcPr>
                  <w:tcW w:w="1396"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检定部门</w:t>
                  </w:r>
                </w:p>
              </w:tc>
              <w:tc>
                <w:tcPr>
                  <w:tcW w:w="1115" w:type="dxa"/>
                  <w:tcBorders>
                    <w:top w:val="single" w:color="auto" w:sz="4" w:space="0"/>
                  </w:tcBorders>
                  <w:vAlign w:val="center"/>
                </w:tcPr>
                <w:p>
                  <w:pPr>
                    <w:spacing w:line="276" w:lineRule="auto"/>
                    <w:jc w:val="center"/>
                    <w:rPr>
                      <w:rFonts w:ascii="Times New Roman" w:hAnsi="Times New Roman" w:cs="Times New Roman"/>
                      <w:b/>
                    </w:rPr>
                  </w:pPr>
                  <w:r>
                    <w:rPr>
                      <w:rFonts w:ascii="Times New Roman" w:hAnsi="Times New Roman" w:cs="Times New Roman"/>
                      <w:b/>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357"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噪声</w:t>
                  </w:r>
                </w:p>
              </w:tc>
              <w:tc>
                <w:tcPr>
                  <w:tcW w:w="2927" w:type="dxa"/>
                  <w:vAlign w:val="center"/>
                </w:tcPr>
                <w:p>
                  <w:pPr>
                    <w:pStyle w:val="43"/>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PH-II-C手持气象站</w:t>
                  </w:r>
                </w:p>
              </w:tc>
              <w:tc>
                <w:tcPr>
                  <w:tcW w:w="1675" w:type="dxa"/>
                  <w:vAlign w:val="center"/>
                </w:tcPr>
                <w:p>
                  <w:pPr>
                    <w:pStyle w:val="43"/>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TGHJ-100</w:t>
                  </w:r>
                </w:p>
              </w:tc>
              <w:tc>
                <w:tcPr>
                  <w:tcW w:w="1396"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山西省计量科学研究院</w:t>
                  </w:r>
                </w:p>
              </w:tc>
              <w:tc>
                <w:tcPr>
                  <w:tcW w:w="1115" w:type="dxa"/>
                  <w:vAlign w:val="center"/>
                </w:tcPr>
                <w:p>
                  <w:pPr>
                    <w:spacing w:line="276" w:lineRule="auto"/>
                    <w:jc w:val="center"/>
                    <w:rPr>
                      <w:rFonts w:ascii="Times New Roman" w:hAnsi="Times New Roman" w:cs="Times New Roman"/>
                      <w:spacing w:val="-20"/>
                    </w:rPr>
                  </w:pPr>
                  <w:r>
                    <w:rPr>
                      <w:rFonts w:ascii="Times New Roman" w:hAnsi="Times New Roman" w:cs="Times New Roman"/>
                    </w:rPr>
                    <w:t>2022.7.4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357" w:type="dxa"/>
                  <w:vMerge w:val="continue"/>
                  <w:vAlign w:val="center"/>
                </w:tcPr>
                <w:p>
                  <w:pPr>
                    <w:spacing w:line="276" w:lineRule="auto"/>
                    <w:jc w:val="center"/>
                    <w:rPr>
                      <w:rFonts w:ascii="Times New Roman" w:hAnsi="Times New Roman" w:cs="Times New Roman"/>
                    </w:rPr>
                  </w:pPr>
                </w:p>
              </w:tc>
              <w:tc>
                <w:tcPr>
                  <w:tcW w:w="2927" w:type="dxa"/>
                  <w:vAlign w:val="center"/>
                </w:tcPr>
                <w:p>
                  <w:pPr>
                    <w:pStyle w:val="43"/>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HS6288B噪声频谱分析仪</w:t>
                  </w:r>
                </w:p>
              </w:tc>
              <w:tc>
                <w:tcPr>
                  <w:tcW w:w="1675" w:type="dxa"/>
                  <w:vAlign w:val="center"/>
                </w:tcPr>
                <w:p>
                  <w:pPr>
                    <w:pStyle w:val="43"/>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TGHJ-065</w:t>
                  </w:r>
                </w:p>
              </w:tc>
              <w:tc>
                <w:tcPr>
                  <w:tcW w:w="1396" w:type="dxa"/>
                  <w:vMerge w:val="continue"/>
                  <w:vAlign w:val="center"/>
                </w:tcPr>
                <w:p>
                  <w:pPr>
                    <w:pStyle w:val="43"/>
                    <w:snapToGrid w:val="0"/>
                    <w:spacing w:before="120" w:line="276" w:lineRule="auto"/>
                    <w:jc w:val="center"/>
                    <w:rPr>
                      <w:rFonts w:ascii="Times New Roman" w:hAnsi="Times New Roman" w:cs="Times New Roman"/>
                      <w:color w:val="auto"/>
                      <w:kern w:val="2"/>
                      <w:sz w:val="21"/>
                      <w:szCs w:val="21"/>
                    </w:rPr>
                  </w:pPr>
                </w:p>
              </w:tc>
              <w:tc>
                <w:tcPr>
                  <w:tcW w:w="1115" w:type="dxa"/>
                  <w:vAlign w:val="center"/>
                </w:tcPr>
                <w:p>
                  <w:pPr>
                    <w:spacing w:line="276" w:lineRule="auto"/>
                    <w:jc w:val="center"/>
                    <w:rPr>
                      <w:rFonts w:ascii="Times New Roman" w:hAnsi="Times New Roman" w:cs="Times New Roman"/>
                      <w:spacing w:val="-20"/>
                    </w:rPr>
                  </w:pPr>
                  <w:r>
                    <w:rPr>
                      <w:rFonts w:ascii="Times New Roman" w:hAnsi="Times New Roman" w:cs="Times New Roman"/>
                    </w:rPr>
                    <w:t>2022.7.4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357" w:type="dxa"/>
                  <w:vMerge w:val="continue"/>
                  <w:vAlign w:val="center"/>
                </w:tcPr>
                <w:p>
                  <w:pPr>
                    <w:widowControl w:val="0"/>
                    <w:spacing w:line="276" w:lineRule="auto"/>
                    <w:contextualSpacing/>
                    <w:jc w:val="center"/>
                    <w:rPr>
                      <w:rFonts w:ascii="Times New Roman" w:hAnsi="Times New Roman" w:cs="Times New Roman"/>
                    </w:rPr>
                  </w:pPr>
                </w:p>
              </w:tc>
              <w:tc>
                <w:tcPr>
                  <w:tcW w:w="2927" w:type="dxa"/>
                  <w:vAlign w:val="center"/>
                </w:tcPr>
                <w:p>
                  <w:pPr>
                    <w:pStyle w:val="43"/>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HS6020声校准器</w:t>
                  </w:r>
                </w:p>
              </w:tc>
              <w:tc>
                <w:tcPr>
                  <w:tcW w:w="1675" w:type="dxa"/>
                  <w:vAlign w:val="center"/>
                </w:tcPr>
                <w:p>
                  <w:pPr>
                    <w:pStyle w:val="43"/>
                    <w:spacing w:before="120" w:line="276" w:lineRule="auto"/>
                    <w:contextualSpacing/>
                    <w:jc w:val="center"/>
                    <w:rPr>
                      <w:rFonts w:ascii="Times New Roman" w:hAnsi="Times New Roman" w:cs="Times New Roman"/>
                      <w:color w:val="auto"/>
                      <w:sz w:val="21"/>
                      <w:szCs w:val="21"/>
                    </w:rPr>
                  </w:pPr>
                  <w:r>
                    <w:rPr>
                      <w:rFonts w:ascii="Times New Roman" w:hAnsi="Times New Roman" w:cs="Times New Roman"/>
                      <w:color w:val="auto"/>
                      <w:sz w:val="21"/>
                      <w:szCs w:val="21"/>
                    </w:rPr>
                    <w:t>TGHJ-063</w:t>
                  </w:r>
                </w:p>
              </w:tc>
              <w:tc>
                <w:tcPr>
                  <w:tcW w:w="1396" w:type="dxa"/>
                  <w:vMerge w:val="continue"/>
                  <w:vAlign w:val="center"/>
                </w:tcPr>
                <w:p>
                  <w:pPr>
                    <w:pStyle w:val="43"/>
                    <w:snapToGrid w:val="0"/>
                    <w:spacing w:before="120" w:line="276" w:lineRule="auto"/>
                    <w:jc w:val="center"/>
                    <w:rPr>
                      <w:rFonts w:ascii="Times New Roman" w:hAnsi="Times New Roman" w:cs="Times New Roman"/>
                      <w:color w:val="auto"/>
                      <w:kern w:val="2"/>
                      <w:sz w:val="21"/>
                      <w:szCs w:val="21"/>
                    </w:rPr>
                  </w:pPr>
                </w:p>
              </w:tc>
              <w:tc>
                <w:tcPr>
                  <w:tcW w:w="1115" w:type="dxa"/>
                  <w:vAlign w:val="center"/>
                </w:tcPr>
                <w:p>
                  <w:pPr>
                    <w:spacing w:line="276" w:lineRule="auto"/>
                    <w:jc w:val="center"/>
                    <w:rPr>
                      <w:rFonts w:ascii="Times New Roman" w:hAnsi="Times New Roman" w:cs="Times New Roman"/>
                      <w:spacing w:val="-20"/>
                    </w:rPr>
                  </w:pPr>
                  <w:r>
                    <w:rPr>
                      <w:rFonts w:ascii="Times New Roman" w:hAnsi="Times New Roman" w:cs="Times New Roman"/>
                    </w:rPr>
                    <w:t>2022.7.4</w:t>
                  </w:r>
                </w:p>
              </w:tc>
            </w:tr>
          </w:tbl>
          <w:p>
            <w:pPr>
              <w:pStyle w:val="38"/>
              <w:ind w:firstLine="480" w:firstLineChars="200"/>
              <w:rPr>
                <w:sz w:val="24"/>
                <w:szCs w:val="24"/>
              </w:rPr>
            </w:pPr>
            <w:r>
              <w:rPr>
                <w:sz w:val="24"/>
                <w:szCs w:val="24"/>
              </w:rPr>
              <w:t>（4）采样仪器校准</w:t>
            </w:r>
          </w:p>
          <w:p>
            <w:pPr>
              <w:pStyle w:val="38"/>
              <w:ind w:firstLine="480" w:firstLineChars="200"/>
              <w:rPr>
                <w:sz w:val="24"/>
                <w:szCs w:val="24"/>
              </w:rPr>
            </w:pPr>
            <w:r>
              <w:rPr>
                <w:sz w:val="24"/>
                <w:szCs w:val="24"/>
              </w:rPr>
              <w:t>声级计校准见下表：</w:t>
            </w:r>
          </w:p>
          <w:p>
            <w:pPr>
              <w:pStyle w:val="38"/>
              <w:jc w:val="center"/>
              <w:rPr>
                <w:sz w:val="24"/>
                <w:szCs w:val="24"/>
              </w:rPr>
            </w:pPr>
            <w:r>
              <w:rPr>
                <w:sz w:val="24"/>
                <w:szCs w:val="24"/>
              </w:rPr>
              <w:t>表8  声级计校准一览表</w:t>
            </w:r>
          </w:p>
          <w:tbl>
            <w:tblPr>
              <w:tblStyle w:val="27"/>
              <w:tblW w:w="8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38"/>
              <w:gridCol w:w="1133"/>
              <w:gridCol w:w="1421"/>
              <w:gridCol w:w="909"/>
              <w:gridCol w:w="908"/>
              <w:gridCol w:w="908"/>
              <w:gridCol w:w="1021"/>
              <w:gridCol w:w="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38"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仪器名称</w:t>
                  </w:r>
                </w:p>
              </w:tc>
              <w:tc>
                <w:tcPr>
                  <w:tcW w:w="1133"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日 期</w:t>
                  </w:r>
                </w:p>
              </w:tc>
              <w:tc>
                <w:tcPr>
                  <w:tcW w:w="1421"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时 段</w:t>
                  </w:r>
                </w:p>
              </w:tc>
              <w:tc>
                <w:tcPr>
                  <w:tcW w:w="909"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测试前</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校准值</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908"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测试后</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校准值</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908"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标准声源</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数值</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1021"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允许偏差</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（dB）</w:t>
                  </w:r>
                </w:p>
              </w:tc>
              <w:tc>
                <w:tcPr>
                  <w:tcW w:w="680" w:type="dxa"/>
                  <w:vAlign w:val="center"/>
                </w:tcPr>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质控</w:t>
                  </w:r>
                </w:p>
                <w:p>
                  <w:pPr>
                    <w:widowControl w:val="0"/>
                    <w:spacing w:line="276" w:lineRule="auto"/>
                    <w:jc w:val="center"/>
                    <w:rPr>
                      <w:rFonts w:ascii="Times New Roman" w:hAnsi="Times New Roman" w:cs="Times New Roman"/>
                      <w:b/>
                      <w:spacing w:val="-20"/>
                    </w:rPr>
                  </w:pPr>
                  <w:r>
                    <w:rPr>
                      <w:rFonts w:ascii="Times New Roman" w:hAnsi="Times New Roman" w:cs="Times New Roman"/>
                      <w:b/>
                      <w:spacing w:val="-20"/>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38"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噪声频谱</w:t>
                  </w:r>
                </w:p>
                <w:p>
                  <w:pPr>
                    <w:widowControl w:val="0"/>
                    <w:spacing w:line="276" w:lineRule="auto"/>
                    <w:jc w:val="center"/>
                    <w:rPr>
                      <w:rFonts w:ascii="Times New Roman" w:hAnsi="Times New Roman" w:cs="Times New Roman"/>
                    </w:rPr>
                  </w:pPr>
                  <w:r>
                    <w:rPr>
                      <w:rFonts w:ascii="Times New Roman" w:hAnsi="Times New Roman" w:cs="Times New Roman"/>
                    </w:rPr>
                    <w:t>分析仪</w:t>
                  </w:r>
                </w:p>
                <w:p>
                  <w:pPr>
                    <w:pStyle w:val="43"/>
                    <w:spacing w:before="120" w:line="276"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HS6288B</w:t>
                  </w:r>
                </w:p>
              </w:tc>
              <w:tc>
                <w:tcPr>
                  <w:tcW w:w="1133"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2021.8.9</w:t>
                  </w:r>
                </w:p>
              </w:tc>
              <w:tc>
                <w:tcPr>
                  <w:tcW w:w="1421"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昼间</w:t>
                  </w:r>
                </w:p>
              </w:tc>
              <w:tc>
                <w:tcPr>
                  <w:tcW w:w="909"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94.1</w:t>
                  </w:r>
                </w:p>
              </w:tc>
              <w:tc>
                <w:tcPr>
                  <w:tcW w:w="908" w:type="dxa"/>
                  <w:vAlign w:val="center"/>
                </w:tcPr>
                <w:p>
                  <w:pPr>
                    <w:widowControl w:val="0"/>
                    <w:spacing w:line="276" w:lineRule="auto"/>
                    <w:jc w:val="center"/>
                    <w:rPr>
                      <w:rFonts w:ascii="Times New Roman" w:hAnsi="Times New Roman" w:cs="Times New Roman"/>
                    </w:rPr>
                  </w:pPr>
                  <w:r>
                    <w:rPr>
                      <w:rFonts w:ascii="Times New Roman" w:hAnsi="Times New Roman" w:cs="Times New Roman"/>
                    </w:rPr>
                    <w:t>93.9</w:t>
                  </w:r>
                </w:p>
              </w:tc>
              <w:tc>
                <w:tcPr>
                  <w:tcW w:w="908"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94.0</w:t>
                  </w:r>
                </w:p>
              </w:tc>
              <w:tc>
                <w:tcPr>
                  <w:tcW w:w="1021"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±0.5</w:t>
                  </w:r>
                </w:p>
              </w:tc>
              <w:tc>
                <w:tcPr>
                  <w:tcW w:w="680"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38"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133"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421"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夜间</w:t>
                  </w:r>
                </w:p>
              </w:tc>
              <w:tc>
                <w:tcPr>
                  <w:tcW w:w="909"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94.2</w:t>
                  </w:r>
                </w:p>
              </w:tc>
              <w:tc>
                <w:tcPr>
                  <w:tcW w:w="908"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94.1</w:t>
                  </w:r>
                </w:p>
              </w:tc>
              <w:tc>
                <w:tcPr>
                  <w:tcW w:w="908"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021"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680" w:type="dxa"/>
                  <w:vMerge w:val="continue"/>
                  <w:vAlign w:val="center"/>
                </w:tcPr>
                <w:p>
                  <w:pPr>
                    <w:pStyle w:val="43"/>
                    <w:spacing w:before="120" w:line="276" w:lineRule="auto"/>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38"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133" w:type="dxa"/>
                  <w:vMerge w:val="restart"/>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2021.8.10</w:t>
                  </w:r>
                </w:p>
              </w:tc>
              <w:tc>
                <w:tcPr>
                  <w:tcW w:w="1421"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昼间</w:t>
                  </w:r>
                </w:p>
              </w:tc>
              <w:tc>
                <w:tcPr>
                  <w:tcW w:w="909"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94.2</w:t>
                  </w:r>
                </w:p>
              </w:tc>
              <w:tc>
                <w:tcPr>
                  <w:tcW w:w="908"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94.0</w:t>
                  </w:r>
                </w:p>
              </w:tc>
              <w:tc>
                <w:tcPr>
                  <w:tcW w:w="908"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021"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680" w:type="dxa"/>
                  <w:vMerge w:val="continue"/>
                  <w:vAlign w:val="center"/>
                </w:tcPr>
                <w:p>
                  <w:pPr>
                    <w:pStyle w:val="43"/>
                    <w:spacing w:before="120" w:line="276" w:lineRule="auto"/>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38"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133"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421"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夜间</w:t>
                  </w:r>
                </w:p>
              </w:tc>
              <w:tc>
                <w:tcPr>
                  <w:tcW w:w="909"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93.9</w:t>
                  </w:r>
                </w:p>
              </w:tc>
              <w:tc>
                <w:tcPr>
                  <w:tcW w:w="908" w:type="dxa"/>
                  <w:vAlign w:val="center"/>
                </w:tcPr>
                <w:p>
                  <w:pPr>
                    <w:widowControl w:val="0"/>
                    <w:autoSpaceDE w:val="0"/>
                    <w:autoSpaceDN w:val="0"/>
                    <w:spacing w:line="276" w:lineRule="auto"/>
                    <w:jc w:val="center"/>
                    <w:rPr>
                      <w:rFonts w:ascii="Times New Roman" w:hAnsi="Times New Roman" w:cs="Times New Roman"/>
                    </w:rPr>
                  </w:pPr>
                  <w:r>
                    <w:rPr>
                      <w:rFonts w:ascii="Times New Roman" w:hAnsi="Times New Roman" w:cs="Times New Roman"/>
                    </w:rPr>
                    <w:t>94.2</w:t>
                  </w:r>
                </w:p>
              </w:tc>
              <w:tc>
                <w:tcPr>
                  <w:tcW w:w="908"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1021" w:type="dxa"/>
                  <w:vMerge w:val="continue"/>
                  <w:vAlign w:val="center"/>
                </w:tcPr>
                <w:p>
                  <w:pPr>
                    <w:pStyle w:val="43"/>
                    <w:spacing w:before="120" w:line="276" w:lineRule="auto"/>
                    <w:jc w:val="center"/>
                    <w:rPr>
                      <w:rFonts w:ascii="Times New Roman" w:hAnsi="Times New Roman" w:cs="Times New Roman"/>
                      <w:color w:val="auto"/>
                      <w:sz w:val="21"/>
                      <w:szCs w:val="21"/>
                    </w:rPr>
                  </w:pPr>
                </w:p>
              </w:tc>
              <w:tc>
                <w:tcPr>
                  <w:tcW w:w="680" w:type="dxa"/>
                  <w:vMerge w:val="continue"/>
                  <w:vAlign w:val="center"/>
                </w:tcPr>
                <w:p>
                  <w:pPr>
                    <w:pStyle w:val="43"/>
                    <w:spacing w:before="120" w:line="276" w:lineRule="auto"/>
                    <w:jc w:val="center"/>
                    <w:rPr>
                      <w:rFonts w:ascii="Times New Roman" w:hAnsi="Times New Roman" w:cs="Times New Roman"/>
                      <w:color w:val="auto"/>
                      <w:sz w:val="21"/>
                      <w:szCs w:val="21"/>
                    </w:rPr>
                  </w:pPr>
                </w:p>
              </w:tc>
            </w:tr>
          </w:tbl>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p>
            <w:pPr>
              <w:pStyle w:val="38"/>
              <w:ind w:firstLine="480" w:firstLineChars="200"/>
              <w:rPr>
                <w:sz w:val="24"/>
                <w:szCs w:val="24"/>
              </w:rPr>
            </w:pPr>
          </w:p>
        </w:tc>
      </w:tr>
    </w:tbl>
    <w:p>
      <w:pPr>
        <w:pStyle w:val="4"/>
        <w:rPr>
          <w:rFonts w:ascii="Times New Roman" w:hAnsi="Times New Roman" w:cs="Times New Roman"/>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47" w:name="_Toc86138278"/>
      <w:r>
        <w:rPr>
          <w:rFonts w:ascii="Times New Roman" w:hAnsi="Times New Roman" w:cs="Times New Roman"/>
        </w:rPr>
        <w:t>表六  验收监测内容</w:t>
      </w:r>
      <w:bookmarkEnd w:id="47"/>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287"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sz w:val="24"/>
                <w:szCs w:val="24"/>
              </w:rPr>
            </w:pPr>
            <w:r>
              <w:rPr>
                <w:b/>
                <w:bCs/>
                <w:sz w:val="24"/>
                <w:szCs w:val="24"/>
              </w:rPr>
              <w:t>一、噪声监测</w:t>
            </w:r>
          </w:p>
          <w:p>
            <w:pPr>
              <w:pStyle w:val="38"/>
              <w:ind w:firstLine="480" w:firstLineChars="200"/>
              <w:rPr>
                <w:sz w:val="24"/>
                <w:szCs w:val="24"/>
              </w:rPr>
            </w:pPr>
            <w:r>
              <w:rPr>
                <w:sz w:val="24"/>
                <w:szCs w:val="24"/>
              </w:rPr>
              <w:t>1、厂界噪声监测项目、频率和要求</w:t>
            </w:r>
          </w:p>
          <w:p>
            <w:pPr>
              <w:pStyle w:val="38"/>
              <w:jc w:val="center"/>
              <w:rPr>
                <w:sz w:val="24"/>
                <w:szCs w:val="24"/>
              </w:rPr>
            </w:pPr>
            <w:r>
              <w:rPr>
                <w:sz w:val="24"/>
                <w:szCs w:val="24"/>
              </w:rPr>
              <w:t>表9  厂界噪声监测内容一览表</w:t>
            </w:r>
          </w:p>
          <w:tbl>
            <w:tblPr>
              <w:tblStyle w:val="27"/>
              <w:tblW w:w="84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
            <w:tblGrid>
              <w:gridCol w:w="684"/>
              <w:gridCol w:w="1134"/>
              <w:gridCol w:w="1134"/>
              <w:gridCol w:w="680"/>
              <w:gridCol w:w="2269"/>
              <w:gridCol w:w="2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684" w:type="dxa"/>
                  <w:vAlign w:val="center"/>
                </w:tcPr>
                <w:p>
                  <w:pPr>
                    <w:spacing w:line="276" w:lineRule="auto"/>
                    <w:jc w:val="center"/>
                    <w:rPr>
                      <w:rFonts w:ascii="Times New Roman" w:hAnsi="Times New Roman" w:cs="Times New Roman"/>
                      <w:b/>
                    </w:rPr>
                  </w:pPr>
                  <w:r>
                    <w:rPr>
                      <w:rFonts w:ascii="Times New Roman" w:hAnsi="Times New Roman" w:cs="Times New Roman"/>
                      <w:b/>
                    </w:rPr>
                    <w:t>类别</w:t>
                  </w:r>
                </w:p>
              </w:tc>
              <w:tc>
                <w:tcPr>
                  <w:tcW w:w="1134" w:type="dxa"/>
                  <w:vAlign w:val="center"/>
                </w:tcPr>
                <w:p>
                  <w:pPr>
                    <w:spacing w:line="276" w:lineRule="auto"/>
                    <w:jc w:val="center"/>
                    <w:rPr>
                      <w:rFonts w:ascii="Times New Roman" w:hAnsi="Times New Roman" w:cs="Times New Roman"/>
                      <w:b/>
                    </w:rPr>
                  </w:pPr>
                  <w:r>
                    <w:rPr>
                      <w:rFonts w:ascii="Times New Roman" w:hAnsi="Times New Roman" w:cs="Times New Roman"/>
                      <w:b/>
                    </w:rPr>
                    <w:t>污染源</w:t>
                  </w:r>
                </w:p>
                <w:p>
                  <w:pPr>
                    <w:spacing w:line="276" w:lineRule="auto"/>
                    <w:jc w:val="center"/>
                    <w:rPr>
                      <w:rFonts w:ascii="Times New Roman" w:hAnsi="Times New Roman" w:cs="Times New Roman"/>
                      <w:b/>
                    </w:rPr>
                  </w:pPr>
                  <w:r>
                    <w:rPr>
                      <w:rFonts w:ascii="Times New Roman" w:hAnsi="Times New Roman" w:cs="Times New Roman"/>
                      <w:b/>
                    </w:rPr>
                    <w:t>名称</w:t>
                  </w:r>
                </w:p>
              </w:tc>
              <w:tc>
                <w:tcPr>
                  <w:tcW w:w="1134" w:type="dxa"/>
                  <w:vAlign w:val="center"/>
                </w:tcPr>
                <w:p>
                  <w:pPr>
                    <w:spacing w:line="276" w:lineRule="auto"/>
                    <w:jc w:val="center"/>
                    <w:rPr>
                      <w:rFonts w:ascii="Times New Roman" w:hAnsi="Times New Roman" w:cs="Times New Roman"/>
                      <w:b/>
                    </w:rPr>
                  </w:pPr>
                  <w:r>
                    <w:rPr>
                      <w:rFonts w:ascii="Times New Roman" w:hAnsi="Times New Roman" w:cs="Times New Roman"/>
                      <w:b/>
                    </w:rPr>
                    <w:t>监测点位</w:t>
                  </w:r>
                </w:p>
              </w:tc>
              <w:tc>
                <w:tcPr>
                  <w:tcW w:w="680" w:type="dxa"/>
                  <w:vAlign w:val="center"/>
                </w:tcPr>
                <w:p>
                  <w:pPr>
                    <w:spacing w:line="276" w:lineRule="auto"/>
                    <w:jc w:val="center"/>
                    <w:rPr>
                      <w:rFonts w:ascii="Times New Roman" w:hAnsi="Times New Roman" w:cs="Times New Roman"/>
                      <w:b/>
                    </w:rPr>
                  </w:pPr>
                  <w:r>
                    <w:rPr>
                      <w:rFonts w:ascii="Times New Roman" w:hAnsi="Times New Roman" w:cs="Times New Roman"/>
                      <w:b/>
                    </w:rPr>
                    <w:t>测点</w:t>
                  </w:r>
                </w:p>
                <w:p>
                  <w:pPr>
                    <w:spacing w:line="276" w:lineRule="auto"/>
                    <w:jc w:val="center"/>
                    <w:rPr>
                      <w:rFonts w:ascii="Times New Roman" w:hAnsi="Times New Roman" w:cs="Times New Roman"/>
                      <w:b/>
                    </w:rPr>
                  </w:pPr>
                  <w:r>
                    <w:rPr>
                      <w:rFonts w:ascii="Times New Roman" w:hAnsi="Times New Roman" w:cs="Times New Roman"/>
                      <w:b/>
                    </w:rPr>
                    <w:t>个数</w:t>
                  </w:r>
                </w:p>
              </w:tc>
              <w:tc>
                <w:tcPr>
                  <w:tcW w:w="2269" w:type="dxa"/>
                  <w:vAlign w:val="center"/>
                </w:tcPr>
                <w:p>
                  <w:pPr>
                    <w:spacing w:line="276" w:lineRule="auto"/>
                    <w:jc w:val="center"/>
                    <w:rPr>
                      <w:rFonts w:ascii="Times New Roman" w:hAnsi="Times New Roman" w:cs="Times New Roman"/>
                      <w:b/>
                    </w:rPr>
                  </w:pPr>
                  <w:r>
                    <w:rPr>
                      <w:rFonts w:ascii="Times New Roman" w:hAnsi="Times New Roman" w:cs="Times New Roman"/>
                      <w:b/>
                    </w:rPr>
                    <w:t>监测项目及频次</w:t>
                  </w:r>
                </w:p>
              </w:tc>
              <w:tc>
                <w:tcPr>
                  <w:tcW w:w="2551" w:type="dxa"/>
                  <w:vAlign w:val="center"/>
                </w:tcPr>
                <w:p>
                  <w:pPr>
                    <w:spacing w:line="276" w:lineRule="auto"/>
                    <w:jc w:val="center"/>
                    <w:rPr>
                      <w:rFonts w:ascii="Times New Roman" w:hAnsi="Times New Roman" w:cs="Times New Roman"/>
                      <w:b/>
                    </w:rPr>
                  </w:pPr>
                  <w:r>
                    <w:rPr>
                      <w:rFonts w:ascii="Times New Roman" w:hAnsi="Times New Roman" w:cs="Times New Roman"/>
                      <w:b/>
                    </w:rPr>
                    <w:t>负荷</w:t>
                  </w:r>
                </w:p>
                <w:p>
                  <w:pPr>
                    <w:spacing w:line="276" w:lineRule="auto"/>
                    <w:jc w:val="center"/>
                    <w:rPr>
                      <w:rFonts w:ascii="Times New Roman" w:hAnsi="Times New Roman" w:cs="Times New Roman"/>
                      <w:b/>
                    </w:rPr>
                  </w:pPr>
                  <w:r>
                    <w:rPr>
                      <w:rFonts w:ascii="Times New Roman" w:hAnsi="Times New Roman" w:cs="Times New Roman"/>
                      <w:b/>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97" w:hRule="atLeast"/>
                <w:jc w:val="center"/>
              </w:trPr>
              <w:tc>
                <w:tcPr>
                  <w:tcW w:w="684" w:type="dxa"/>
                  <w:vAlign w:val="center"/>
                </w:tcPr>
                <w:p>
                  <w:pPr>
                    <w:spacing w:line="276" w:lineRule="auto"/>
                    <w:jc w:val="center"/>
                    <w:rPr>
                      <w:rFonts w:ascii="Times New Roman" w:hAnsi="Times New Roman" w:cs="Times New Roman"/>
                      <w:bCs/>
                    </w:rPr>
                  </w:pPr>
                  <w:r>
                    <w:rPr>
                      <w:rFonts w:ascii="Times New Roman" w:hAnsi="Times New Roman" w:cs="Times New Roman"/>
                      <w:bCs/>
                    </w:rPr>
                    <w:t>噪声</w:t>
                  </w:r>
                </w:p>
              </w:tc>
              <w:tc>
                <w:tcPr>
                  <w:tcW w:w="1134" w:type="dxa"/>
                  <w:vAlign w:val="center"/>
                </w:tcPr>
                <w:p>
                  <w:pPr>
                    <w:spacing w:line="276" w:lineRule="auto"/>
                    <w:jc w:val="center"/>
                    <w:rPr>
                      <w:rFonts w:ascii="Times New Roman" w:hAnsi="Times New Roman" w:cs="Times New Roman"/>
                      <w:bCs/>
                    </w:rPr>
                  </w:pPr>
                  <w:r>
                    <w:rPr>
                      <w:rFonts w:ascii="Times New Roman" w:hAnsi="Times New Roman" w:cs="Times New Roman"/>
                      <w:bCs/>
                    </w:rPr>
                    <w:t>主要产</w:t>
                  </w:r>
                </w:p>
                <w:p>
                  <w:pPr>
                    <w:spacing w:line="276" w:lineRule="auto"/>
                    <w:jc w:val="center"/>
                    <w:rPr>
                      <w:rFonts w:ascii="Times New Roman" w:hAnsi="Times New Roman" w:cs="Times New Roman"/>
                      <w:bCs/>
                    </w:rPr>
                  </w:pPr>
                  <w:r>
                    <w:rPr>
                      <w:rFonts w:ascii="Times New Roman" w:hAnsi="Times New Roman" w:cs="Times New Roman"/>
                      <w:bCs/>
                    </w:rPr>
                    <w:t>噪设备</w:t>
                  </w:r>
                </w:p>
              </w:tc>
              <w:tc>
                <w:tcPr>
                  <w:tcW w:w="1134" w:type="dxa"/>
                  <w:vAlign w:val="center"/>
                </w:tcPr>
                <w:p>
                  <w:pPr>
                    <w:spacing w:line="276" w:lineRule="auto"/>
                    <w:jc w:val="center"/>
                    <w:rPr>
                      <w:rFonts w:ascii="Times New Roman" w:hAnsi="Times New Roman" w:cs="Times New Roman"/>
                      <w:bCs/>
                    </w:rPr>
                  </w:pPr>
                  <w:r>
                    <w:rPr>
                      <w:rFonts w:ascii="Times New Roman" w:hAnsi="Times New Roman" w:cs="Times New Roman"/>
                      <w:bCs/>
                    </w:rPr>
                    <w:t>厂界四周</w:t>
                  </w:r>
                </w:p>
              </w:tc>
              <w:tc>
                <w:tcPr>
                  <w:tcW w:w="680" w:type="dxa"/>
                  <w:vAlign w:val="center"/>
                </w:tcPr>
                <w:p>
                  <w:pPr>
                    <w:spacing w:line="276" w:lineRule="auto"/>
                    <w:jc w:val="center"/>
                    <w:rPr>
                      <w:rFonts w:ascii="Times New Roman" w:hAnsi="Times New Roman" w:cs="Times New Roman"/>
                      <w:bCs/>
                    </w:rPr>
                  </w:pPr>
                  <w:r>
                    <w:rPr>
                      <w:rFonts w:ascii="Times New Roman" w:hAnsi="Times New Roman" w:cs="Times New Roman"/>
                      <w:bCs/>
                    </w:rPr>
                    <w:t>10</w:t>
                  </w:r>
                </w:p>
              </w:tc>
              <w:tc>
                <w:tcPr>
                  <w:tcW w:w="2269" w:type="dxa"/>
                  <w:vAlign w:val="center"/>
                </w:tcPr>
                <w:p>
                  <w:pPr>
                    <w:spacing w:line="276" w:lineRule="auto"/>
                    <w:jc w:val="center"/>
                    <w:rPr>
                      <w:rFonts w:ascii="Times New Roman" w:hAnsi="Times New Roman" w:cs="Times New Roman"/>
                      <w:bCs/>
                    </w:rPr>
                  </w:pPr>
                  <w:r>
                    <w:rPr>
                      <w:rFonts w:ascii="Times New Roman" w:hAnsi="Times New Roman" w:cs="Times New Roman"/>
                      <w:bCs/>
                    </w:rPr>
                    <w:t>Leq、L10、L50、L90、SD昼夜监测，连续两天</w:t>
                  </w:r>
                </w:p>
              </w:tc>
              <w:tc>
                <w:tcPr>
                  <w:tcW w:w="2551" w:type="dxa"/>
                  <w:vAlign w:val="center"/>
                </w:tcPr>
                <w:p>
                  <w:pPr>
                    <w:spacing w:line="276" w:lineRule="auto"/>
                    <w:jc w:val="center"/>
                    <w:rPr>
                      <w:rFonts w:ascii="Times New Roman" w:hAnsi="Times New Roman" w:cs="Times New Roman"/>
                      <w:bCs/>
                    </w:rPr>
                  </w:pPr>
                  <w:r>
                    <w:rPr>
                      <w:rFonts w:ascii="Times New Roman" w:hAnsi="Times New Roman" w:cs="Times New Roman"/>
                      <w:bCs/>
                    </w:rPr>
                    <w:t>运行负荷≥75%，工况稳定；监测在无雨、无雪的天气条件下进行，风速小于5m/s</w:t>
                  </w:r>
                </w:p>
              </w:tc>
            </w:tr>
          </w:tbl>
          <w:p>
            <w:pPr>
              <w:pStyle w:val="38"/>
              <w:ind w:firstLine="480" w:firstLineChars="200"/>
              <w:rPr>
                <w:sz w:val="24"/>
                <w:szCs w:val="24"/>
              </w:rPr>
            </w:pPr>
            <w:r>
              <w:rPr>
                <w:sz w:val="24"/>
                <w:szCs w:val="24"/>
              </w:rPr>
              <w:t>2、厂界噪声监测点位图</w:t>
            </w:r>
          </w:p>
          <w:p>
            <w:pPr>
              <w:pStyle w:val="38"/>
              <w:ind w:firstLine="560" w:firstLineChars="200"/>
              <w:jc w:val="center"/>
            </w:pPr>
            <w:r>
              <w:rPr>
                <w:rFonts w:ascii="Times New Roman" w:hAnsi="Times New Roman" w:eastAsia="宋体" w:cs="Times New Roman"/>
                <w:kern w:val="2"/>
                <w:sz w:val="28"/>
                <w:szCs w:val="28"/>
                <w:lang w:val="en-US" w:eastAsia="zh-CN" w:bidi="ar-SA"/>
              </w:rPr>
              <w:pict>
                <v:shape id="图片 1" o:spid="_x0000_s1035" type="#_x0000_t75" style="height:431.25pt;width:255.75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p>
          <w:p>
            <w:pPr>
              <w:pStyle w:val="38"/>
              <w:ind w:firstLine="480" w:firstLineChars="200"/>
              <w:jc w:val="center"/>
              <w:rPr>
                <w:sz w:val="24"/>
                <w:szCs w:val="24"/>
              </w:rPr>
            </w:pPr>
            <w:r>
              <w:rPr>
                <w:sz w:val="24"/>
                <w:szCs w:val="24"/>
              </w:rPr>
              <w:t>图1  厂界噪声监测点位示意图</w:t>
            </w:r>
          </w:p>
          <w:p>
            <w:pPr>
              <w:pStyle w:val="38"/>
              <w:rPr>
                <w:sz w:val="24"/>
                <w:szCs w:val="24"/>
              </w:rPr>
            </w:pPr>
          </w:p>
        </w:tc>
      </w:tr>
    </w:tbl>
    <w:p>
      <w:pPr>
        <w:pStyle w:val="4"/>
        <w:rPr>
          <w:rFonts w:ascii="Times New Roman" w:hAnsi="Times New Roman" w:cs="Times New Roman"/>
        </w:rPr>
      </w:pPr>
      <w:bookmarkStart w:id="48" w:name="_Toc86138279"/>
      <w:r>
        <w:rPr>
          <w:rFonts w:ascii="Times New Roman" w:hAnsi="Times New Roman" w:cs="Times New Roman"/>
        </w:rPr>
        <w:t>表七  验收监测期间生产工况及结果</w:t>
      </w:r>
      <w:bookmarkEnd w:id="48"/>
    </w:p>
    <w:tbl>
      <w:tblPr>
        <w:tblStyle w:val="27"/>
        <w:tblW w:w="9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35" w:hRule="atLeast"/>
          <w:jc w:val="center"/>
        </w:trPr>
        <w:tc>
          <w:tcPr>
            <w:tcW w:w="9024"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验收监测期间生产工况记录：</w:t>
            </w:r>
          </w:p>
          <w:p>
            <w:pPr>
              <w:pStyle w:val="38"/>
              <w:jc w:val="center"/>
              <w:rPr>
                <w:sz w:val="24"/>
                <w:szCs w:val="24"/>
              </w:rPr>
            </w:pPr>
            <w:r>
              <w:rPr>
                <w:sz w:val="24"/>
                <w:szCs w:val="24"/>
              </w:rPr>
              <w:t>表10  主要生产设施生产负荷一览表</w:t>
            </w:r>
          </w:p>
          <w:tbl>
            <w:tblPr>
              <w:tblStyle w:val="27"/>
              <w:tblW w:w="7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987"/>
              <w:gridCol w:w="1362"/>
              <w:gridCol w:w="1418"/>
              <w:gridCol w:w="1415"/>
              <w:gridCol w:w="1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7" w:type="dxa"/>
                  <w:vAlign w:val="center"/>
                </w:tcPr>
                <w:p>
                  <w:pPr>
                    <w:widowControl w:val="0"/>
                    <w:spacing w:line="276" w:lineRule="auto"/>
                    <w:jc w:val="center"/>
                    <w:rPr>
                      <w:rFonts w:ascii="Times New Roman" w:hAnsi="Times New Roman" w:cs="Times New Roman"/>
                      <w:b/>
                      <w:bCs/>
                    </w:rPr>
                  </w:pPr>
                  <w:bookmarkStart w:id="49" w:name="_Hlk62649864"/>
                  <w:r>
                    <w:rPr>
                      <w:rFonts w:ascii="Times New Roman" w:hAnsi="Times New Roman" w:cs="Times New Roman"/>
                      <w:b/>
                      <w:bCs/>
                    </w:rPr>
                    <w:t>监测主要</w:t>
                  </w:r>
                </w:p>
                <w:p>
                  <w:pPr>
                    <w:widowControl w:val="0"/>
                    <w:spacing w:line="276" w:lineRule="auto"/>
                    <w:jc w:val="center"/>
                    <w:rPr>
                      <w:rFonts w:ascii="Times New Roman" w:hAnsi="Times New Roman" w:cs="Times New Roman"/>
                      <w:b/>
                      <w:bCs/>
                    </w:rPr>
                  </w:pPr>
                  <w:r>
                    <w:rPr>
                      <w:rFonts w:ascii="Times New Roman" w:hAnsi="Times New Roman" w:cs="Times New Roman"/>
                      <w:b/>
                      <w:bCs/>
                    </w:rPr>
                    <w:t>生产设施</w:t>
                  </w:r>
                </w:p>
              </w:tc>
              <w:tc>
                <w:tcPr>
                  <w:tcW w:w="1362"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设计能力</w:t>
                  </w:r>
                </w:p>
                <w:p>
                  <w:pPr>
                    <w:widowControl w:val="0"/>
                    <w:spacing w:line="276" w:lineRule="auto"/>
                    <w:jc w:val="center"/>
                    <w:rPr>
                      <w:rFonts w:ascii="Times New Roman" w:hAnsi="Times New Roman" w:cs="Times New Roman"/>
                      <w:b/>
                      <w:bCs/>
                    </w:rPr>
                  </w:pPr>
                  <w:r>
                    <w:rPr>
                      <w:rFonts w:ascii="Times New Roman" w:hAnsi="Times New Roman" w:cs="Times New Roman"/>
                      <w:b/>
                      <w:bCs/>
                    </w:rPr>
                    <w:t>（kW/h）</w:t>
                  </w:r>
                </w:p>
              </w:tc>
              <w:tc>
                <w:tcPr>
                  <w:tcW w:w="1418"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监测时间</w:t>
                  </w:r>
                </w:p>
              </w:tc>
              <w:tc>
                <w:tcPr>
                  <w:tcW w:w="1415"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实际能力</w:t>
                  </w:r>
                </w:p>
                <w:p>
                  <w:pPr>
                    <w:widowControl w:val="0"/>
                    <w:spacing w:line="276" w:lineRule="auto"/>
                    <w:jc w:val="center"/>
                    <w:rPr>
                      <w:rFonts w:ascii="Times New Roman" w:hAnsi="Times New Roman" w:cs="Times New Roman"/>
                      <w:b/>
                      <w:bCs/>
                    </w:rPr>
                  </w:pPr>
                  <w:r>
                    <w:rPr>
                      <w:rFonts w:ascii="Times New Roman" w:hAnsi="Times New Roman" w:cs="Times New Roman"/>
                      <w:b/>
                      <w:bCs/>
                    </w:rPr>
                    <w:t>（kW）</w:t>
                  </w:r>
                </w:p>
              </w:tc>
              <w:tc>
                <w:tcPr>
                  <w:tcW w:w="1416" w:type="dxa"/>
                  <w:vAlign w:val="center"/>
                </w:tcPr>
                <w:p>
                  <w:pPr>
                    <w:widowControl w:val="0"/>
                    <w:spacing w:line="276" w:lineRule="auto"/>
                    <w:jc w:val="center"/>
                    <w:rPr>
                      <w:rFonts w:ascii="Times New Roman" w:hAnsi="Times New Roman" w:cs="Times New Roman"/>
                      <w:b/>
                      <w:bCs/>
                    </w:rPr>
                  </w:pPr>
                  <w:r>
                    <w:rPr>
                      <w:rFonts w:ascii="Times New Roman" w:hAnsi="Times New Roman" w:cs="Times New Roman"/>
                      <w:b/>
                      <w:bCs/>
                    </w:rPr>
                    <w:t>生产负荷</w:t>
                  </w:r>
                </w:p>
                <w:p>
                  <w:pPr>
                    <w:widowControl w:val="0"/>
                    <w:spacing w:line="276" w:lineRule="auto"/>
                    <w:jc w:val="center"/>
                    <w:rPr>
                      <w:rFonts w:ascii="Times New Roman" w:hAnsi="Times New Roman" w:cs="Times New Roman"/>
                      <w:b/>
                      <w:bCs/>
                    </w:rPr>
                  </w:pPr>
                  <w:r>
                    <w:rPr>
                      <w:rFonts w:ascii="Times New Roman" w:hAnsi="Times New Roman" w:cs="Times New Roman"/>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7" w:type="dxa"/>
                  <w:vAlign w:val="center"/>
                </w:tcPr>
                <w:p>
                  <w:pPr>
                    <w:spacing w:line="276" w:lineRule="auto"/>
                    <w:jc w:val="center"/>
                    <w:rPr>
                      <w:rFonts w:ascii="Times New Roman" w:hAnsi="Times New Roman" w:cs="Times New Roman"/>
                    </w:rPr>
                  </w:pPr>
                  <w:r>
                    <w:rPr>
                      <w:rFonts w:ascii="Times New Roman" w:hAnsi="Times New Roman" w:cs="Times New Roman"/>
                    </w:rPr>
                    <w:t>1</w:t>
                  </w:r>
                  <w:bookmarkStart w:id="50" w:name="_Toc74413243"/>
                  <w:r>
                    <w:rPr>
                      <w:rFonts w:ascii="Times New Roman" w:hAnsi="Times New Roman" w:cs="Times New Roman"/>
                    </w:rPr>
                    <w:t>#30MW低参数余热发电机组</w:t>
                  </w:r>
                  <w:bookmarkEnd w:id="50"/>
                </w:p>
              </w:tc>
              <w:tc>
                <w:tcPr>
                  <w:tcW w:w="1362" w:type="dxa"/>
                  <w:vMerge w:val="restart"/>
                  <w:vAlign w:val="center"/>
                </w:tcPr>
                <w:p>
                  <w:pPr>
                    <w:spacing w:line="276" w:lineRule="auto"/>
                    <w:jc w:val="center"/>
                    <w:rPr>
                      <w:rFonts w:ascii="Times New Roman" w:hAnsi="Times New Roman" w:cs="Times New Roman"/>
                    </w:rPr>
                  </w:pPr>
                  <w:r>
                    <w:rPr>
                      <w:rFonts w:ascii="Times New Roman" w:hAnsi="Times New Roman" w:cs="Times New Roman"/>
                    </w:rPr>
                    <w:t>720000</w:t>
                  </w:r>
                </w:p>
              </w:tc>
              <w:tc>
                <w:tcPr>
                  <w:tcW w:w="1418"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2021.8.9</w:t>
                  </w:r>
                </w:p>
              </w:tc>
              <w:tc>
                <w:tcPr>
                  <w:tcW w:w="1415" w:type="dxa"/>
                  <w:vAlign w:val="center"/>
                </w:tcPr>
                <w:p>
                  <w:pPr>
                    <w:spacing w:line="276" w:lineRule="auto"/>
                    <w:jc w:val="center"/>
                    <w:rPr>
                      <w:rFonts w:ascii="Times New Roman" w:hAnsi="Times New Roman" w:cs="Times New Roman"/>
                    </w:rPr>
                  </w:pPr>
                  <w:r>
                    <w:rPr>
                      <w:rFonts w:ascii="Times New Roman" w:hAnsi="Times New Roman" w:cs="Times New Roman"/>
                    </w:rPr>
                    <w:t>610800</w:t>
                  </w:r>
                </w:p>
              </w:tc>
              <w:tc>
                <w:tcPr>
                  <w:tcW w:w="1416" w:type="dxa"/>
                  <w:vAlign w:val="center"/>
                </w:tcPr>
                <w:p>
                  <w:pPr>
                    <w:spacing w:line="276" w:lineRule="auto"/>
                    <w:jc w:val="center"/>
                    <w:rPr>
                      <w:rFonts w:ascii="Times New Roman" w:hAnsi="Times New Roman" w:cs="Times New Roman"/>
                    </w:rPr>
                  </w:pPr>
                  <w:r>
                    <w:rPr>
                      <w:rFonts w:ascii="Times New Roman" w:hAnsi="Times New Roman" w:cs="Times New Roman"/>
                    </w:rPr>
                    <w:t>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7" w:type="dxa"/>
                  <w:vAlign w:val="center"/>
                </w:tcPr>
                <w:p>
                  <w:pPr>
                    <w:spacing w:line="276" w:lineRule="auto"/>
                    <w:jc w:val="center"/>
                    <w:rPr>
                      <w:rFonts w:ascii="Times New Roman" w:hAnsi="Times New Roman" w:cs="Times New Roman"/>
                      <w:bCs/>
                    </w:rPr>
                  </w:pPr>
                  <w:r>
                    <w:rPr>
                      <w:rFonts w:ascii="Times New Roman" w:hAnsi="Times New Roman" w:cs="Times New Roman"/>
                    </w:rPr>
                    <w:t>2#30MW低参数余热发电机组</w:t>
                  </w:r>
                </w:p>
              </w:tc>
              <w:tc>
                <w:tcPr>
                  <w:tcW w:w="1362" w:type="dxa"/>
                  <w:vMerge w:val="continue"/>
                  <w:vAlign w:val="center"/>
                </w:tcPr>
                <w:p>
                  <w:pPr>
                    <w:spacing w:line="276" w:lineRule="auto"/>
                    <w:jc w:val="center"/>
                    <w:rPr>
                      <w:rFonts w:ascii="Times New Roman" w:hAnsi="Times New Roman" w:cs="Times New Roman"/>
                    </w:rPr>
                  </w:pPr>
                </w:p>
              </w:tc>
              <w:tc>
                <w:tcPr>
                  <w:tcW w:w="1418" w:type="dxa"/>
                  <w:vMerge w:val="continue"/>
                  <w:vAlign w:val="center"/>
                </w:tcPr>
                <w:p>
                  <w:pPr>
                    <w:widowControl w:val="0"/>
                    <w:spacing w:line="276" w:lineRule="auto"/>
                    <w:jc w:val="center"/>
                    <w:rPr>
                      <w:rFonts w:ascii="Times New Roman" w:hAnsi="Times New Roman" w:cs="Times New Roman"/>
                    </w:rPr>
                  </w:pPr>
                </w:p>
              </w:tc>
              <w:tc>
                <w:tcPr>
                  <w:tcW w:w="1415" w:type="dxa"/>
                  <w:vAlign w:val="center"/>
                </w:tcPr>
                <w:p>
                  <w:pPr>
                    <w:spacing w:line="276" w:lineRule="auto"/>
                    <w:jc w:val="center"/>
                    <w:rPr>
                      <w:rFonts w:ascii="Times New Roman" w:hAnsi="Times New Roman" w:cs="Times New Roman"/>
                    </w:rPr>
                  </w:pPr>
                  <w:r>
                    <w:rPr>
                      <w:rFonts w:ascii="Times New Roman" w:hAnsi="Times New Roman" w:cs="Times New Roman"/>
                    </w:rPr>
                    <w:t>595800</w:t>
                  </w:r>
                </w:p>
              </w:tc>
              <w:tc>
                <w:tcPr>
                  <w:tcW w:w="1416" w:type="dxa"/>
                  <w:vAlign w:val="center"/>
                </w:tcPr>
                <w:p>
                  <w:pPr>
                    <w:spacing w:line="276" w:lineRule="auto"/>
                    <w:jc w:val="center"/>
                    <w:rPr>
                      <w:rFonts w:ascii="Times New Roman" w:hAnsi="Times New Roman" w:cs="Times New Roman"/>
                    </w:rPr>
                  </w:pPr>
                  <w:r>
                    <w:rPr>
                      <w:rFonts w:ascii="Times New Roman" w:hAnsi="Times New Roman" w:cs="Times New Roman"/>
                    </w:rPr>
                    <w:t>82.8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7" w:type="dxa"/>
                  <w:vAlign w:val="center"/>
                </w:tcPr>
                <w:p>
                  <w:pPr>
                    <w:spacing w:line="276" w:lineRule="auto"/>
                    <w:jc w:val="center"/>
                    <w:rPr>
                      <w:rFonts w:ascii="Times New Roman" w:hAnsi="Times New Roman" w:cs="Times New Roman"/>
                      <w:bCs/>
                    </w:rPr>
                  </w:pPr>
                  <w:r>
                    <w:rPr>
                      <w:rFonts w:ascii="Times New Roman" w:hAnsi="Times New Roman" w:cs="Times New Roman"/>
                    </w:rPr>
                    <w:t>1#30MW低参数余热发电机组</w:t>
                  </w:r>
                </w:p>
              </w:tc>
              <w:tc>
                <w:tcPr>
                  <w:tcW w:w="1362" w:type="dxa"/>
                  <w:vMerge w:val="continue"/>
                  <w:vAlign w:val="center"/>
                </w:tcPr>
                <w:p>
                  <w:pPr>
                    <w:spacing w:line="276" w:lineRule="auto"/>
                    <w:jc w:val="center"/>
                    <w:rPr>
                      <w:rFonts w:ascii="Times New Roman" w:hAnsi="Times New Roman" w:cs="Times New Roman"/>
                    </w:rPr>
                  </w:pPr>
                </w:p>
              </w:tc>
              <w:tc>
                <w:tcPr>
                  <w:tcW w:w="1418" w:type="dxa"/>
                  <w:vMerge w:val="restart"/>
                  <w:vAlign w:val="center"/>
                </w:tcPr>
                <w:p>
                  <w:pPr>
                    <w:widowControl w:val="0"/>
                    <w:spacing w:line="276" w:lineRule="auto"/>
                    <w:jc w:val="center"/>
                    <w:rPr>
                      <w:rFonts w:ascii="Times New Roman" w:hAnsi="Times New Roman" w:cs="Times New Roman"/>
                    </w:rPr>
                  </w:pPr>
                  <w:r>
                    <w:rPr>
                      <w:rFonts w:ascii="Times New Roman" w:hAnsi="Times New Roman" w:cs="Times New Roman"/>
                    </w:rPr>
                    <w:t>2021.8.10</w:t>
                  </w:r>
                </w:p>
              </w:tc>
              <w:tc>
                <w:tcPr>
                  <w:tcW w:w="1415" w:type="dxa"/>
                  <w:vAlign w:val="center"/>
                </w:tcPr>
                <w:p>
                  <w:pPr>
                    <w:spacing w:line="276" w:lineRule="auto"/>
                    <w:jc w:val="center"/>
                    <w:rPr>
                      <w:rFonts w:ascii="Times New Roman" w:hAnsi="Times New Roman" w:cs="Times New Roman"/>
                    </w:rPr>
                  </w:pPr>
                  <w:r>
                    <w:rPr>
                      <w:rFonts w:ascii="Times New Roman" w:hAnsi="Times New Roman" w:cs="Times New Roman"/>
                    </w:rPr>
                    <w:t>585600</w:t>
                  </w:r>
                </w:p>
              </w:tc>
              <w:tc>
                <w:tcPr>
                  <w:tcW w:w="1416" w:type="dxa"/>
                  <w:vAlign w:val="center"/>
                </w:tcPr>
                <w:p>
                  <w:pPr>
                    <w:spacing w:line="276" w:lineRule="auto"/>
                    <w:jc w:val="center"/>
                    <w:rPr>
                      <w:rFonts w:ascii="Times New Roman" w:hAnsi="Times New Roman" w:cs="Times New Roman"/>
                    </w:rPr>
                  </w:pPr>
                  <w:r>
                    <w:rPr>
                      <w:rFonts w:ascii="Times New Roman" w:hAnsi="Times New Roman" w:cs="Times New Roman"/>
                    </w:rPr>
                    <w:t>81.3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987" w:type="dxa"/>
                  <w:vAlign w:val="center"/>
                </w:tcPr>
                <w:p>
                  <w:pPr>
                    <w:spacing w:line="276" w:lineRule="auto"/>
                    <w:jc w:val="center"/>
                    <w:rPr>
                      <w:rFonts w:ascii="Times New Roman" w:hAnsi="Times New Roman" w:cs="Times New Roman"/>
                      <w:bCs/>
                    </w:rPr>
                  </w:pPr>
                  <w:r>
                    <w:rPr>
                      <w:rFonts w:ascii="Times New Roman" w:hAnsi="Times New Roman" w:cs="Times New Roman"/>
                    </w:rPr>
                    <w:t>2#30MW低参数余热发电机组</w:t>
                  </w:r>
                </w:p>
              </w:tc>
              <w:tc>
                <w:tcPr>
                  <w:tcW w:w="1362" w:type="dxa"/>
                  <w:vMerge w:val="continue"/>
                  <w:vAlign w:val="center"/>
                </w:tcPr>
                <w:p>
                  <w:pPr>
                    <w:spacing w:line="276" w:lineRule="auto"/>
                    <w:jc w:val="center"/>
                    <w:rPr>
                      <w:rFonts w:ascii="Times New Roman" w:hAnsi="Times New Roman" w:cs="Times New Roman"/>
                    </w:rPr>
                  </w:pPr>
                </w:p>
              </w:tc>
              <w:tc>
                <w:tcPr>
                  <w:tcW w:w="1418" w:type="dxa"/>
                  <w:vMerge w:val="continue"/>
                  <w:vAlign w:val="center"/>
                </w:tcPr>
                <w:p>
                  <w:pPr>
                    <w:widowControl w:val="0"/>
                    <w:spacing w:line="276" w:lineRule="auto"/>
                    <w:jc w:val="center"/>
                    <w:rPr>
                      <w:rFonts w:ascii="Times New Roman" w:hAnsi="Times New Roman" w:cs="Times New Roman"/>
                    </w:rPr>
                  </w:pPr>
                </w:p>
              </w:tc>
              <w:tc>
                <w:tcPr>
                  <w:tcW w:w="1415" w:type="dxa"/>
                  <w:vAlign w:val="center"/>
                </w:tcPr>
                <w:p>
                  <w:pPr>
                    <w:spacing w:line="276" w:lineRule="auto"/>
                    <w:jc w:val="center"/>
                    <w:rPr>
                      <w:rFonts w:ascii="Times New Roman" w:hAnsi="Times New Roman" w:cs="Times New Roman"/>
                    </w:rPr>
                  </w:pPr>
                  <w:r>
                    <w:rPr>
                      <w:rFonts w:ascii="Times New Roman" w:hAnsi="Times New Roman" w:cs="Times New Roman"/>
                    </w:rPr>
                    <w:t>577800</w:t>
                  </w:r>
                </w:p>
              </w:tc>
              <w:tc>
                <w:tcPr>
                  <w:tcW w:w="1416" w:type="dxa"/>
                  <w:vAlign w:val="center"/>
                </w:tcPr>
                <w:p>
                  <w:pPr>
                    <w:spacing w:line="276" w:lineRule="auto"/>
                    <w:jc w:val="center"/>
                    <w:rPr>
                      <w:rFonts w:ascii="Times New Roman" w:hAnsi="Times New Roman" w:cs="Times New Roman"/>
                    </w:rPr>
                  </w:pPr>
                  <w:r>
                    <w:rPr>
                      <w:rFonts w:ascii="Times New Roman" w:hAnsi="Times New Roman" w:cs="Times New Roman"/>
                    </w:rPr>
                    <w:t>80.2</w:t>
                  </w:r>
                </w:p>
              </w:tc>
            </w:tr>
            <w:bookmarkEnd w:id="49"/>
          </w:tbl>
          <w:p>
            <w:pPr>
              <w:pStyle w:val="38"/>
              <w:jc w:val="center"/>
              <w:rPr>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2" w:hRule="atLeast"/>
          <w:jc w:val="center"/>
        </w:trPr>
        <w:tc>
          <w:tcPr>
            <w:tcW w:w="9024"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验收监测结果：</w:t>
            </w:r>
          </w:p>
          <w:p>
            <w:pPr>
              <w:pStyle w:val="38"/>
              <w:rPr>
                <w:b/>
                <w:bCs/>
                <w:sz w:val="24"/>
                <w:szCs w:val="24"/>
              </w:rPr>
            </w:pPr>
            <w:r>
              <w:rPr>
                <w:b/>
                <w:bCs/>
                <w:sz w:val="24"/>
                <w:szCs w:val="24"/>
              </w:rPr>
              <w:t>1、噪声监测结果</w:t>
            </w:r>
          </w:p>
          <w:p>
            <w:pPr>
              <w:pStyle w:val="38"/>
              <w:ind w:firstLine="480" w:firstLineChars="200"/>
              <w:rPr>
                <w:sz w:val="24"/>
                <w:szCs w:val="24"/>
              </w:rPr>
            </w:pPr>
            <w:r>
              <w:rPr>
                <w:sz w:val="24"/>
                <w:szCs w:val="24"/>
              </w:rPr>
              <w:t>（1）本次环保验收对厂界噪声进行监测，共选取了10个监测点，监测数据见下表。</w:t>
            </w:r>
          </w:p>
          <w:p>
            <w:pPr>
              <w:pStyle w:val="38"/>
              <w:ind w:firstLine="1"/>
              <w:jc w:val="center"/>
              <w:rPr>
                <w:sz w:val="24"/>
                <w:szCs w:val="24"/>
              </w:rPr>
            </w:pPr>
            <w:r>
              <w:rPr>
                <w:sz w:val="24"/>
                <w:szCs w:val="24"/>
              </w:rPr>
              <w:t>表11  厂界噪声监测结果一览表</w:t>
            </w:r>
          </w:p>
          <w:tbl>
            <w:tblPr>
              <w:tblStyle w:val="27"/>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15"/>
              <w:gridCol w:w="427"/>
              <w:gridCol w:w="725"/>
              <w:gridCol w:w="727"/>
              <w:gridCol w:w="725"/>
              <w:gridCol w:w="727"/>
              <w:gridCol w:w="725"/>
              <w:gridCol w:w="727"/>
              <w:gridCol w:w="725"/>
              <w:gridCol w:w="727"/>
              <w:gridCol w:w="725"/>
              <w:gridCol w:w="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日期</w:t>
                  </w:r>
                </w:p>
              </w:tc>
              <w:tc>
                <w:tcPr>
                  <w:tcW w:w="427" w:type="dxa"/>
                  <w:vMerge w:val="restart"/>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点位</w:t>
                  </w:r>
                </w:p>
              </w:tc>
              <w:tc>
                <w:tcPr>
                  <w:tcW w:w="3629"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昼   间</w:t>
                  </w:r>
                </w:p>
              </w:tc>
              <w:tc>
                <w:tcPr>
                  <w:tcW w:w="3627" w:type="dxa"/>
                  <w:gridSpan w:val="5"/>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p>
              </w:tc>
              <w:tc>
                <w:tcPr>
                  <w:tcW w:w="427" w:type="dxa"/>
                  <w:vMerge w:val="continue"/>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eq</w:t>
                  </w:r>
                </w:p>
              </w:tc>
              <w:tc>
                <w:tcPr>
                  <w:tcW w:w="727" w:type="dxa"/>
                  <w:tcBorders>
                    <w:top w:val="single" w:color="auto" w:sz="6"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90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50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10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SD</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eq</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90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50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L</w:t>
                  </w:r>
                  <w:r>
                    <w:rPr>
                      <w:rFonts w:ascii="Times New Roman" w:hAnsi="Times New Roman" w:cs="Times New Roman"/>
                      <w:b/>
                      <w:bCs/>
                      <w:vertAlign w:val="subscript"/>
                    </w:rPr>
                    <w:t>10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b/>
                      <w:bCs/>
                    </w:rPr>
                  </w:pPr>
                  <w:r>
                    <w:rPr>
                      <w:rFonts w:ascii="Times New Roman" w:hAnsi="Times New Roman" w:cs="Times New Roman"/>
                      <w:b/>
                      <w:bCs/>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restart"/>
                  <w:tcBorders>
                    <w:top w:val="single" w:color="auto" w:sz="4" w:space="0"/>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2021.8.9</w:t>
                  </w: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63.1</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64.2</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67.0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60.1</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61.1</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55.8</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50.2</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51.2</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1.2</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restart"/>
                  <w:tcBorders>
                    <w:left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2021.8.10</w:t>
                  </w: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64.2</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51.2</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53.4</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55.5</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64.1</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57.9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53.1</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0.6</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51.7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52.6</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60.5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61.2</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55.3</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56.0</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61.8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62.1</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62.6</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0.3</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50.9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52.1</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56.9</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63.8</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63.4</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66.0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54.8</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54.9</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55.3</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56.1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115" w:type="dxa"/>
                  <w:vMerge w:val="continue"/>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p>
              </w:tc>
              <w:tc>
                <w:tcPr>
                  <w:tcW w:w="4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10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63.0</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62.9</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63.4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64.0</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0.4</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52.7</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52.7</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53.2</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54.1</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542" w:type="dxa"/>
                  <w:gridSpan w:val="2"/>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标准限值</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65</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55</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5"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c>
                <w:tcPr>
                  <w:tcW w:w="723"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542" w:type="dxa"/>
                  <w:gridSpan w:val="2"/>
                  <w:tcBorders>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评价标准</w:t>
                  </w:r>
                </w:p>
              </w:tc>
              <w:tc>
                <w:tcPr>
                  <w:tcW w:w="7256" w:type="dxa"/>
                  <w:gridSpan w:val="10"/>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542"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备注</w:t>
                  </w:r>
                </w:p>
              </w:tc>
              <w:tc>
                <w:tcPr>
                  <w:tcW w:w="7256" w:type="dxa"/>
                  <w:gridSpan w:val="10"/>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昼间、夜间：晴天，风速&lt;5m/s。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1542" w:type="dxa"/>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结论</w:t>
                  </w:r>
                </w:p>
              </w:tc>
              <w:tc>
                <w:tcPr>
                  <w:tcW w:w="7256" w:type="dxa"/>
                  <w:gridSpan w:val="10"/>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ascii="Times New Roman" w:hAnsi="Times New Roman" w:cs="Times New Roman"/>
                    </w:rPr>
                  </w:pPr>
                  <w:r>
                    <w:rPr>
                      <w:rFonts w:ascii="Times New Roman" w:hAnsi="Times New Roman" w:cs="Times New Roman"/>
                    </w:rPr>
                    <w:t>厂界噪声范围为昼间：60.1-64.7dB（A），夜间：50.2-54.8dB（A），</w:t>
                  </w:r>
                </w:p>
                <w:p>
                  <w:pPr>
                    <w:spacing w:line="276" w:lineRule="auto"/>
                    <w:jc w:val="center"/>
                    <w:rPr>
                      <w:rFonts w:ascii="Times New Roman" w:hAnsi="Times New Roman" w:cs="Times New Roman"/>
                      <w:highlight w:val="yellow"/>
                    </w:rPr>
                  </w:pPr>
                  <w:r>
                    <w:rPr>
                      <w:rFonts w:ascii="Times New Roman" w:hAnsi="Times New Roman" w:cs="Times New Roman"/>
                    </w:rPr>
                    <w:t>满足评价标准要求。</w:t>
                  </w:r>
                </w:p>
              </w:tc>
            </w:tr>
          </w:tbl>
          <w:p>
            <w:pPr>
              <w:pStyle w:val="38"/>
              <w:ind w:firstLine="480" w:firstLineChars="200"/>
              <w:rPr>
                <w:sz w:val="24"/>
                <w:szCs w:val="24"/>
              </w:rPr>
            </w:pPr>
            <w:r>
              <w:rPr>
                <w:sz w:val="24"/>
                <w:szCs w:val="24"/>
              </w:rPr>
              <w:t>（2）监测结果</w:t>
            </w:r>
          </w:p>
          <w:p>
            <w:pPr>
              <w:pStyle w:val="38"/>
              <w:ind w:firstLine="480" w:firstLineChars="200"/>
              <w:rPr>
                <w:sz w:val="24"/>
                <w:szCs w:val="24"/>
              </w:rPr>
            </w:pPr>
            <w:r>
              <w:rPr>
                <w:sz w:val="24"/>
                <w:szCs w:val="24"/>
              </w:rPr>
              <w:t>根据监测数据知监测期间厂界昼间噪声范围为：60.1-64.7dB（A），夜间噪声范围为：50.2-54.8dB（A），满足《工业企业厂界环境噪声排放标准》（GB12348-2008）3类标准。</w:t>
            </w: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p>
            <w:pPr>
              <w:pStyle w:val="38"/>
              <w:rPr>
                <w:sz w:val="24"/>
                <w:szCs w:val="24"/>
              </w:rPr>
            </w:pPr>
          </w:p>
        </w:tc>
      </w:tr>
    </w:tbl>
    <w:p>
      <w:pPr>
        <w:rPr>
          <w:rFonts w:ascii="Times New Roman" w:hAnsi="Times New Roman" w:cs="Times New Roman"/>
          <w:b/>
          <w:bCs/>
          <w:color w:val="000000"/>
        </w:rPr>
        <w:sectPr>
          <w:pgSz w:w="11906" w:h="16838"/>
          <w:pgMar w:top="1440" w:right="1800" w:bottom="1440" w:left="1800" w:header="708" w:footer="708" w:gutter="0"/>
          <w:cols w:space="720" w:num="1"/>
          <w:docGrid w:linePitch="360" w:charSpace="0"/>
        </w:sectPr>
      </w:pPr>
    </w:p>
    <w:p>
      <w:pPr>
        <w:pStyle w:val="4"/>
        <w:rPr>
          <w:rFonts w:ascii="Times New Roman" w:hAnsi="Times New Roman" w:cs="Times New Roman"/>
        </w:rPr>
      </w:pPr>
      <w:bookmarkStart w:id="51" w:name="_Toc86138280"/>
      <w:r>
        <w:rPr>
          <w:rFonts w:ascii="Times New Roman" w:hAnsi="Times New Roman" w:cs="Times New Roman"/>
        </w:rPr>
        <w:t>表八  验收监测结论</w:t>
      </w:r>
      <w:bookmarkEnd w:id="51"/>
    </w:p>
    <w:tbl>
      <w:tblPr>
        <w:tblStyle w:val="27"/>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2" w:hRule="atLeast"/>
          <w:jc w:val="center"/>
        </w:trPr>
        <w:tc>
          <w:tcPr>
            <w:tcW w:w="9071" w:type="dxa"/>
            <w:tcBorders>
              <w:top w:val="single" w:color="auto" w:sz="12" w:space="0"/>
              <w:left w:val="single" w:color="auto" w:sz="12" w:space="0"/>
              <w:bottom w:val="single" w:color="auto" w:sz="12" w:space="0"/>
              <w:right w:val="single" w:color="auto" w:sz="12" w:space="0"/>
            </w:tcBorders>
            <w:vAlign w:val="top"/>
          </w:tcPr>
          <w:p>
            <w:pPr>
              <w:pStyle w:val="38"/>
              <w:rPr>
                <w:b/>
                <w:bCs/>
                <w:sz w:val="24"/>
                <w:szCs w:val="24"/>
              </w:rPr>
            </w:pPr>
            <w:r>
              <w:rPr>
                <w:b/>
                <w:bCs/>
                <w:sz w:val="24"/>
                <w:szCs w:val="24"/>
              </w:rPr>
              <w:t>一、环保设施运行效果及污染物排放监测结果</w:t>
            </w:r>
          </w:p>
          <w:p>
            <w:pPr>
              <w:pStyle w:val="38"/>
              <w:rPr>
                <w:b/>
                <w:bCs/>
                <w:sz w:val="24"/>
                <w:szCs w:val="24"/>
              </w:rPr>
            </w:pPr>
            <w:r>
              <w:rPr>
                <w:b/>
                <w:bCs/>
                <w:sz w:val="24"/>
                <w:szCs w:val="24"/>
              </w:rPr>
              <w:t>1、废水</w:t>
            </w:r>
          </w:p>
          <w:p>
            <w:pPr>
              <w:pStyle w:val="38"/>
              <w:ind w:firstLine="480" w:firstLineChars="200"/>
              <w:rPr>
                <w:sz w:val="24"/>
                <w:szCs w:val="24"/>
              </w:rPr>
            </w:pPr>
            <w:r>
              <w:rPr>
                <w:sz w:val="24"/>
                <w:szCs w:val="24"/>
              </w:rPr>
              <w:t>本项目运营期产生的废水包括汽轮机冷凝水、新增人员生活污水。</w:t>
            </w:r>
          </w:p>
          <w:p>
            <w:pPr>
              <w:pStyle w:val="38"/>
              <w:ind w:firstLine="480" w:firstLineChars="200"/>
              <w:rPr>
                <w:sz w:val="24"/>
                <w:szCs w:val="24"/>
              </w:rPr>
            </w:pPr>
            <w:r>
              <w:rPr>
                <w:sz w:val="24"/>
                <w:szCs w:val="24"/>
              </w:rPr>
              <w:t>汽轮机冷凝水全部收集于下部凝结水箱经凝结泵送入现有凝结水处理装置，不外排。</w:t>
            </w:r>
          </w:p>
          <w:p>
            <w:pPr>
              <w:pStyle w:val="38"/>
              <w:ind w:firstLine="480" w:firstLineChars="200"/>
              <w:rPr>
                <w:sz w:val="24"/>
                <w:szCs w:val="24"/>
              </w:rPr>
            </w:pPr>
            <w:r>
              <w:rPr>
                <w:sz w:val="24"/>
                <w:szCs w:val="24"/>
              </w:rPr>
              <w:t>生活污水每年产生量为256m³/a，经化粪池处理后就近排入太钢生活污水管网，最终进入赵庄污水处理厂集中处理后回用。</w:t>
            </w:r>
          </w:p>
          <w:p>
            <w:pPr>
              <w:pStyle w:val="38"/>
              <w:rPr>
                <w:b/>
                <w:bCs/>
                <w:sz w:val="24"/>
                <w:szCs w:val="24"/>
              </w:rPr>
            </w:pPr>
            <w:r>
              <w:rPr>
                <w:b/>
                <w:bCs/>
                <w:sz w:val="24"/>
                <w:szCs w:val="24"/>
              </w:rPr>
              <w:t>2、噪声</w:t>
            </w:r>
          </w:p>
          <w:p>
            <w:pPr>
              <w:pStyle w:val="38"/>
              <w:ind w:firstLine="480" w:firstLineChars="200"/>
              <w:rPr>
                <w:sz w:val="24"/>
                <w:szCs w:val="24"/>
              </w:rPr>
            </w:pPr>
            <w:r>
              <w:rPr>
                <w:sz w:val="24"/>
                <w:szCs w:val="24"/>
              </w:rPr>
              <w:t>本次环保验收对厂界噪声进行监测，共选取了10个监测点。根据监测结果知监测期间厂界噪声范围为昼间：60.1-64.7dB（A），夜间噪声范围为：50.2-54.8dB（A），监测结果达到《工业企业厂界环境噪声排放标准》（GB12348-2008）3类标准。</w:t>
            </w:r>
          </w:p>
          <w:p>
            <w:pPr>
              <w:pStyle w:val="38"/>
              <w:rPr>
                <w:b/>
                <w:bCs/>
                <w:sz w:val="24"/>
                <w:szCs w:val="24"/>
              </w:rPr>
            </w:pPr>
            <w:r>
              <w:rPr>
                <w:b/>
                <w:bCs/>
                <w:sz w:val="24"/>
                <w:szCs w:val="24"/>
              </w:rPr>
              <w:t>3、固体废物</w:t>
            </w:r>
          </w:p>
          <w:p>
            <w:pPr>
              <w:pStyle w:val="38"/>
              <w:ind w:firstLine="480" w:firstLineChars="200"/>
              <w:rPr>
                <w:sz w:val="24"/>
                <w:szCs w:val="24"/>
              </w:rPr>
            </w:pPr>
            <w:r>
              <w:rPr>
                <w:sz w:val="24"/>
                <w:szCs w:val="24"/>
              </w:rPr>
              <w:t>本项目生产过程中产生的固体废物为新增人员产生的生活垃圾，年产生量为2.14t/a，依托太钢厂区内现有环卫设施收集后，定期由环卫部门统一处理。</w:t>
            </w:r>
          </w:p>
          <w:p>
            <w:pPr>
              <w:pStyle w:val="38"/>
              <w:rPr>
                <w:b/>
                <w:bCs/>
                <w:sz w:val="24"/>
                <w:szCs w:val="24"/>
              </w:rPr>
            </w:pPr>
            <w:r>
              <w:rPr>
                <w:b/>
                <w:bCs/>
                <w:sz w:val="24"/>
                <w:szCs w:val="24"/>
              </w:rPr>
              <w:t>二、总量核算</w:t>
            </w:r>
          </w:p>
          <w:p>
            <w:pPr>
              <w:pStyle w:val="38"/>
              <w:ind w:firstLine="480" w:firstLineChars="200"/>
              <w:rPr>
                <w:sz w:val="24"/>
                <w:szCs w:val="24"/>
              </w:rPr>
            </w:pPr>
            <w:r>
              <w:rPr>
                <w:sz w:val="24"/>
                <w:szCs w:val="24"/>
              </w:rPr>
              <w:t>本项目无废气产生，少量生活污水排入太钢厂区污水管网，最终进入太钢赵庄污水处理厂统一处理后回用，不外排。综上所述，本项目不涉及总量控制指标。</w:t>
            </w:r>
          </w:p>
          <w:p>
            <w:pPr>
              <w:pStyle w:val="38"/>
              <w:rPr>
                <w:sz w:val="24"/>
                <w:szCs w:val="24"/>
              </w:rPr>
            </w:pPr>
            <w:r>
              <w:rPr>
                <w:b/>
                <w:bCs/>
                <w:sz w:val="24"/>
                <w:szCs w:val="24"/>
              </w:rPr>
              <w:t>三、环境管理</w:t>
            </w:r>
          </w:p>
          <w:p>
            <w:pPr>
              <w:pStyle w:val="38"/>
              <w:ind w:firstLine="480" w:firstLineChars="200"/>
              <w:rPr>
                <w:sz w:val="24"/>
                <w:szCs w:val="24"/>
              </w:rPr>
            </w:pPr>
            <w:r>
              <w:rPr>
                <w:sz w:val="24"/>
                <w:szCs w:val="24"/>
              </w:rPr>
              <w:t>山西太钢不锈钢股份有限公司低参数余热利用项目及烟气余热回收改造工程（低参数余热利用项目）项目环保审批手续齐全，工程各项环保审查、批复资料完整，主要环保设施（措施）按环评和批复要求建成,环保设施（措施）完成率100%，做到了主体工程与环保设施同时设计、同时施工、同时投入运行。</w:t>
            </w:r>
          </w:p>
          <w:p>
            <w:pPr>
              <w:pStyle w:val="38"/>
              <w:rPr>
                <w:b/>
                <w:bCs/>
                <w:sz w:val="24"/>
                <w:szCs w:val="24"/>
              </w:rPr>
            </w:pPr>
            <w:r>
              <w:rPr>
                <w:b/>
                <w:bCs/>
                <w:sz w:val="24"/>
                <w:szCs w:val="24"/>
              </w:rPr>
              <w:t>四、社会影响调查结果</w:t>
            </w:r>
          </w:p>
          <w:p>
            <w:pPr>
              <w:pStyle w:val="38"/>
              <w:ind w:firstLine="480" w:firstLineChars="200"/>
              <w:rPr>
                <w:kern w:val="0"/>
                <w:sz w:val="24"/>
                <w:szCs w:val="24"/>
              </w:rPr>
            </w:pPr>
            <w:r>
              <w:rPr>
                <w:kern w:val="0"/>
                <w:sz w:val="24"/>
                <w:szCs w:val="24"/>
              </w:rPr>
              <w:t>本项目位于山西省太原市尖草坪街2号山西太钢不锈钢股份有限公司厂区内，不涉及拆迁、安置问题，对项目区周边社会环境影响较小。</w:t>
            </w:r>
          </w:p>
          <w:p>
            <w:pPr>
              <w:pStyle w:val="38"/>
              <w:rPr>
                <w:sz w:val="24"/>
                <w:szCs w:val="24"/>
              </w:rPr>
            </w:pPr>
            <w:r>
              <w:rPr>
                <w:b/>
                <w:bCs/>
                <w:sz w:val="24"/>
                <w:szCs w:val="24"/>
              </w:rPr>
              <w:t>五、验收结论</w:t>
            </w:r>
          </w:p>
          <w:p>
            <w:pPr>
              <w:pStyle w:val="38"/>
              <w:ind w:firstLine="480" w:firstLineChars="200"/>
              <w:rPr>
                <w:kern w:val="0"/>
                <w:sz w:val="24"/>
                <w:szCs w:val="24"/>
              </w:rPr>
            </w:pPr>
            <w:r>
              <w:rPr>
                <w:kern w:val="0"/>
                <w:sz w:val="24"/>
                <w:szCs w:val="24"/>
              </w:rPr>
              <w:t>通过对山西太钢不锈钢股份有限公司低参数余热利用项目及烟气余热回收改造工程（低参数余热利用项目）的现场监测和检查，经综合分析与评价得出结论如下：</w:t>
            </w:r>
          </w:p>
          <w:p>
            <w:pPr>
              <w:pStyle w:val="38"/>
              <w:ind w:firstLine="480" w:firstLineChars="200"/>
              <w:rPr>
                <w:kern w:val="0"/>
                <w:sz w:val="24"/>
                <w:szCs w:val="24"/>
              </w:rPr>
            </w:pPr>
            <w:r>
              <w:rPr>
                <w:kern w:val="0"/>
                <w:sz w:val="24"/>
                <w:szCs w:val="24"/>
              </w:rPr>
              <w:t>（1）主体设施按照环评和批复的要求全部建成，运行管理情况良好。</w:t>
            </w:r>
          </w:p>
          <w:p>
            <w:pPr>
              <w:pStyle w:val="38"/>
              <w:ind w:firstLine="480" w:firstLineChars="200"/>
              <w:rPr>
                <w:kern w:val="0"/>
                <w:sz w:val="24"/>
                <w:szCs w:val="24"/>
              </w:rPr>
            </w:pPr>
            <w:r>
              <w:rPr>
                <w:kern w:val="0"/>
                <w:sz w:val="24"/>
                <w:szCs w:val="24"/>
              </w:rPr>
              <w:t>（2）建设单位制定了较全面的环境保护管理制度，经现场调查，执行情况较好。</w:t>
            </w:r>
          </w:p>
          <w:p>
            <w:pPr>
              <w:pStyle w:val="38"/>
              <w:ind w:firstLine="480" w:firstLineChars="200"/>
              <w:rPr>
                <w:kern w:val="0"/>
                <w:sz w:val="24"/>
                <w:szCs w:val="24"/>
              </w:rPr>
            </w:pPr>
            <w:r>
              <w:rPr>
                <w:kern w:val="0"/>
                <w:sz w:val="24"/>
                <w:szCs w:val="24"/>
              </w:rPr>
              <w:t>（3）</w:t>
            </w:r>
            <w:r>
              <w:rPr>
                <w:sz w:val="24"/>
                <w:szCs w:val="24"/>
              </w:rPr>
              <w:t>验收监测期间，工况稳定，满足验收监测要求，</w:t>
            </w:r>
            <w:r>
              <w:rPr>
                <w:kern w:val="0"/>
                <w:sz w:val="24"/>
                <w:szCs w:val="24"/>
              </w:rPr>
              <w:t>主要污染物实现了达标排放。</w:t>
            </w:r>
          </w:p>
          <w:p>
            <w:pPr>
              <w:pStyle w:val="38"/>
              <w:ind w:firstLine="480" w:firstLineChars="200"/>
              <w:rPr>
                <w:sz w:val="24"/>
                <w:szCs w:val="24"/>
              </w:rPr>
            </w:pPr>
            <w:r>
              <w:rPr>
                <w:sz w:val="24"/>
                <w:szCs w:val="24"/>
              </w:rPr>
              <w:t>综上所述，根据现场监测结果及现场调查结果分析本项目基本具备竣工环境保护验收条件。</w:t>
            </w:r>
          </w:p>
          <w:p>
            <w:pPr>
              <w:pStyle w:val="38"/>
              <w:rPr>
                <w:sz w:val="24"/>
                <w:szCs w:val="24"/>
              </w:rPr>
            </w:pPr>
            <w:r>
              <w:rPr>
                <w:b/>
                <w:bCs/>
                <w:sz w:val="24"/>
                <w:szCs w:val="24"/>
              </w:rPr>
              <w:t>六、建议</w:t>
            </w:r>
          </w:p>
          <w:p>
            <w:pPr>
              <w:pStyle w:val="38"/>
              <w:ind w:firstLine="480" w:firstLineChars="200"/>
              <w:rPr>
                <w:kern w:val="0"/>
                <w:sz w:val="24"/>
                <w:szCs w:val="24"/>
              </w:rPr>
            </w:pPr>
            <w:r>
              <w:rPr>
                <w:kern w:val="0"/>
                <w:sz w:val="24"/>
                <w:szCs w:val="24"/>
              </w:rPr>
              <w:t>1、加强环保管理，对已建成的环保设施的运行和维护，规范运行记录台账，保证设施的正常运行，实现长期稳定达标排放。</w:t>
            </w:r>
          </w:p>
          <w:p>
            <w:pPr>
              <w:pStyle w:val="38"/>
              <w:ind w:firstLine="480" w:firstLineChars="200"/>
              <w:rPr>
                <w:kern w:val="0"/>
                <w:sz w:val="24"/>
                <w:szCs w:val="24"/>
              </w:rPr>
            </w:pPr>
            <w:r>
              <w:rPr>
                <w:kern w:val="0"/>
                <w:sz w:val="24"/>
                <w:szCs w:val="24"/>
              </w:rPr>
              <w:t>2、加强环境教育，增强环保意识，全员落实环保工作，认真执行环保相关的法律法规，并与环保部门及时联系和沟通。</w:t>
            </w:r>
          </w:p>
          <w:p>
            <w:pPr>
              <w:pStyle w:val="38"/>
              <w:ind w:firstLine="480" w:firstLineChars="200"/>
              <w:rPr>
                <w:kern w:val="0"/>
                <w:sz w:val="24"/>
                <w:szCs w:val="24"/>
              </w:rPr>
            </w:pPr>
            <w:r>
              <w:rPr>
                <w:kern w:val="0"/>
                <w:sz w:val="24"/>
                <w:szCs w:val="24"/>
              </w:rPr>
              <w:t>3、加强风险管控，杜绝出现环境风险事故。</w:t>
            </w: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kern w:val="0"/>
                <w:sz w:val="24"/>
                <w:szCs w:val="24"/>
              </w:rPr>
            </w:pPr>
          </w:p>
          <w:p>
            <w:pPr>
              <w:pStyle w:val="38"/>
              <w:ind w:firstLine="480" w:firstLineChars="200"/>
              <w:rPr>
                <w:sz w:val="24"/>
                <w:szCs w:val="24"/>
              </w:rPr>
            </w:pPr>
          </w:p>
        </w:tc>
      </w:tr>
    </w:tbl>
    <w:p>
      <w:pPr>
        <w:pStyle w:val="31"/>
        <w:spacing w:before="0" w:beforeAutospacing="0" w:after="0" w:afterAutospacing="0" w:line="360" w:lineRule="exact"/>
        <w:jc w:val="both"/>
        <w:outlineLvl w:val="0"/>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pStyle w:val="5"/>
        <w:jc w:val="center"/>
        <w:rPr>
          <w:rFonts w:ascii="Times New Roman" w:hAnsi="Times New Roman"/>
        </w:rPr>
      </w:pPr>
      <w:bookmarkStart w:id="52" w:name="_Toc86138281"/>
      <w:r>
        <w:rPr>
          <w:rFonts w:ascii="Times New Roman" w:hAnsi="Times New Roman" w:eastAsia="宋体" w:cs="Times New Roman"/>
          <w:b/>
          <w:bCs/>
          <w:sz w:val="28"/>
          <w:szCs w:val="32"/>
          <w:lang w:val="en-US" w:eastAsia="zh-CN" w:bidi="ar-SA"/>
        </w:rPr>
        <w:pict>
          <v:shape id="Picture 166" o:spid="_x0000_s1036" type="#_x0000_t75" style="position:absolute;left:0;margin-left:-19.7pt;margin-top:25.8pt;height:401.7pt;width:737pt;mso-wrap-distance-bottom:0pt;mso-wrap-distance-top:0pt;rotation:0f;z-index:251670528;" o:ole="f" fillcolor="#FFFFFF" filled="f" o:preferrelative="t" stroked="f" coordorigin="0,0" coordsize="21600,21600">
            <v:fill on="f" color2="#FFFFFF" focus="0%"/>
            <v:imagedata croptop="1536f" gain="65536f" blacklevel="0f" gamma="0" o:title="" r:id="rId23"/>
            <o:lock v:ext="edit" position="f" selection="f" grouping="f" rotation="f" cropping="f" text="f" aspectratio="t"/>
            <w10:wrap type="topAndBottom"/>
          </v:shape>
        </w:pict>
      </w:r>
      <w:r>
        <w:rPr>
          <w:rFonts w:ascii="Times New Roman" w:hAnsi="Times New Roman"/>
        </w:rPr>
        <w:t>建设项目竣工环境保护“三同时”验收登记表</w:t>
      </w:r>
      <w:bookmarkEnd w:id="52"/>
    </w:p>
    <w:p>
      <w:pPr>
        <w:pStyle w:val="4"/>
        <w:rPr>
          <w:rFonts w:ascii="Times New Roman" w:hAnsi="Times New Roman" w:cs="Times New Roman"/>
        </w:rPr>
        <w:sectPr>
          <w:headerReference r:id="rId8" w:type="default"/>
          <w:footerReference r:id="rId9" w:type="default"/>
          <w:pgSz w:w="16838" w:h="11906" w:orient="landscape"/>
          <w:pgMar w:top="1457" w:right="1440" w:bottom="1457" w:left="1440" w:header="851" w:footer="992" w:gutter="0"/>
          <w:cols w:space="425" w:num="1"/>
          <w:docGrid w:type="linesAndChars" w:linePitch="312" w:charSpace="0"/>
        </w:sectPr>
      </w:pPr>
    </w:p>
    <w:p>
      <w:pPr>
        <w:pStyle w:val="4"/>
        <w:rPr>
          <w:rFonts w:ascii="Times New Roman" w:hAnsi="Times New Roman" w:cs="Times New Roman"/>
        </w:rPr>
      </w:pPr>
      <w:bookmarkStart w:id="53" w:name="_Toc86138282"/>
      <w:r>
        <w:rPr>
          <w:rFonts w:ascii="Times New Roman" w:hAnsi="Times New Roman" w:cs="Times New Roman"/>
        </w:rPr>
        <w:t>附图、附件</w:t>
      </w:r>
      <w:bookmarkEnd w:id="53"/>
    </w:p>
    <w:p>
      <w:pPr>
        <w:pStyle w:val="41"/>
        <w:tabs>
          <w:tab w:val="right" w:leader="dot" w:pos="8306"/>
        </w:tabs>
        <w:spacing w:line="360" w:lineRule="auto"/>
        <w:rPr>
          <w:rFonts w:ascii="Times New Roman" w:hAnsi="Times New Roman" w:cs="Times New Roman"/>
          <w:sz w:val="24"/>
          <w:szCs w:val="24"/>
        </w:rPr>
      </w:pPr>
      <w:r>
        <w:rPr>
          <w:rFonts w:ascii="Times New Roman" w:hAnsi="Times New Roman" w:cs="Times New Roman"/>
          <w:sz w:val="24"/>
          <w:szCs w:val="24"/>
        </w:rPr>
        <w:t>附图</w:t>
      </w:r>
    </w:p>
    <w:p>
      <w:pPr>
        <w:pStyle w:val="41"/>
        <w:tabs>
          <w:tab w:val="right" w:leader="dot" w:pos="8306"/>
        </w:tabs>
        <w:spacing w:line="360" w:lineRule="auto"/>
        <w:ind w:firstLine="472" w:firstLineChars="236"/>
        <w:rPr>
          <w:rFonts w:ascii="Times New Roman" w:hAnsi="Times New Roman" w:cs="Times New Roman"/>
          <w:sz w:val="24"/>
          <w:szCs w:val="24"/>
        </w:rPr>
      </w:pPr>
      <w:r>
        <w:fldChar w:fldCharType="begin"/>
      </w:r>
      <w:r>
        <w:instrText xml:space="preserve">HYPERLINK  \l "_Toc24896_WPSOffice_Level1" </w:instrText>
      </w:r>
      <w:r>
        <w:fldChar w:fldCharType="separate"/>
      </w:r>
      <w:r>
        <w:rPr>
          <w:rFonts w:ascii="Times New Roman" w:hAnsi="Times New Roman" w:cs="Times New Roman"/>
          <w:sz w:val="24"/>
          <w:szCs w:val="24"/>
        </w:rPr>
        <w:t>附图1 项目地理位置图</w:t>
      </w:r>
      <w:r>
        <w:fldChar w:fldCharType="end"/>
      </w:r>
    </w:p>
    <w:p>
      <w:pPr>
        <w:pStyle w:val="41"/>
        <w:tabs>
          <w:tab w:val="right" w:leader="dot" w:pos="8306"/>
        </w:tabs>
        <w:spacing w:line="360" w:lineRule="auto"/>
        <w:ind w:firstLine="472" w:firstLineChars="236"/>
        <w:rPr>
          <w:rFonts w:ascii="Times New Roman" w:hAnsi="Times New Roman" w:cs="Times New Roman"/>
          <w:sz w:val="24"/>
          <w:szCs w:val="24"/>
        </w:rPr>
      </w:pPr>
      <w:r>
        <w:fldChar w:fldCharType="begin"/>
      </w:r>
      <w:r>
        <w:instrText xml:space="preserve">HYPERLINK  \l "_Toc32458_WPSOffice_Level1" </w:instrText>
      </w:r>
      <w:r>
        <w:fldChar w:fldCharType="separate"/>
      </w:r>
      <w:r>
        <w:rPr>
          <w:rFonts w:ascii="Times New Roman" w:hAnsi="Times New Roman" w:cs="Times New Roman"/>
          <w:sz w:val="24"/>
          <w:szCs w:val="24"/>
        </w:rPr>
        <w:t xml:space="preserve">附图2 </w:t>
      </w:r>
      <w:r>
        <w:fldChar w:fldCharType="end"/>
      </w:r>
      <w:r>
        <w:rPr>
          <w:rFonts w:ascii="Times New Roman" w:hAnsi="Times New Roman" w:cs="Times New Roman"/>
          <w:sz w:val="24"/>
          <w:szCs w:val="24"/>
        </w:rPr>
        <w:t>项目总平面布置图</w:t>
      </w:r>
    </w:p>
    <w:p>
      <w:pPr>
        <w:pStyle w:val="41"/>
        <w:tabs>
          <w:tab w:val="right" w:leader="dot" w:pos="8306"/>
        </w:tabs>
        <w:spacing w:line="360" w:lineRule="auto"/>
        <w:rPr>
          <w:rFonts w:ascii="Times New Roman" w:hAnsi="Times New Roman" w:cs="Times New Roman"/>
          <w:sz w:val="24"/>
          <w:szCs w:val="24"/>
        </w:rPr>
      </w:pPr>
      <w:r>
        <w:rPr>
          <w:rFonts w:ascii="Times New Roman" w:hAnsi="Times New Roman" w:cs="Times New Roman"/>
          <w:sz w:val="24"/>
          <w:szCs w:val="24"/>
        </w:rPr>
        <w:t>附件</w:t>
      </w:r>
    </w:p>
    <w:p>
      <w:pPr>
        <w:pStyle w:val="41"/>
        <w:tabs>
          <w:tab w:val="right" w:leader="dot" w:pos="8306"/>
        </w:tabs>
        <w:spacing w:line="360" w:lineRule="auto"/>
        <w:ind w:firstLine="566" w:firstLineChars="236"/>
        <w:rPr>
          <w:rFonts w:ascii="Times New Roman" w:hAnsi="Times New Roman" w:cs="Times New Roman"/>
          <w:sz w:val="24"/>
          <w:szCs w:val="24"/>
        </w:rPr>
      </w:pPr>
      <w:r>
        <w:rPr>
          <w:rFonts w:ascii="Times New Roman" w:hAnsi="Times New Roman" w:cs="Times New Roman"/>
          <w:sz w:val="24"/>
          <w:szCs w:val="24"/>
        </w:rPr>
        <w:t>附件1 核准批复</w:t>
      </w:r>
    </w:p>
    <w:p>
      <w:pPr>
        <w:pStyle w:val="41"/>
        <w:tabs>
          <w:tab w:val="right" w:leader="dot" w:pos="8306"/>
        </w:tabs>
        <w:spacing w:line="360" w:lineRule="auto"/>
        <w:ind w:firstLine="566" w:firstLineChars="236"/>
        <w:rPr>
          <w:rFonts w:ascii="Times New Roman" w:hAnsi="Times New Roman" w:cs="Times New Roman"/>
          <w:sz w:val="24"/>
          <w:szCs w:val="24"/>
        </w:rPr>
      </w:pPr>
      <w:r>
        <w:rPr>
          <w:rFonts w:ascii="Times New Roman" w:hAnsi="Times New Roman" w:cs="Times New Roman"/>
          <w:sz w:val="24"/>
          <w:szCs w:val="24"/>
        </w:rPr>
        <w:t>附件2 环境影响评价批复</w:t>
      </w:r>
    </w:p>
    <w:p>
      <w:pPr>
        <w:pStyle w:val="41"/>
        <w:tabs>
          <w:tab w:val="right" w:leader="dot" w:pos="8306"/>
        </w:tabs>
        <w:spacing w:line="360" w:lineRule="auto"/>
        <w:ind w:firstLine="566" w:firstLineChars="236"/>
        <w:rPr>
          <w:rFonts w:ascii="Times New Roman" w:hAnsi="Times New Roman" w:cs="Times New Roman"/>
          <w:sz w:val="24"/>
          <w:szCs w:val="24"/>
        </w:rPr>
      </w:pPr>
      <w:r>
        <w:rPr>
          <w:rFonts w:ascii="Times New Roman" w:hAnsi="Times New Roman" w:cs="Times New Roman"/>
          <w:sz w:val="24"/>
          <w:szCs w:val="24"/>
        </w:rPr>
        <w:t>附件3 排污许可证</w:t>
      </w:r>
    </w:p>
    <w:p>
      <w:pPr>
        <w:pStyle w:val="41"/>
        <w:tabs>
          <w:tab w:val="right" w:leader="dot" w:pos="8306"/>
        </w:tabs>
        <w:spacing w:line="360" w:lineRule="auto"/>
        <w:ind w:firstLine="566" w:firstLineChars="236"/>
        <w:rPr>
          <w:rFonts w:ascii="Times New Roman" w:hAnsi="Times New Roman" w:cs="Times New Roman"/>
          <w:sz w:val="24"/>
          <w:szCs w:val="24"/>
        </w:rPr>
      </w:pPr>
      <w:r>
        <w:rPr>
          <w:rFonts w:ascii="Times New Roman" w:hAnsi="Times New Roman" w:cs="Times New Roman"/>
          <w:sz w:val="24"/>
          <w:szCs w:val="24"/>
        </w:rPr>
        <w:t>附件4 验收监测报告</w:t>
      </w:r>
    </w:p>
    <w:p>
      <w:pPr>
        <w:pStyle w:val="41"/>
        <w:tabs>
          <w:tab w:val="right" w:leader="dot" w:pos="8306"/>
        </w:tabs>
        <w:spacing w:line="360" w:lineRule="auto"/>
        <w:ind w:firstLine="566" w:firstLineChars="236"/>
        <w:rPr>
          <w:rFonts w:ascii="Times New Roman" w:hAnsi="Times New Roman" w:cs="Times New Roman"/>
          <w:sz w:val="24"/>
          <w:szCs w:val="24"/>
        </w:rPr>
      </w:pPr>
      <w:r>
        <w:rPr>
          <w:rFonts w:ascii="Times New Roman" w:hAnsi="Times New Roman" w:cs="Times New Roman"/>
          <w:sz w:val="24"/>
          <w:szCs w:val="24"/>
        </w:rPr>
        <w:t>附件5 其他情况说明</w:t>
      </w:r>
    </w:p>
    <w:p>
      <w:pPr>
        <w:pStyle w:val="41"/>
        <w:tabs>
          <w:tab w:val="right" w:leader="dot" w:pos="8306"/>
        </w:tabs>
        <w:spacing w:line="360" w:lineRule="auto"/>
        <w:ind w:firstLine="566" w:firstLineChars="236"/>
        <w:rPr>
          <w:rFonts w:ascii="Times New Roman" w:hAnsi="Times New Roman" w:cs="Times New Roman"/>
          <w:sz w:val="24"/>
          <w:szCs w:val="24"/>
        </w:rPr>
      </w:pPr>
      <w:bookmarkStart w:id="54" w:name="_Hlk85729755"/>
      <w:r>
        <w:rPr>
          <w:rFonts w:ascii="Times New Roman" w:hAnsi="Times New Roman" w:cs="Times New Roman"/>
          <w:sz w:val="24"/>
          <w:szCs w:val="24"/>
        </w:rPr>
        <w:t>附件6 竣工环境保护验收意见</w:t>
      </w:r>
    </w:p>
    <w:bookmarkEnd w:id="54"/>
    <w:p>
      <w:pPr>
        <w:pStyle w:val="41"/>
        <w:tabs>
          <w:tab w:val="right" w:leader="dot" w:pos="8306"/>
        </w:tabs>
        <w:spacing w:line="360" w:lineRule="auto"/>
        <w:ind w:firstLine="560" w:firstLineChars="200"/>
        <w:rPr>
          <w:rFonts w:ascii="Times New Roman" w:hAnsi="Times New Roman" w:cs="Times New Roman"/>
          <w:sz w:val="28"/>
          <w:szCs w:val="28"/>
        </w:rPr>
      </w:pPr>
    </w:p>
    <w:p>
      <w:pPr>
        <w:pStyle w:val="41"/>
        <w:tabs>
          <w:tab w:val="right" w:leader="dot" w:pos="8306"/>
        </w:tabs>
        <w:spacing w:line="360" w:lineRule="auto"/>
        <w:ind w:firstLine="560" w:firstLineChars="200"/>
        <w:rPr>
          <w:rFonts w:ascii="Times New Roman" w:hAnsi="Times New Roman" w:cs="Times New Roman"/>
          <w:sz w:val="28"/>
          <w:szCs w:val="28"/>
        </w:rPr>
        <w:sectPr>
          <w:pgSz w:w="11906" w:h="16838"/>
          <w:pgMar w:top="1440" w:right="1457" w:bottom="1440" w:left="1457" w:header="851" w:footer="992" w:gutter="0"/>
          <w:cols w:space="425" w:num="1"/>
          <w:docGrid w:type="linesAndChars" w:linePitch="312" w:charSpace="0"/>
        </w:sectPr>
      </w:pPr>
    </w:p>
    <w:p>
      <w:pPr>
        <w:pStyle w:val="5"/>
        <w:rPr>
          <w:rFonts w:ascii="Times New Roman" w:hAnsi="Times New Roman"/>
        </w:rPr>
      </w:pPr>
      <w:r>
        <w:rPr>
          <w:rFonts w:ascii="Times New Roman" w:hAnsi="Times New Roman" w:eastAsia="宋体" w:cs="Times New Roman"/>
          <w:b/>
          <w:bCs/>
          <w:sz w:val="28"/>
          <w:szCs w:val="32"/>
          <w:lang w:val="en-US" w:eastAsia="zh-CN" w:bidi="ar-SA"/>
        </w:rPr>
        <w:pict>
          <v:shape id="Quad Arrow 155" o:spid="_x0000_s1037" type="#_x0000_t202" style="position:absolute;left:0;margin-left:367.5pt;margin-top:338.9pt;height:22.7pt;width:93.55pt;rotation:0f;z-index:251668480;"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pPr>
                    <w:jc w:val="center"/>
                    <w:rPr>
                      <w:b/>
                      <w:bCs/>
                      <w:color w:val="FF0000"/>
                    </w:rPr>
                  </w:pPr>
                  <w:r>
                    <w:rPr>
                      <w:rFonts w:hint="eastAsia"/>
                      <w:b/>
                      <w:bCs/>
                      <w:color w:val="FF0000"/>
                    </w:rPr>
                    <w:t>本项目建设位置</w:t>
                  </w:r>
                </w:p>
              </w:txbxContent>
            </v:textbox>
          </v:shape>
        </w:pict>
      </w:r>
      <w:r>
        <w:rPr>
          <w:rFonts w:ascii="Times New Roman" w:hAnsi="Times New Roman" w:eastAsia="宋体" w:cs="Times New Roman"/>
          <w:b/>
          <w:bCs/>
          <w:sz w:val="28"/>
          <w:szCs w:val="32"/>
          <w:lang w:val="en-US" w:eastAsia="zh-CN" w:bidi="ar-SA"/>
        </w:rPr>
        <w:pict>
          <v:rect id="Rectangle 154" o:spid="_x0000_s1038" style="position:absolute;left:0;margin-left:394.85pt;margin-top:258.15pt;height:5.65pt;width:5.65pt;rotation:0f;z-index:251667456;" o:ole="f" fillcolor="#FF0000" filled="t" o:preferrelative="t" stroked="t" coordsize="21600,21600">
            <v:stroke color="#FF0000" color2="#FFFFFF" miterlimit="2"/>
            <v:imagedata gain="65536f" blacklevel="0f" gamma="0"/>
            <o:lock v:ext="edit" position="f" selection="f" grouping="f" rotation="f" cropping="f" text="f" aspectratio="f"/>
          </v:rect>
        </w:pict>
      </w:r>
      <w:r>
        <w:rPr>
          <w:rFonts w:ascii="Times New Roman" w:hAnsi="Times New Roman" w:eastAsia="宋体" w:cs="Times New Roman"/>
          <w:b/>
          <w:bCs/>
          <w:sz w:val="28"/>
          <w:szCs w:val="32"/>
          <w:lang w:val="en-US" w:eastAsia="zh-CN" w:bidi="ar-SA"/>
        </w:rPr>
        <w:pict>
          <v:shape id="Straight Connector 153" o:spid="_x0000_s1039" type="#_x0000_t32" style="position:absolute;left:0;flip:x;margin-left:382.2pt;margin-top:264.2pt;height:67.5pt;width:10.5pt;rotation:0f;z-index:251666432;" o:ole="f" o:connectortype="straight" fillcolor="#FFFFFF" filled="f" o:preferrelative="t" stroked="t" coordorigin="0,0" coordsize="21600,21600">
            <v:fill on="f" color2="#FFFFFF" focus="0%"/>
            <v:stroke weight="3pt" color="#FF0000" color2="#FFFFFF" miterlimit="2"/>
            <v:imagedata gain="65536f" blacklevel="0f" gamma="0"/>
            <o:lock v:ext="edit" position="f" selection="f" grouping="f" rotation="f" cropping="f" text="f" aspectratio="f"/>
          </v:shape>
        </w:pict>
      </w:r>
      <w:r>
        <w:rPr>
          <w:rFonts w:ascii="Times New Roman" w:hAnsi="Times New Roman" w:eastAsia="宋体" w:cs="Times New Roman"/>
          <w:b/>
          <w:bCs/>
          <w:sz w:val="28"/>
          <w:szCs w:val="32"/>
          <w:lang w:val="en-US" w:eastAsia="zh-CN" w:bidi="ar-SA"/>
        </w:rPr>
        <w:pict>
          <v:shape id="图片 91" o:spid="_x0000_s1040" type="#_x0000_t75" style="position:absolute;left:0;margin-left:36.4pt;margin-top:21.7pt;height:384pt;width:669.75pt;mso-wrap-distance-bottom:0pt;mso-wrap-distance-top:0pt;rotation:0f;z-index:251665408;" o:ole="f" fillcolor="#FFFFFF" filled="f" o:preferrelative="t" stroked="t" coordorigin="0,0" coordsize="21600,21600">
            <v:fill on="f" color2="#FFFFFF" focus="0%"/>
            <v:stroke weight="1.5pt" color="#000000" color2="#FFFFFF" miterlimit="2"/>
            <v:imagedata cropleft="965f" croptop="1475f" cropright="525f" cropbottom="2173f" gain="65536f" blacklevel="0f" gamma="0" o:title="5太钢厂区平面布置图" r:id="rId24"/>
            <o:lock v:ext="edit" position="f" selection="f" grouping="f" rotation="f" cropping="f" text="f" aspectratio="t"/>
            <w10:wrap type="topAndBottom"/>
          </v:shape>
        </w:pict>
      </w:r>
      <w:r>
        <w:fldChar w:fldCharType="begin"/>
      </w:r>
      <w:r>
        <w:instrText xml:space="preserve">HYPERLINK  \l "_Toc24896_WPSOffice_Level1" </w:instrText>
      </w:r>
      <w:r>
        <w:fldChar w:fldCharType="separate"/>
      </w:r>
      <w:r>
        <w:rPr>
          <w:rFonts w:ascii="Times New Roman" w:hAnsi="Times New Roman"/>
        </w:rPr>
        <w:t>附图1 项目建设位置图</w:t>
      </w:r>
      <w:r>
        <w:fldChar w:fldCharType="end"/>
      </w:r>
    </w:p>
    <w:p>
      <w:pPr>
        <w:pStyle w:val="41"/>
        <w:tabs>
          <w:tab w:val="right" w:leader="dot" w:pos="8306"/>
        </w:tabs>
        <w:spacing w:line="360" w:lineRule="auto"/>
        <w:ind w:firstLine="560" w:firstLineChars="200"/>
        <w:rPr>
          <w:rFonts w:ascii="Times New Roman" w:hAnsi="Times New Roman" w:cs="Times New Roman"/>
          <w:sz w:val="28"/>
          <w:szCs w:val="28"/>
        </w:rPr>
      </w:pPr>
    </w:p>
    <w:p>
      <w:pPr>
        <w:pStyle w:val="2"/>
        <w:spacing w:before="156"/>
        <w:rPr>
          <w:rFonts w:ascii="Times New Roman" w:hAnsi="Times New Roman" w:cs="Times New Roman"/>
        </w:rPr>
        <w:sectPr>
          <w:pgSz w:w="16838" w:h="11906" w:orient="landscape"/>
          <w:pgMar w:top="1457" w:right="1440" w:bottom="1457" w:left="1440" w:header="851" w:footer="992" w:gutter="0"/>
          <w:cols w:space="425" w:num="1"/>
          <w:docGrid w:type="linesAndChars" w:linePitch="312" w:charSpace="0"/>
        </w:sectPr>
      </w:pPr>
    </w:p>
    <w:p>
      <w:pPr>
        <w:pStyle w:val="5"/>
        <w:rPr>
          <w:rFonts w:ascii="Times New Roman" w:hAnsi="Times New Roman"/>
        </w:rPr>
      </w:pPr>
      <w:r>
        <w:rPr>
          <w:rFonts w:ascii="Times New Roman" w:hAnsi="Times New Roman" w:eastAsia="宋体" w:cs="Times New Roman"/>
          <w:b/>
          <w:bCs/>
          <w:sz w:val="28"/>
          <w:szCs w:val="32"/>
          <w:lang w:val="en-US" w:eastAsia="zh-CN" w:bidi="ar-SA"/>
        </w:rPr>
        <w:pict>
          <v:shape id="图片 1" o:spid="_x0000_s1041" type="#_x0000_t75" style="position:absolute;left:0;margin-left:0.65pt;margin-top:34.5pt;height:628.5pt;width:445.5pt;mso-wrap-distance-bottom:0pt;mso-wrap-distance-top:0pt;rotation:0f;z-index:251659264;" o:ole="f" fillcolor="#FFFFFF" filled="f" o:preferrelative="t" stroked="f" coordorigin="0,0" coordsize="21600,21600">
            <v:fill on="f" color2="#FFFFFF" focus="0%"/>
            <v:imagedata gain="65536f" blacklevel="0f" gamma="0" o:title="" r:id="rId25"/>
            <o:lock v:ext="edit" position="f" selection="f" grouping="f" rotation="f" cropping="f" text="f" aspectratio="t"/>
            <w10:wrap type="topAndBottom"/>
          </v:shape>
        </w:pict>
      </w:r>
      <w:r>
        <w:fldChar w:fldCharType="begin"/>
      </w:r>
      <w:r>
        <w:instrText xml:space="preserve">HYPERLINK  \l "_Toc32458_WPSOffice_Level1" </w:instrText>
      </w:r>
      <w:r>
        <w:fldChar w:fldCharType="separate"/>
      </w:r>
      <w:r>
        <w:rPr>
          <w:rFonts w:ascii="Times New Roman" w:hAnsi="Times New Roman"/>
        </w:rPr>
        <w:t>附图2 项目总平面布置图</w:t>
      </w:r>
      <w:r>
        <w:fldChar w:fldCharType="end"/>
      </w:r>
    </w:p>
    <w:p>
      <w:pPr>
        <w:rPr>
          <w:rFonts w:ascii="Times New Roman" w:hAnsi="Times New Roman" w:cs="Times New Roman"/>
        </w:rPr>
      </w:pPr>
    </w:p>
    <w:p>
      <w:pPr>
        <w:pStyle w:val="5"/>
        <w:rPr>
          <w:rFonts w:ascii="Times New Roman" w:hAnsi="Times New Roman"/>
        </w:rPr>
      </w:pPr>
      <w:bookmarkStart w:id="55" w:name="_Toc86138285"/>
      <w:r>
        <w:rPr>
          <w:rFonts w:ascii="Times New Roman" w:hAnsi="Times New Roman" w:eastAsia="宋体" w:cs="Times New Roman"/>
          <w:b/>
          <w:bCs/>
          <w:sz w:val="28"/>
          <w:szCs w:val="32"/>
          <w:lang w:val="en-US" w:eastAsia="zh-CN" w:bidi="ar-SA"/>
        </w:rPr>
        <w:pict>
          <v:shape id="Picture 92" o:spid="_x0000_s1042" type="#_x0000_t75" style="position:absolute;left:0;margin-left:11.9pt;margin-top:38.25pt;height:620.35pt;width:425.2pt;mso-wrap-distance-bottom:0pt;mso-wrap-distance-top:0pt;rotation:0f;z-index:251660288;" o:ole="f" fillcolor="#FFFFFF" filled="f" o:preferrelative="t" stroked="f" coordorigin="0,0" coordsize="21600,21600">
            <v:fill on="f" color2="#FFFFFF" focus="0%"/>
            <v:imagedata gain="65536f" blacklevel="0f" gamma="0" o:title="" r:id="rId26"/>
            <o:lock v:ext="edit" position="f" selection="f" grouping="f" rotation="f" cropping="f" text="f" aspectratio="t"/>
            <w10:wrap type="topAndBottom"/>
          </v:shape>
        </w:pict>
      </w:r>
      <w:r>
        <w:rPr>
          <w:rFonts w:ascii="Times New Roman" w:hAnsi="Times New Roman"/>
        </w:rPr>
        <w:t>附件1 核准批复</w:t>
      </w:r>
      <w:bookmarkEnd w:id="55"/>
    </w:p>
    <w:p>
      <w:pPr>
        <w:rPr>
          <w:rFonts w:ascii="Times New Roman" w:hAnsi="Times New Roman" w:cs="Times New Roman"/>
        </w:rPr>
      </w:pPr>
    </w:p>
    <w:p>
      <w:pPr>
        <w:pStyle w:val="2"/>
        <w:spacing w:before="156"/>
        <w:rPr>
          <w:rFonts w:ascii="Times New Roman" w:hAnsi="Times New Roman" w:cs="Times New Roman"/>
        </w:rPr>
      </w:pPr>
    </w:p>
    <w:p>
      <w:pPr>
        <w:pStyle w:val="2"/>
        <w:spacing w:before="156"/>
        <w:rPr>
          <w:rFonts w:ascii="Times New Roman" w:hAnsi="Times New Roman" w:cs="Times New Roman"/>
        </w:rPr>
      </w:pPr>
      <w:r>
        <w:rPr>
          <w:rFonts w:ascii="Times New Roman" w:hAnsi="Times New Roman" w:eastAsia="黑体" w:cs="Times New Roman"/>
          <w:spacing w:val="28"/>
          <w:sz w:val="21"/>
          <w:szCs w:val="21"/>
          <w:lang w:val="en-US" w:eastAsia="zh-CN" w:bidi="ar-SA"/>
        </w:rPr>
        <w:pict>
          <v:shape id="Picture 93" o:spid="_x0000_s1043" type="#_x0000_t75" style="position:absolute;left:0;margin-left:6.65pt;margin-top:13.5pt;height:630pt;width:414.75pt;mso-wrap-distance-bottom:0pt;mso-wrap-distance-top:0pt;rotation:0f;z-index:251661312;" o:ole="f" fillcolor="#FFFFFF" filled="f" o:preferrelative="t" stroked="f" coordorigin="0,0" coordsize="21600,21600">
            <v:fill on="f" color2="#FFFFFF" focus="0%"/>
            <v:imagedata gain="65536f" blacklevel="0f" gamma="0" o:title="" r:id="rId27"/>
            <o:lock v:ext="edit" position="f" selection="f" grouping="f" rotation="f" cropping="f" text="f" aspectratio="t"/>
            <w10:wrap type="topAndBottom"/>
          </v:shape>
        </w:pict>
      </w:r>
    </w:p>
    <w:p>
      <w:pPr>
        <w:pStyle w:val="2"/>
        <w:spacing w:before="156"/>
        <w:rPr>
          <w:rFonts w:ascii="Times New Roman" w:hAnsi="Times New Roman" w:cs="Times New Roman"/>
        </w:rPr>
      </w:pPr>
    </w:p>
    <w:p>
      <w:pPr>
        <w:pStyle w:val="2"/>
        <w:spacing w:before="156"/>
        <w:rPr>
          <w:rFonts w:ascii="Times New Roman" w:hAnsi="Times New Roman" w:cs="Times New Roman"/>
        </w:rPr>
      </w:pPr>
      <w:r>
        <w:rPr>
          <w:rFonts w:ascii="Times New Roman" w:hAnsi="Times New Roman" w:eastAsia="黑体" w:cs="Times New Roman"/>
          <w:spacing w:val="28"/>
          <w:sz w:val="21"/>
          <w:szCs w:val="21"/>
          <w:lang w:val="en-US" w:eastAsia="zh-CN" w:bidi="ar-SA"/>
        </w:rPr>
        <w:pict>
          <v:shape id="Picture 94" o:spid="_x0000_s1044" type="#_x0000_t75" style="position:absolute;left:0;margin-left:5.9pt;margin-top:33.75pt;height:624.75pt;width:445.5pt;mso-wrap-distance-bottom:0pt;mso-wrap-distance-top:0pt;rotation:0f;z-index:251662336;" o:ole="f" fillcolor="#FFFFFF" filled="f" o:preferrelative="t" stroked="f" coordorigin="0,0" coordsize="21600,21600">
            <v:fill on="f" color2="#FFFFFF" focus="0%"/>
            <v:imagedata cropbottom="469f" gain="65536f" blacklevel="0f" gamma="0" o:title="" r:id="rId28"/>
            <o:lock v:ext="edit" position="f" selection="f" grouping="f" rotation="f" cropping="f" text="f" aspectratio="t"/>
            <w10:wrap type="topAndBottom"/>
          </v:shape>
        </w:pict>
      </w:r>
    </w:p>
    <w:p>
      <w:pPr>
        <w:pStyle w:val="2"/>
        <w:spacing w:before="156"/>
        <w:rPr>
          <w:rFonts w:ascii="Times New Roman" w:hAnsi="Times New Roman" w:cs="Times New Roman"/>
        </w:rPr>
      </w:pPr>
    </w:p>
    <w:p>
      <w:pPr>
        <w:pStyle w:val="5"/>
        <w:rPr>
          <w:rFonts w:ascii="Times New Roman" w:hAnsi="Times New Roman"/>
          <w:szCs w:val="28"/>
        </w:rPr>
      </w:pPr>
      <w:r>
        <w:fldChar w:fldCharType="begin"/>
      </w:r>
      <w:r>
        <w:instrText xml:space="preserve">HYPERLINK  \l "_Toc31225_WPSOffice_Level1" </w:instrText>
      </w:r>
      <w:r>
        <w:fldChar w:fldCharType="separate"/>
      </w:r>
      <w:r>
        <w:rPr>
          <w:rFonts w:ascii="Times New Roman" w:hAnsi="Times New Roman"/>
          <w:szCs w:val="28"/>
        </w:rPr>
        <w:t>附件2 环境影响评价批复</w:t>
      </w:r>
      <w:r>
        <w:fldChar w:fldCharType="end"/>
      </w:r>
    </w:p>
    <w:p>
      <w:pPr>
        <w:pStyle w:val="41"/>
        <w:tabs>
          <w:tab w:val="right" w:leader="dot" w:pos="8306"/>
        </w:tabs>
        <w:spacing w:line="360" w:lineRule="auto"/>
        <w:jc w:val="center"/>
        <w:rPr>
          <w:rFonts w:ascii="Times New Roman" w:hAnsi="Times New Roman" w:cs="Times New Roman"/>
        </w:rPr>
      </w:pPr>
      <w:r>
        <w:rPr>
          <w:rFonts w:ascii="Times New Roman" w:hAnsi="Times New Roman" w:eastAsia="宋体" w:cs="Times New Roman"/>
          <w:lang w:val="en-US" w:eastAsia="zh-CN" w:bidi="ar-SA"/>
        </w:rPr>
        <w:pict>
          <v:shape id="Picture 6" o:spid="_x0000_s1045" type="#_x0000_t75" style="height:640.5pt;width:453.75pt;rotation:0f;" o:ole="f" fillcolor="#FFFFFF" filled="f" o:preferrelative="t" stroked="f" coordorigin="0,0" coordsize="21600,21600">
            <v:fill on="f" color2="#FFFFFF" focus="0%"/>
            <v:imagedata gain="65536f" blacklevel="0f" gamma="0" o:title="" r:id="rId29"/>
            <o:lock v:ext="edit" position="f" selection="f" grouping="f" rotation="f" cropping="f" text="f" aspectratio="t"/>
            <w10:wrap type="none"/>
            <w10:anchorlock/>
          </v:shape>
        </w:pict>
      </w:r>
    </w:p>
    <w:p>
      <w:pPr>
        <w:pStyle w:val="41"/>
        <w:tabs>
          <w:tab w:val="right" w:leader="dot" w:pos="8306"/>
        </w:tabs>
        <w:spacing w:line="360" w:lineRule="auto"/>
        <w:jc w:val="center"/>
        <w:rPr>
          <w:rFonts w:ascii="Times New Roman" w:hAnsi="Times New Roman" w:cs="Times New Roman"/>
          <w:sz w:val="28"/>
          <w:szCs w:val="28"/>
        </w:rPr>
      </w:pPr>
    </w:p>
    <w:p>
      <w:pPr>
        <w:pStyle w:val="41"/>
        <w:tabs>
          <w:tab w:val="right" w:leader="dot" w:pos="8306"/>
        </w:tabs>
        <w:spacing w:line="360" w:lineRule="auto"/>
        <w:jc w:val="center"/>
        <w:rPr>
          <w:rFonts w:ascii="Times New Roman" w:hAnsi="Times New Roman" w:cs="Times New Roman"/>
          <w:sz w:val="28"/>
          <w:szCs w:val="28"/>
        </w:rPr>
      </w:pPr>
      <w:r>
        <w:rPr>
          <w:rFonts w:ascii="Times New Roman" w:hAnsi="Times New Roman" w:eastAsia="宋体" w:cs="Times New Roman"/>
          <w:lang w:val="en-US" w:eastAsia="zh-CN" w:bidi="ar-SA"/>
        </w:rPr>
        <w:pict>
          <v:shape id="Picture 7" o:spid="_x0000_s1046" type="#_x0000_t75" style="height:640.5pt;width:453.75pt;rotation:0f;" o:ole="f" fillcolor="#FFFFFF" filled="f" o:preferrelative="t" stroked="f" coordorigin="0,0" coordsize="21600,21600">
            <v:fill on="f" color2="#FFFFFF" focus="0%"/>
            <v:imagedata gain="65536f" blacklevel="0f" gamma="0" o:title="" r:id="rId30"/>
            <o:lock v:ext="edit" position="f" selection="f" grouping="f" rotation="f" cropping="f" text="f" aspectratio="t"/>
            <w10:wrap type="none"/>
            <w10:anchorlock/>
          </v:shape>
        </w:pict>
      </w:r>
    </w:p>
    <w:p>
      <w:pPr>
        <w:pStyle w:val="41"/>
        <w:tabs>
          <w:tab w:val="right" w:leader="dot" w:pos="8306"/>
        </w:tabs>
        <w:spacing w:line="360" w:lineRule="auto"/>
        <w:jc w:val="center"/>
        <w:rPr>
          <w:rFonts w:ascii="Times New Roman" w:hAnsi="Times New Roman" w:cs="Times New Roman"/>
        </w:rPr>
        <w:sectPr>
          <w:pgSz w:w="11906" w:h="16838"/>
          <w:pgMar w:top="1440" w:right="1457" w:bottom="1440" w:left="1457" w:header="851" w:footer="992" w:gutter="0"/>
          <w:cols w:space="425" w:num="1"/>
          <w:docGrid w:type="linesAndChars" w:linePitch="312" w:charSpace="0"/>
        </w:sectPr>
      </w:pPr>
    </w:p>
    <w:p>
      <w:pPr>
        <w:pStyle w:val="5"/>
        <w:rPr>
          <w:rFonts w:ascii="Times New Roman" w:hAnsi="Times New Roman"/>
        </w:rPr>
      </w:pPr>
      <w:bookmarkStart w:id="56" w:name="_Toc86138287"/>
      <w:r>
        <w:rPr>
          <w:rFonts w:ascii="Times New Roman" w:hAnsi="Times New Roman" w:eastAsia="宋体" w:cs="Times New Roman"/>
          <w:b/>
          <w:bCs/>
          <w:sz w:val="28"/>
          <w:szCs w:val="32"/>
          <w:lang w:val="en-US" w:eastAsia="zh-CN" w:bidi="ar-SA"/>
        </w:rPr>
        <w:pict>
          <v:shape id="Picture 70" o:spid="_x0000_s1047" type="#_x0000_t75" style="position:absolute;left:0;margin-left:56pt;margin-top:23.4pt;height:425.2pt;width:585.6pt;mso-wrap-distance-bottom:0pt;mso-wrap-distance-top:0pt;rotation:0f;z-index:251658240;" o:ole="f" fillcolor="#FFFFFF" filled="f" o:preferrelative="t" stroked="f" coordorigin="0,0" coordsize="21600,21600">
            <v:fill on="f" color2="#FFFFFF" focus="0%"/>
            <v:imagedata cropleft="992f" croptop="2077f" cropright="1013f" cropbottom="1973f" gain="65536f" blacklevel="0f" gamma="0" o:title="" r:id="rId31"/>
            <o:lock v:ext="edit" position="f" selection="f" grouping="f" rotation="f" cropping="f" text="f" aspectratio="t"/>
            <w10:wrap type="topAndBottom"/>
          </v:shape>
        </w:pict>
      </w:r>
      <w:r>
        <w:rPr>
          <w:rFonts w:ascii="Times New Roman" w:hAnsi="Times New Roman"/>
        </w:rPr>
        <w:t>附件3 排污许可证</w:t>
      </w:r>
      <w:bookmarkEnd w:id="56"/>
    </w:p>
    <w:p>
      <w:pPr>
        <w:pStyle w:val="2"/>
        <w:spacing w:before="156"/>
        <w:rPr>
          <w:rFonts w:ascii="Times New Roman" w:hAnsi="Times New Roman" w:cs="Times New Roman"/>
        </w:rPr>
        <w:sectPr>
          <w:pgSz w:w="16838" w:h="11906" w:orient="landscape"/>
          <w:pgMar w:top="1457" w:right="1440" w:bottom="1457" w:left="1440" w:header="851" w:footer="992" w:gutter="0"/>
          <w:cols w:space="425" w:num="1"/>
          <w:docGrid w:type="linesAndChars" w:linePitch="312" w:charSpace="0"/>
        </w:sectPr>
      </w:pPr>
    </w:p>
    <w:p>
      <w:pPr>
        <w:pStyle w:val="5"/>
        <w:rPr>
          <w:rFonts w:ascii="Times New Roman" w:hAnsi="Times New Roman"/>
        </w:rPr>
      </w:pPr>
      <w:bookmarkStart w:id="57" w:name="_Toc86138288"/>
      <w:r>
        <w:rPr>
          <w:rFonts w:ascii="Times New Roman" w:hAnsi="Times New Roman"/>
        </w:rPr>
        <w:t>附件5 其他情况说明</w:t>
      </w:r>
      <w:bookmarkEnd w:id="57"/>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 w:val="28"/>
          <w:szCs w:val="28"/>
        </w:rPr>
      </w:pPr>
    </w:p>
    <w:p>
      <w:pPr>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山西太钢不锈钢股份有限公司</w:t>
      </w:r>
    </w:p>
    <w:p>
      <w:pPr>
        <w:ind w:left="-6" w:leftChars="-3" w:right="84" w:rightChars="40" w:firstLine="4"/>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低参数余热利用项目及烟气余热回收改造工程</w:t>
      </w:r>
    </w:p>
    <w:p>
      <w:pPr>
        <w:ind w:left="-50" w:leftChars="-135" w:right="-197" w:rightChars="-94" w:hanging="233" w:hangingChars="58"/>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（低参数余热利用项目）</w:t>
      </w:r>
    </w:p>
    <w:p>
      <w:pPr>
        <w:ind w:left="-50" w:leftChars="-135" w:right="-197" w:rightChars="-94" w:hanging="233" w:hangingChars="58"/>
        <w:jc w:val="center"/>
        <w:rPr>
          <w:rFonts w:ascii="Times New Roman" w:hAnsi="Times New Roman" w:cs="Times New Roman"/>
          <w:b/>
          <w:bCs/>
          <w:color w:val="000000"/>
          <w:sz w:val="40"/>
          <w:szCs w:val="40"/>
        </w:rPr>
      </w:pPr>
      <w:r>
        <w:rPr>
          <w:rFonts w:ascii="Times New Roman" w:hAnsi="Times New Roman" w:cs="Times New Roman"/>
          <w:b/>
          <w:bCs/>
          <w:color w:val="000000"/>
          <w:sz w:val="40"/>
          <w:szCs w:val="40"/>
        </w:rPr>
        <w:t>竣工环境保护验收监测报告表</w:t>
      </w:r>
    </w:p>
    <w:p>
      <w:pPr>
        <w:jc w:val="center"/>
        <w:rPr>
          <w:rFonts w:ascii="Times New Roman" w:hAnsi="Times New Roman" w:cs="Times New Roman"/>
          <w:b/>
          <w:bCs/>
          <w:color w:val="000000"/>
          <w:sz w:val="36"/>
          <w:szCs w:val="36"/>
        </w:rPr>
      </w:pPr>
      <w:r>
        <w:rPr>
          <w:rFonts w:ascii="Times New Roman" w:hAnsi="Times New Roman" w:cs="Times New Roman"/>
          <w:b/>
          <w:bCs/>
          <w:color w:val="000000"/>
          <w:sz w:val="36"/>
          <w:szCs w:val="36"/>
        </w:rPr>
        <w:t>（其他情况说明）</w:t>
      </w: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color w:val="000000"/>
          <w:szCs w:val="28"/>
        </w:rPr>
      </w:pPr>
    </w:p>
    <w:p>
      <w:pPr>
        <w:jc w:val="center"/>
        <w:rPr>
          <w:rFonts w:ascii="Times New Roman" w:hAnsi="Times New Roman" w:cs="Times New Roman"/>
        </w:rPr>
      </w:pPr>
    </w:p>
    <w:p>
      <w:pPr>
        <w:rPr>
          <w:rFonts w:ascii="Times New Roman" w:hAnsi="Times New Roman" w:cs="Times New Roman"/>
          <w:color w:val="000000"/>
          <w:sz w:val="32"/>
          <w:szCs w:val="32"/>
        </w:rPr>
      </w:pPr>
      <w:r>
        <w:rPr>
          <w:rFonts w:ascii="Times New Roman" w:hAnsi="Times New Roman" w:cs="Times New Roman"/>
          <w:color w:val="000000"/>
          <w:sz w:val="32"/>
          <w:szCs w:val="32"/>
        </w:rPr>
        <w:t>建设单位:</w:t>
      </w:r>
      <w:r>
        <w:rPr>
          <w:rFonts w:ascii="Times New Roman" w:hAnsi="Times New Roman" w:cs="Times New Roman"/>
        </w:rPr>
        <w:t xml:space="preserve"> </w:t>
      </w:r>
      <w:r>
        <w:rPr>
          <w:rFonts w:ascii="Times New Roman" w:hAnsi="Times New Roman" w:cs="Times New Roman"/>
          <w:color w:val="000000"/>
          <w:sz w:val="32"/>
          <w:szCs w:val="32"/>
        </w:rPr>
        <w:t>山西太钢不锈钢股份有限公司能源动力总厂</w:t>
      </w:r>
    </w:p>
    <w:p>
      <w:pPr>
        <w:ind w:firstLine="1280" w:firstLineChars="400"/>
        <w:rPr>
          <w:rFonts w:ascii="Times New Roman" w:hAnsi="Times New Roman" w:cs="Times New Roman"/>
          <w:color w:val="000000"/>
          <w:sz w:val="32"/>
          <w:szCs w:val="32"/>
        </w:rPr>
      </w:pPr>
      <w:r>
        <w:rPr>
          <w:rFonts w:ascii="Times New Roman" w:hAnsi="Times New Roman" w:cs="Times New Roman"/>
          <w:color w:val="000000"/>
          <w:sz w:val="32"/>
          <w:szCs w:val="32"/>
        </w:rPr>
        <w:t>编制单位:山西太钢工程技术有限公司</w:t>
      </w:r>
    </w:p>
    <w:p>
      <w:pPr>
        <w:jc w:val="center"/>
        <w:rPr>
          <w:rFonts w:ascii="Times New Roman" w:hAnsi="Times New Roman" w:cs="Times New Roman"/>
          <w:color w:val="000000"/>
          <w:sz w:val="32"/>
          <w:szCs w:val="32"/>
        </w:rPr>
      </w:pPr>
      <w:r>
        <w:rPr>
          <w:rFonts w:ascii="Times New Roman" w:hAnsi="Times New Roman" w:cs="Times New Roman"/>
          <w:color w:val="000000"/>
          <w:sz w:val="32"/>
          <w:szCs w:val="32"/>
        </w:rPr>
        <w:t>二〇二一年十月</w:t>
      </w:r>
    </w:p>
    <w:p>
      <w:pPr>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pStyle w:val="4"/>
        <w:rPr>
          <w:rFonts w:ascii="Times New Roman" w:hAnsi="Times New Roman" w:cs="Times New Roman"/>
          <w:sz w:val="28"/>
          <w:szCs w:val="28"/>
        </w:rPr>
      </w:pPr>
      <w:bookmarkStart w:id="58" w:name="_Toc86138289"/>
      <w:r>
        <w:rPr>
          <w:rFonts w:ascii="Times New Roman" w:hAnsi="Times New Roman" w:cs="Times New Roman"/>
          <w:sz w:val="28"/>
          <w:szCs w:val="28"/>
        </w:rPr>
        <w:t>1 环境保护设施设计、施工和验收过程简况</w:t>
      </w:r>
      <w:bookmarkEnd w:id="58"/>
    </w:p>
    <w:p>
      <w:pPr>
        <w:pStyle w:val="38"/>
        <w:ind w:firstLine="480" w:firstLineChars="200"/>
        <w:rPr>
          <w:sz w:val="24"/>
          <w:szCs w:val="24"/>
        </w:rPr>
      </w:pPr>
      <w:bookmarkStart w:id="59" w:name="_Hlk84860212"/>
      <w:r>
        <w:rPr>
          <w:sz w:val="24"/>
          <w:szCs w:val="24"/>
        </w:rPr>
        <w:t>本项目于2017年3月8日取得了山西省发展和改革委员会《关于山西太钢不锈钢股份有限公司低参数余热利用项目核准的批复》（晋发改新能源发</w:t>
      </w:r>
      <w:r>
        <w:rPr>
          <w:rFonts w:ascii="Cambria" w:hAnsi="Cambria" w:cs="Cambria"/>
          <w:sz w:val="24"/>
          <w:szCs w:val="24"/>
        </w:rPr>
        <w:t>⟮</w:t>
      </w:r>
      <w:r>
        <w:rPr>
          <w:sz w:val="24"/>
          <w:szCs w:val="24"/>
        </w:rPr>
        <w:t>2017</w:t>
      </w:r>
      <w:r>
        <w:rPr>
          <w:rFonts w:ascii="Cambria" w:hAnsi="Cambria" w:cs="Cambria"/>
          <w:sz w:val="24"/>
          <w:szCs w:val="24"/>
        </w:rPr>
        <w:t>⟯</w:t>
      </w:r>
      <w:r>
        <w:rPr>
          <w:sz w:val="24"/>
          <w:szCs w:val="24"/>
        </w:rPr>
        <w:t>145号）。2016年7月由山西清泽阳光环保科技有限公司编制完成了《山西太钢不锈钢股份有限公司低参数余热利用项目及烟气余热回收改造工程环境影响报告表》，2016年9月5日取得了太原市环境保护局尖草坪分局《关于山西太钢不锈钢股份有限公司低参数余热利用项目及烟气余热回收改造工程环境影响报告表的批复》（太原市环境保护局尖草坪分局 并环尖审批〔2016〕第33号）。</w:t>
      </w:r>
    </w:p>
    <w:bookmarkEnd w:id="59"/>
    <w:p>
      <w:pPr>
        <w:pStyle w:val="38"/>
        <w:ind w:firstLine="480" w:firstLineChars="200"/>
        <w:rPr>
          <w:sz w:val="24"/>
          <w:szCs w:val="24"/>
        </w:rPr>
      </w:pPr>
      <w:r>
        <w:rPr>
          <w:sz w:val="24"/>
          <w:szCs w:val="24"/>
        </w:rPr>
        <w:t>本项目于2018年4月开工建设，20</w:t>
      </w:r>
      <w:r>
        <w:rPr>
          <w:rFonts w:hint="eastAsia"/>
          <w:sz w:val="24"/>
          <w:szCs w:val="24"/>
          <w:lang w:val="en-US" w:eastAsia="zh-CN"/>
        </w:rPr>
        <w:t>20</w:t>
      </w:r>
      <w:bookmarkStart w:id="122" w:name="_GoBack"/>
      <w:bookmarkEnd w:id="122"/>
      <w:r>
        <w:rPr>
          <w:sz w:val="24"/>
          <w:szCs w:val="24"/>
        </w:rPr>
        <w:t>年6月竣工，2021年3月进行调试，2021年8月9日-10日进行验收现场监测。在现场监测及综合各项技术资料的基础上编制完成了本项目的竣工环境保护验收监测报告表。</w:t>
      </w:r>
    </w:p>
    <w:p>
      <w:pPr>
        <w:pStyle w:val="5"/>
        <w:rPr>
          <w:rFonts w:ascii="Times New Roman" w:hAnsi="Times New Roman"/>
        </w:rPr>
      </w:pPr>
      <w:bookmarkStart w:id="60" w:name="_Toc86138290"/>
      <w:r>
        <w:rPr>
          <w:rFonts w:ascii="Times New Roman" w:hAnsi="Times New Roman"/>
        </w:rPr>
        <w:t>1.1 设计简况</w:t>
      </w:r>
      <w:bookmarkEnd w:id="60"/>
    </w:p>
    <w:p>
      <w:pPr>
        <w:pStyle w:val="38"/>
        <w:ind w:firstLine="480" w:firstLineChars="200"/>
        <w:rPr>
          <w:sz w:val="24"/>
          <w:szCs w:val="24"/>
        </w:rPr>
      </w:pPr>
      <w:r>
        <w:rPr>
          <w:sz w:val="24"/>
          <w:szCs w:val="24"/>
        </w:rPr>
        <w:t>本项目环保设施设计单位为山西太钢工程技术有限公司和山西意迪光华电力勘测设计有限公司。在设计过程中采取了环境影响评价报告表和环境影响评价报告表批复文件中提出的环保设施要求，编制了环境保护篇章。</w:t>
      </w:r>
    </w:p>
    <w:p>
      <w:pPr>
        <w:pStyle w:val="38"/>
        <w:ind w:firstLine="480" w:firstLineChars="200"/>
        <w:rPr>
          <w:sz w:val="24"/>
          <w:szCs w:val="24"/>
        </w:rPr>
      </w:pPr>
      <w:r>
        <w:rPr>
          <w:sz w:val="24"/>
          <w:szCs w:val="24"/>
        </w:rPr>
        <w:t>本项目为在太钢能源动力总厂新建2×30MW的低参数发电机组，包括工艺系统、控制系统、电气系统、主厂房等。项目实施后，年发电量2.3亿KWh，年供电量2.219亿KWh。</w:t>
      </w:r>
    </w:p>
    <w:p>
      <w:pPr>
        <w:pStyle w:val="38"/>
        <w:ind w:firstLine="480" w:firstLineChars="200"/>
        <w:rPr>
          <w:sz w:val="24"/>
          <w:szCs w:val="24"/>
        </w:rPr>
      </w:pPr>
      <w:r>
        <w:rPr>
          <w:sz w:val="24"/>
          <w:szCs w:val="24"/>
        </w:rPr>
        <w:t>本项目投资总概算为13739.25万元，其中环保投资为210万元。</w:t>
      </w:r>
    </w:p>
    <w:p>
      <w:pPr>
        <w:pStyle w:val="5"/>
        <w:rPr>
          <w:rFonts w:ascii="Times New Roman" w:hAnsi="Times New Roman"/>
        </w:rPr>
      </w:pPr>
      <w:bookmarkStart w:id="61" w:name="_Toc86138291"/>
      <w:r>
        <w:rPr>
          <w:rFonts w:ascii="Times New Roman" w:hAnsi="Times New Roman"/>
        </w:rPr>
        <w:t>1.2 施工简况</w:t>
      </w:r>
      <w:bookmarkEnd w:id="61"/>
    </w:p>
    <w:p>
      <w:pPr>
        <w:pStyle w:val="38"/>
        <w:ind w:firstLine="480" w:firstLineChars="200"/>
        <w:rPr>
          <w:sz w:val="24"/>
          <w:szCs w:val="24"/>
        </w:rPr>
      </w:pPr>
      <w:r>
        <w:rPr>
          <w:sz w:val="24"/>
          <w:szCs w:val="24"/>
        </w:rPr>
        <w:t>本项目环保设施施工单位为德阳东汽建设置业有限公司和安阳建工（集团）有限责任公司。本项目于2018年4月开工建设，经工程监理、能源环保部、工程管理部、项目经理部环保专职人员、生产厂专业环保人员验收及功能考核合格后，2019年6月按设计和环境影响评价要求全部建设完成。</w:t>
      </w:r>
    </w:p>
    <w:p>
      <w:pPr>
        <w:pStyle w:val="38"/>
        <w:ind w:firstLine="480" w:firstLineChars="200"/>
        <w:rPr>
          <w:sz w:val="24"/>
          <w:szCs w:val="24"/>
        </w:rPr>
      </w:pPr>
      <w:r>
        <w:rPr>
          <w:sz w:val="24"/>
          <w:szCs w:val="24"/>
        </w:rPr>
        <w:t>本项目建设过程中，工程管理部负责对项目经理部实施过程进行监控，每季度对工程质量、环保、消防、安全、工程计划、投资等方面进行评价检查，确保项目有序进行。能源环保部进行监督检查环境保护设施与主体设施同时施工的情况，确保按批准的环保设施内容进行施工，实现环保设施与主体设施同步竣工。档案部组织对施工过程的环保设计文件、图纸、设备清单等资料进行归档。计财部对环保工程建设的投资决算进行过程控制。</w:t>
      </w:r>
    </w:p>
    <w:p>
      <w:pPr>
        <w:pStyle w:val="38"/>
        <w:ind w:firstLine="480" w:firstLineChars="200"/>
        <w:rPr>
          <w:sz w:val="24"/>
          <w:szCs w:val="24"/>
        </w:rPr>
      </w:pPr>
      <w:r>
        <w:rPr>
          <w:sz w:val="24"/>
          <w:szCs w:val="24"/>
        </w:rPr>
        <w:t>本项目环保设施建成率100%，并投入正常试运行阶段。</w:t>
      </w:r>
    </w:p>
    <w:p>
      <w:pPr>
        <w:pStyle w:val="5"/>
        <w:rPr>
          <w:rFonts w:ascii="Times New Roman" w:hAnsi="Times New Roman"/>
        </w:rPr>
      </w:pPr>
      <w:bookmarkStart w:id="62" w:name="_Toc86138292"/>
      <w:r>
        <w:rPr>
          <w:rFonts w:ascii="Times New Roman" w:hAnsi="Times New Roman"/>
        </w:rPr>
        <w:t>1.3 验收过程简况</w:t>
      </w:r>
      <w:bookmarkEnd w:id="62"/>
    </w:p>
    <w:p>
      <w:pPr>
        <w:pStyle w:val="38"/>
        <w:ind w:firstLine="480" w:firstLineChars="200"/>
        <w:rPr>
          <w:sz w:val="24"/>
          <w:szCs w:val="24"/>
        </w:rPr>
      </w:pPr>
      <w:bookmarkStart w:id="63" w:name="_Hlk84860313"/>
      <w:r>
        <w:rPr>
          <w:sz w:val="24"/>
          <w:szCs w:val="24"/>
        </w:rPr>
        <w:t>本项目于2019年6月竣工，</w:t>
      </w:r>
      <w:bookmarkStart w:id="64" w:name="_Hlk84860324"/>
      <w:r>
        <w:rPr>
          <w:sz w:val="24"/>
          <w:szCs w:val="24"/>
        </w:rPr>
        <w:t>2021年3月进入调试阶段。</w:t>
      </w:r>
      <w:bookmarkEnd w:id="63"/>
      <w:bookmarkEnd w:id="64"/>
      <w:r>
        <w:rPr>
          <w:sz w:val="24"/>
          <w:szCs w:val="24"/>
        </w:rPr>
        <w:t>太钢能源动力总厂委托山西太钢工程技术有限公司编制环境保护竣工验收报告，由山西太钢环境监测有限公司承担噪声监测工作。现场监测时间为2021年8月9日至10日。山西太钢环境监测有限公司参加本次竣工环保验收监测工作的所有监测人员均持证上岗；监测方法均采用国家有关部门颁布的标准（或推荐）方法；监测所用采样、分析仪器、计量器具经有资质的单位检定合格，并在检定周期有效期内的，保证监测数据的准确性和有效性。</w:t>
      </w:r>
    </w:p>
    <w:p>
      <w:pPr>
        <w:pStyle w:val="38"/>
        <w:ind w:firstLine="480" w:firstLineChars="200"/>
        <w:rPr>
          <w:sz w:val="24"/>
          <w:szCs w:val="24"/>
        </w:rPr>
      </w:pPr>
      <w:r>
        <w:rPr>
          <w:sz w:val="24"/>
          <w:szCs w:val="24"/>
        </w:rPr>
        <w:t>环境保护竣工验收报告于2021年9月编制完成，拟采用召集设计、施工、监理、环评、工程管理、主管单位等部门并聘请行业、监测专家于2021年9月29日召开竣工环境保护验收会的形式进行验收。根据验收会议意见，进行相应的监测报告修改及现场整改，得出最终的验收意见和结论。</w:t>
      </w:r>
    </w:p>
    <w:p>
      <w:pPr>
        <w:pStyle w:val="2"/>
        <w:spacing w:before="156"/>
        <w:ind w:firstLine="280"/>
        <w:rPr>
          <w:rFonts w:ascii="Times New Roman" w:hAnsi="Times New Roman" w:cs="Times New Roman"/>
        </w:rPr>
      </w:pPr>
    </w:p>
    <w:p>
      <w:pPr>
        <w:pStyle w:val="2"/>
        <w:spacing w:before="156"/>
        <w:ind w:firstLine="280"/>
        <w:rPr>
          <w:rFonts w:ascii="Times New Roman" w:hAnsi="Times New Roman" w:cs="Times New Roman"/>
        </w:rPr>
      </w:pPr>
    </w:p>
    <w:p>
      <w:pPr>
        <w:pStyle w:val="2"/>
        <w:spacing w:before="156"/>
        <w:ind w:firstLine="280"/>
        <w:rPr>
          <w:rFonts w:ascii="Times New Roman" w:hAnsi="Times New Roman" w:cs="Times New Roman"/>
        </w:rPr>
      </w:pPr>
    </w:p>
    <w:p>
      <w:pPr>
        <w:ind w:firstLine="420" w:firstLineChars="200"/>
        <w:rPr>
          <w:rFonts w:ascii="Times New Roman" w:hAnsi="Times New Roman" w:cs="Times New Roman"/>
        </w:rPr>
      </w:pPr>
    </w:p>
    <w:p>
      <w:pPr>
        <w:rPr>
          <w:rFonts w:ascii="Times New Roman" w:hAnsi="Times New Roman" w:cs="Times New Roman"/>
        </w:rPr>
        <w:sectPr>
          <w:footerReference r:id="rId10" w:type="default"/>
          <w:pgSz w:w="11906" w:h="16838"/>
          <w:pgMar w:top="1440" w:right="1800" w:bottom="1440" w:left="1800" w:header="851" w:footer="992" w:gutter="0"/>
          <w:pgNumType w:start="1"/>
          <w:cols w:space="425" w:num="1"/>
          <w:docGrid w:type="lines" w:linePitch="312" w:charSpace="0"/>
        </w:sectPr>
      </w:pPr>
    </w:p>
    <w:p>
      <w:pPr>
        <w:pStyle w:val="4"/>
        <w:rPr>
          <w:rFonts w:ascii="Times New Roman" w:hAnsi="Times New Roman" w:cs="Times New Roman"/>
          <w:sz w:val="28"/>
          <w:szCs w:val="28"/>
        </w:rPr>
      </w:pPr>
      <w:bookmarkStart w:id="65" w:name="_Toc86138293"/>
      <w:r>
        <w:rPr>
          <w:rFonts w:ascii="Times New Roman" w:hAnsi="Times New Roman" w:cs="Times New Roman"/>
          <w:sz w:val="28"/>
          <w:szCs w:val="28"/>
        </w:rPr>
        <w:t>2 其他环境保护措施的落实情况</w:t>
      </w:r>
      <w:bookmarkEnd w:id="65"/>
    </w:p>
    <w:p>
      <w:pPr>
        <w:pStyle w:val="5"/>
        <w:rPr>
          <w:rFonts w:ascii="Times New Roman" w:hAnsi="Times New Roman"/>
        </w:rPr>
      </w:pPr>
      <w:bookmarkStart w:id="66" w:name="_Toc86138294"/>
      <w:r>
        <w:rPr>
          <w:rFonts w:ascii="Times New Roman" w:hAnsi="Times New Roman"/>
        </w:rPr>
        <w:t>2.1 制度措施落实情况</w:t>
      </w:r>
      <w:bookmarkEnd w:id="66"/>
    </w:p>
    <w:p>
      <w:pPr>
        <w:pStyle w:val="38"/>
        <w:ind w:firstLine="480" w:firstLineChars="200"/>
        <w:rPr>
          <w:sz w:val="24"/>
          <w:szCs w:val="24"/>
        </w:rPr>
      </w:pPr>
      <w:r>
        <w:rPr>
          <w:sz w:val="24"/>
          <w:szCs w:val="24"/>
        </w:rPr>
        <w:t>（1）环保组织机构及规章制度</w:t>
      </w:r>
    </w:p>
    <w:p>
      <w:pPr>
        <w:pStyle w:val="38"/>
        <w:ind w:firstLine="480" w:firstLineChars="200"/>
        <w:rPr>
          <w:sz w:val="24"/>
          <w:szCs w:val="24"/>
        </w:rPr>
      </w:pPr>
      <w:r>
        <w:rPr>
          <w:sz w:val="24"/>
          <w:szCs w:val="24"/>
        </w:rPr>
        <w:t>能源动力总厂建立环保组织机构，能源管控中心职责负责牵头组织制定、修订总厂环境管理制度，全面负责厂环保管理工作。组织结构及职责如下图：</w:t>
      </w:r>
    </w:p>
    <w:p>
      <w:pPr>
        <w:pStyle w:val="38"/>
        <w:jc w:val="center"/>
        <w:rPr>
          <w:sz w:val="24"/>
          <w:szCs w:val="24"/>
        </w:rPr>
      </w:pPr>
      <w:r>
        <w:rPr>
          <w:rFonts w:ascii="Times New Roman" w:hAnsi="Times New Roman" w:eastAsia="宋体" w:cs="Times New Roman"/>
          <w:kern w:val="2"/>
          <w:sz w:val="24"/>
          <w:szCs w:val="24"/>
          <w:lang w:val="en-US" w:eastAsia="zh-CN" w:bidi="ar-SA"/>
        </w:rPr>
        <w:pict>
          <v:shape id="图片 2" o:spid="_x0000_s1048" type="#_x0000_t75" style="position:absolute;left:0;margin-left:-19pt;margin-top:2.1pt;height:342.85pt;width:453.3pt;mso-position-horizontal-relative:margin;mso-wrap-distance-bottom:0pt;mso-wrap-distance-left:9pt;mso-wrap-distance-right:9pt;mso-wrap-distance-top:0pt;rotation:0f;z-index:251669504;" o:ole="f" fillcolor="#FFFFFF" filled="f" o:preferrelative="t" stroked="f" coordorigin="0,0" coordsize="21600,21600">
            <v:fill on="f" color2="#FFFFFF" focus="0%"/>
            <v:imagedata gain="65536f" blacklevel="0f" gamma="0" o:title="" r:id="rId32"/>
            <o:lock v:ext="edit" position="f" selection="f" grouping="f" rotation="f" cropping="f" text="f" aspectratio="t"/>
            <w10:wrap type="square"/>
          </v:shape>
        </w:pict>
      </w:r>
      <w:r>
        <w:rPr>
          <w:sz w:val="24"/>
          <w:szCs w:val="24"/>
        </w:rPr>
        <w:t>图2-1  能源动力总厂环境管理组织结构图</w:t>
      </w:r>
    </w:p>
    <w:p>
      <w:pPr>
        <w:pStyle w:val="38"/>
        <w:ind w:firstLine="480" w:firstLineChars="200"/>
        <w:rPr>
          <w:sz w:val="24"/>
          <w:szCs w:val="24"/>
        </w:rPr>
      </w:pPr>
      <w:r>
        <w:rPr>
          <w:sz w:val="24"/>
          <w:szCs w:val="24"/>
        </w:rPr>
        <w:t>（2）环境风险防范措施</w:t>
      </w:r>
    </w:p>
    <w:p>
      <w:pPr>
        <w:pStyle w:val="38"/>
        <w:ind w:firstLine="480" w:firstLineChars="200"/>
        <w:rPr>
          <w:sz w:val="24"/>
          <w:szCs w:val="24"/>
        </w:rPr>
      </w:pPr>
      <w:r>
        <w:rPr>
          <w:sz w:val="24"/>
          <w:szCs w:val="24"/>
        </w:rPr>
        <w:t>能源动力总厂执行《山西太钢不锈钢股份有限公司（尖草坪厂区）突发 事故应急预案（综合）》相关规定。进行了环境风险源及突发环境事件识别、建立应急组织机构、制定应急预案并按照预案进行过演练。</w:t>
      </w:r>
    </w:p>
    <w:p>
      <w:pPr>
        <w:pStyle w:val="38"/>
        <w:ind w:firstLine="480" w:firstLineChars="200"/>
        <w:rPr>
          <w:sz w:val="24"/>
          <w:szCs w:val="24"/>
        </w:rPr>
      </w:pPr>
      <w:r>
        <w:rPr>
          <w:sz w:val="24"/>
          <w:szCs w:val="24"/>
        </w:rPr>
        <w:t>（3）环境监测计划</w:t>
      </w:r>
    </w:p>
    <w:p>
      <w:pPr>
        <w:pStyle w:val="38"/>
        <w:ind w:firstLine="480" w:firstLineChars="200"/>
        <w:rPr>
          <w:sz w:val="24"/>
          <w:szCs w:val="24"/>
        </w:rPr>
      </w:pPr>
      <w:r>
        <w:rPr>
          <w:sz w:val="24"/>
          <w:szCs w:val="24"/>
        </w:rPr>
        <w:t>能源动力总厂执行公司制定的大气污染物达标排放监测计划、水污染物监测计划、无组织污染物达标排放监测计划、污染源自动监控设施比对监测计划。</w:t>
      </w:r>
    </w:p>
    <w:p>
      <w:pPr>
        <w:pStyle w:val="5"/>
        <w:rPr>
          <w:rFonts w:ascii="Times New Roman" w:hAnsi="Times New Roman"/>
        </w:rPr>
      </w:pPr>
      <w:bookmarkStart w:id="67" w:name="_Toc86138295"/>
      <w:r>
        <w:rPr>
          <w:rFonts w:ascii="Times New Roman" w:hAnsi="Times New Roman"/>
        </w:rPr>
        <w:t>2.2 配套措施落实情况</w:t>
      </w:r>
      <w:bookmarkEnd w:id="67"/>
    </w:p>
    <w:p>
      <w:pPr>
        <w:pStyle w:val="38"/>
        <w:ind w:firstLine="480" w:firstLineChars="200"/>
        <w:rPr>
          <w:sz w:val="24"/>
          <w:szCs w:val="24"/>
        </w:rPr>
      </w:pPr>
      <w:r>
        <w:rPr>
          <w:sz w:val="24"/>
          <w:szCs w:val="24"/>
        </w:rPr>
        <w:t>（1）区域削减及淘汰落后产能</w:t>
      </w:r>
    </w:p>
    <w:p>
      <w:pPr>
        <w:pStyle w:val="38"/>
        <w:ind w:firstLine="480" w:firstLineChars="200"/>
        <w:rPr>
          <w:sz w:val="24"/>
          <w:szCs w:val="24"/>
        </w:rPr>
      </w:pPr>
      <w:r>
        <w:rPr>
          <w:sz w:val="24"/>
          <w:szCs w:val="24"/>
        </w:rPr>
        <w:t>本项目属于环保项目，不涉及区域内削减污染物总量措施和淘汰落后产能的措施。本项目采用的生产工艺成熟，能够有效利用夏季富余蒸汽进行发电，满足清洁生产要求。</w:t>
      </w:r>
    </w:p>
    <w:p>
      <w:pPr>
        <w:pStyle w:val="38"/>
        <w:ind w:firstLine="480" w:firstLineChars="200"/>
        <w:rPr>
          <w:sz w:val="24"/>
          <w:szCs w:val="24"/>
        </w:rPr>
      </w:pPr>
      <w:r>
        <w:rPr>
          <w:sz w:val="24"/>
          <w:szCs w:val="24"/>
        </w:rPr>
        <w:t>（2）防护距离控制及居民搬迁</w:t>
      </w:r>
    </w:p>
    <w:p>
      <w:pPr>
        <w:pStyle w:val="38"/>
        <w:ind w:firstLine="480" w:firstLineChars="200"/>
        <w:rPr>
          <w:sz w:val="24"/>
          <w:szCs w:val="24"/>
        </w:rPr>
      </w:pPr>
      <w:r>
        <w:rPr>
          <w:sz w:val="24"/>
          <w:szCs w:val="24"/>
        </w:rPr>
        <w:t>本项目在太钢厂区内进行建设，符合《太原市城市总体规划》要求，不涉及防护距离控制及居民搬迁。</w:t>
      </w:r>
    </w:p>
    <w:p>
      <w:pPr>
        <w:pStyle w:val="5"/>
        <w:rPr>
          <w:rFonts w:ascii="Times New Roman" w:hAnsi="Times New Roman"/>
        </w:rPr>
      </w:pPr>
      <w:bookmarkStart w:id="68" w:name="_Toc86138296"/>
      <w:r>
        <w:rPr>
          <w:rFonts w:ascii="Times New Roman" w:hAnsi="Times New Roman"/>
        </w:rPr>
        <w:t>2.3 其他措施落实情况</w:t>
      </w:r>
      <w:bookmarkEnd w:id="68"/>
    </w:p>
    <w:p>
      <w:pPr>
        <w:pStyle w:val="38"/>
        <w:ind w:firstLine="480" w:firstLineChars="200"/>
        <w:rPr>
          <w:sz w:val="24"/>
          <w:szCs w:val="24"/>
        </w:rPr>
      </w:pPr>
      <w:r>
        <w:rPr>
          <w:sz w:val="24"/>
          <w:szCs w:val="24"/>
        </w:rPr>
        <w:t>本项目在太钢厂区内进行建设，不涉及林地补偿、珍稀动植物保护、区域环境整治、相关外围工程建设情况。</w:t>
      </w:r>
    </w:p>
    <w:p>
      <w:pPr>
        <w:ind w:firstLine="420" w:firstLineChars="200"/>
        <w:rPr>
          <w:rFonts w:ascii="Times New Roman" w:hAnsi="Times New Roman" w:cs="Times New Roman"/>
        </w:rPr>
        <w:sectPr>
          <w:pgSz w:w="11906" w:h="16838"/>
          <w:pgMar w:top="1440" w:right="1800" w:bottom="1440" w:left="1800" w:header="851" w:footer="992" w:gutter="0"/>
          <w:cols w:space="425" w:num="1"/>
          <w:docGrid w:type="lines" w:linePitch="312" w:charSpace="0"/>
        </w:sectPr>
      </w:pPr>
    </w:p>
    <w:p>
      <w:pPr>
        <w:pStyle w:val="4"/>
        <w:rPr>
          <w:rFonts w:ascii="Times New Roman" w:hAnsi="Times New Roman" w:cs="Times New Roman"/>
          <w:sz w:val="28"/>
          <w:szCs w:val="28"/>
        </w:rPr>
      </w:pPr>
      <w:bookmarkStart w:id="69" w:name="_Toc86138297"/>
      <w:r>
        <w:rPr>
          <w:rFonts w:ascii="Times New Roman" w:hAnsi="Times New Roman" w:cs="Times New Roman"/>
          <w:sz w:val="28"/>
          <w:szCs w:val="28"/>
        </w:rPr>
        <w:t>3 整改工作情况</w:t>
      </w:r>
      <w:bookmarkEnd w:id="69"/>
    </w:p>
    <w:p>
      <w:pPr>
        <w:pStyle w:val="38"/>
        <w:ind w:firstLine="480" w:firstLineChars="200"/>
        <w:rPr>
          <w:sz w:val="24"/>
          <w:szCs w:val="24"/>
        </w:rPr>
      </w:pPr>
      <w:r>
        <w:rPr>
          <w:sz w:val="24"/>
          <w:szCs w:val="24"/>
        </w:rPr>
        <w:t>本项目环境影响评价报告表为《山西太钢不锈钢股份有限公司低参数余热利用项目及烟气余热回收改造工程环境影响评价报告表》，烟气余热回收改造工程未建设，本次只对低参数余热利用项目进行了验收。</w:t>
      </w:r>
    </w:p>
    <w:p>
      <w:pPr>
        <w:pStyle w:val="38"/>
        <w:ind w:firstLine="480" w:firstLineChars="200"/>
        <w:rPr>
          <w:sz w:val="24"/>
          <w:szCs w:val="24"/>
        </w:rPr>
      </w:pPr>
      <w:r>
        <w:rPr>
          <w:sz w:val="24"/>
          <w:szCs w:val="24"/>
        </w:rPr>
        <w:t>本项目实际建设规模、建设内容与环境影响评价中描述相一致，无变动内容。参考竣工环境保护验收意见，无整改情况。</w:t>
      </w:r>
    </w:p>
    <w:p>
      <w:pPr>
        <w:rPr>
          <w:rFonts w:ascii="Times New Roman" w:hAnsi="Times New Roman" w:cs="Times New Roman"/>
        </w:rPr>
        <w:sectPr>
          <w:pgSz w:w="11906" w:h="16838"/>
          <w:pgMar w:top="1440" w:right="1457" w:bottom="1440" w:left="1457" w:header="851" w:footer="992" w:gutter="0"/>
          <w:cols w:space="425" w:num="1"/>
          <w:docGrid w:type="linesAndChars" w:linePitch="312" w:charSpace="0"/>
        </w:sectPr>
      </w:pPr>
    </w:p>
    <w:p>
      <w:pPr>
        <w:pStyle w:val="5"/>
        <w:rPr>
          <w:rFonts w:ascii="Times New Roman" w:hAnsi="Times New Roman"/>
        </w:rPr>
      </w:pPr>
      <w:bookmarkStart w:id="70" w:name="_Toc86138298"/>
      <w:r>
        <w:rPr>
          <w:rFonts w:ascii="Times New Roman" w:hAnsi="Times New Roman"/>
        </w:rPr>
        <w:t>附件6 竣工环境保护验收意见</w:t>
      </w:r>
      <w:bookmarkEnd w:id="70"/>
    </w:p>
    <w:p>
      <w:pPr>
        <w:pStyle w:val="41"/>
        <w:tabs>
          <w:tab w:val="right" w:leader="dot" w:pos="8306"/>
        </w:tabs>
        <w:spacing w:line="360" w:lineRule="auto"/>
        <w:rPr>
          <w:rFonts w:ascii="Times New Roman" w:hAnsi="Times New Roman" w:cs="Times New Roman"/>
          <w:b/>
          <w:bCs/>
          <w:sz w:val="32"/>
          <w:szCs w:val="32"/>
        </w:rPr>
      </w:pPr>
    </w:p>
    <w:p>
      <w:pPr>
        <w:jc w:val="center"/>
        <w:rPr>
          <w:rFonts w:ascii="Times New Roman" w:hAnsi="Times New Roman" w:cs="Times New Roman"/>
          <w:b/>
          <w:sz w:val="32"/>
          <w:szCs w:val="32"/>
        </w:rPr>
      </w:pPr>
      <w:r>
        <w:rPr>
          <w:rFonts w:ascii="Times New Roman" w:hAnsi="Times New Roman" w:cs="Times New Roman"/>
          <w:b/>
          <w:sz w:val="32"/>
          <w:szCs w:val="32"/>
        </w:rPr>
        <w:t>山西太钢不锈钢股份有限公司</w:t>
      </w:r>
    </w:p>
    <w:p>
      <w:pPr>
        <w:jc w:val="center"/>
        <w:rPr>
          <w:rFonts w:ascii="Times New Roman" w:hAnsi="Times New Roman" w:cs="Times New Roman"/>
          <w:b/>
          <w:sz w:val="32"/>
          <w:szCs w:val="32"/>
        </w:rPr>
      </w:pPr>
      <w:r>
        <w:rPr>
          <w:rFonts w:ascii="Times New Roman" w:hAnsi="Times New Roman" w:cs="Times New Roman"/>
          <w:b/>
          <w:sz w:val="32"/>
          <w:szCs w:val="32"/>
        </w:rPr>
        <w:t>低参数余热利用项目及烟气余热回收改造工程建设项目</w:t>
      </w:r>
    </w:p>
    <w:p>
      <w:pPr>
        <w:jc w:val="center"/>
        <w:rPr>
          <w:rFonts w:ascii="Times New Roman" w:hAnsi="Times New Roman" w:cs="Times New Roman"/>
          <w:b/>
          <w:sz w:val="32"/>
          <w:szCs w:val="32"/>
        </w:rPr>
      </w:pPr>
      <w:r>
        <w:rPr>
          <w:rFonts w:ascii="Times New Roman" w:hAnsi="Times New Roman" w:cs="Times New Roman"/>
          <w:b/>
          <w:sz w:val="32"/>
          <w:szCs w:val="32"/>
        </w:rPr>
        <w:t>（低参数余热利用项目）</w:t>
      </w:r>
    </w:p>
    <w:p>
      <w:pPr>
        <w:spacing w:line="500" w:lineRule="exact"/>
        <w:jc w:val="center"/>
        <w:rPr>
          <w:rFonts w:ascii="Times New Roman" w:hAnsi="Times New Roman" w:cs="Times New Roman"/>
          <w:b/>
          <w:sz w:val="32"/>
          <w:szCs w:val="32"/>
        </w:rPr>
      </w:pPr>
      <w:r>
        <w:rPr>
          <w:rFonts w:ascii="Times New Roman" w:hAnsi="Times New Roman" w:cs="Times New Roman"/>
          <w:b/>
          <w:sz w:val="32"/>
          <w:szCs w:val="32"/>
        </w:rPr>
        <w:t>竣工环境保护验收意见</w:t>
      </w:r>
    </w:p>
    <w:p>
      <w:pPr>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2021年9月29日，山西太钢不锈钢股份有限公司根据《山西太钢不锈钢股份有限公司低参数余热利用项目及烟气余热回收改造工程建设项目（低参数余热利用项目）竣工环境保护项目验收监测报告》并对照《建设项目竣工环境保护验收暂行办法》、《山西省环境保护厅关于做好建设项目环境保护管理相关工作的通知》，严格依照国家有关法律法规、建设项目竣工环境保护验收技术规范、本项目环境影响报告表和审批部门审批决定等要求对本项目进行验收。本次验收为建设单位自主验收。</w:t>
      </w:r>
    </w:p>
    <w:p>
      <w:pPr>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参加验收的有项目设计单位山西太钢工程技术有限公司、山西意迪光华电力勘测设计有限公司，施工单位德阳东汽建设置业有限公司、安阳建工（集团）有限责任公司，工程监理单位山西震益工程建设监理公司，环评单位山西清泽阳光环保科技有限公司，验收报告编制单位山西太钢工程技术有限公司，验收监测单位山西太钢环境监测有限公司的代表及应邀专家。与会代表检查了项目现场，听取了建设单位对工程建设和环保设施调试的情况介绍以及监测单位对项目竣工验收监测情况的介绍，验收组（名单附后）</w:t>
      </w:r>
      <w:r>
        <w:rPr>
          <w:rFonts w:ascii="Times New Roman" w:hAnsi="Times New Roman" w:cs="Times New Roman"/>
          <w:color w:val="000000"/>
          <w:sz w:val="28"/>
          <w:szCs w:val="28"/>
        </w:rPr>
        <w:t>提出验收意见如下：</w:t>
      </w:r>
    </w:p>
    <w:p>
      <w:pPr>
        <w:pStyle w:val="44"/>
        <w:adjustRightInd w:val="0"/>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71" w:name="_Toc86138299"/>
      <w:r>
        <w:rPr>
          <w:rFonts w:ascii="Times New Roman" w:hAnsi="Times New Roman" w:cs="Times New Roman"/>
          <w:b/>
          <w:color w:val="000000"/>
          <w:sz w:val="28"/>
          <w:szCs w:val="28"/>
        </w:rPr>
        <w:t>一、工程建设基本情况</w:t>
      </w:r>
      <w:bookmarkEnd w:id="71"/>
    </w:p>
    <w:p>
      <w:pPr>
        <w:pStyle w:val="44"/>
        <w:adjustRightInd w:val="0"/>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72" w:name="_Toc86138300"/>
      <w:r>
        <w:rPr>
          <w:rFonts w:ascii="Times New Roman" w:hAnsi="Times New Roman" w:cs="Times New Roman"/>
          <w:color w:val="000000"/>
          <w:sz w:val="28"/>
          <w:szCs w:val="28"/>
        </w:rPr>
        <w:t>（一）建设地点、规模、主要建设内容</w:t>
      </w:r>
      <w:bookmarkEnd w:id="72"/>
    </w:p>
    <w:p>
      <w:pPr>
        <w:shd w:val="clear" w:color="auto" w:fill="FFFFFF"/>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建设地点：山西太钢不锈钢股份有限公司能源动力总厂现有2#机组东侧和5#、6#煤气炉的西侧之间、办公楼的南侧和空压机的北侧之间</w:t>
      </w:r>
    </w:p>
    <w:p>
      <w:pPr>
        <w:shd w:val="clear" w:color="auto" w:fill="FFFFFF"/>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建设性质：技术改造</w:t>
      </w:r>
    </w:p>
    <w:p>
      <w:pPr>
        <w:pStyle w:val="38"/>
        <w:ind w:firstLine="560" w:firstLineChars="200"/>
        <w:rPr>
          <w:color w:val="000000"/>
        </w:rPr>
      </w:pPr>
      <w:r>
        <w:rPr>
          <w:color w:val="000000"/>
        </w:rPr>
        <w:t>建设规模：本项目为在太钢能源动力总厂新建2×30MW的低参数发电机组，包括工艺系统、控制系统、电气系统、主厂房等。项目实施后，年发电量2.3亿KWh，年供电量2.219亿KWh。</w:t>
      </w:r>
    </w:p>
    <w:p>
      <w:pPr>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工程组成与建设内容见表1。</w:t>
      </w:r>
    </w:p>
    <w:p>
      <w:pPr>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表1  项目组成及建设内容表</w:t>
      </w:r>
    </w:p>
    <w:tbl>
      <w:tblPr>
        <w:tblStyle w:val="27"/>
        <w:tblW w:w="91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24"/>
        <w:gridCol w:w="445"/>
        <w:gridCol w:w="976"/>
        <w:gridCol w:w="2958"/>
        <w:gridCol w:w="2958"/>
        <w:gridCol w:w="1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2045" w:type="dxa"/>
            <w:gridSpan w:val="3"/>
            <w:vAlign w:val="center"/>
          </w:tcPr>
          <w:p>
            <w:pPr>
              <w:spacing w:line="276" w:lineRule="auto"/>
              <w:jc w:val="center"/>
              <w:outlineLvl w:val="2"/>
              <w:rPr>
                <w:rFonts w:ascii="Times New Roman" w:hAnsi="Times New Roman" w:cs="Times New Roman"/>
                <w:b/>
                <w:bCs/>
                <w:color w:val="000000"/>
              </w:rPr>
            </w:pPr>
            <w:bookmarkStart w:id="73" w:name="_Toc86138301"/>
            <w:r>
              <w:rPr>
                <w:rFonts w:ascii="Times New Roman" w:hAnsi="Times New Roman" w:cs="Times New Roman"/>
                <w:b/>
                <w:bCs/>
                <w:color w:val="000000"/>
              </w:rPr>
              <w:t>建设单元</w:t>
            </w:r>
            <w:bookmarkEnd w:id="73"/>
          </w:p>
        </w:tc>
        <w:tc>
          <w:tcPr>
            <w:tcW w:w="2958" w:type="dxa"/>
            <w:vAlign w:val="center"/>
          </w:tcPr>
          <w:p>
            <w:pPr>
              <w:spacing w:line="276" w:lineRule="auto"/>
              <w:jc w:val="center"/>
              <w:outlineLvl w:val="2"/>
              <w:rPr>
                <w:rFonts w:ascii="Times New Roman" w:hAnsi="Times New Roman" w:cs="Times New Roman"/>
                <w:b/>
                <w:bCs/>
                <w:color w:val="000000"/>
              </w:rPr>
            </w:pPr>
            <w:bookmarkStart w:id="74" w:name="_Toc86138302"/>
            <w:r>
              <w:rPr>
                <w:rFonts w:ascii="Times New Roman" w:hAnsi="Times New Roman" w:cs="Times New Roman"/>
                <w:b/>
                <w:bCs/>
                <w:color w:val="000000"/>
              </w:rPr>
              <w:t>环评建设内容</w:t>
            </w:r>
            <w:bookmarkEnd w:id="74"/>
          </w:p>
        </w:tc>
        <w:tc>
          <w:tcPr>
            <w:tcW w:w="2958" w:type="dxa"/>
            <w:vAlign w:val="center"/>
          </w:tcPr>
          <w:p>
            <w:pPr>
              <w:spacing w:line="276" w:lineRule="auto"/>
              <w:jc w:val="center"/>
              <w:outlineLvl w:val="2"/>
              <w:rPr>
                <w:rFonts w:ascii="Times New Roman" w:hAnsi="Times New Roman" w:cs="Times New Roman"/>
                <w:b/>
                <w:bCs/>
                <w:color w:val="000000"/>
              </w:rPr>
            </w:pPr>
            <w:bookmarkStart w:id="75" w:name="_Toc86138303"/>
            <w:r>
              <w:rPr>
                <w:rFonts w:ascii="Times New Roman" w:hAnsi="Times New Roman" w:cs="Times New Roman"/>
                <w:b/>
                <w:bCs/>
                <w:color w:val="000000"/>
              </w:rPr>
              <w:t>实际建设内容</w:t>
            </w:r>
            <w:bookmarkEnd w:id="75"/>
          </w:p>
        </w:tc>
        <w:tc>
          <w:tcPr>
            <w:tcW w:w="1181" w:type="dxa"/>
            <w:vAlign w:val="center"/>
          </w:tcPr>
          <w:p>
            <w:pPr>
              <w:spacing w:line="276" w:lineRule="auto"/>
              <w:jc w:val="center"/>
              <w:outlineLvl w:val="2"/>
              <w:rPr>
                <w:rFonts w:ascii="Times New Roman" w:hAnsi="Times New Roman" w:cs="Times New Roman"/>
                <w:b/>
                <w:bCs/>
                <w:color w:val="000000"/>
              </w:rPr>
            </w:pPr>
            <w:bookmarkStart w:id="76" w:name="_Toc86138304"/>
            <w:r>
              <w:rPr>
                <w:rFonts w:ascii="Times New Roman" w:hAnsi="Times New Roman" w:cs="Times New Roman"/>
                <w:b/>
                <w:bCs/>
                <w:color w:val="000000"/>
              </w:rPr>
              <w:t>与环评一致性说明</w:t>
            </w:r>
            <w:bookmarkEnd w:id="7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Align w:val="center"/>
          </w:tcPr>
          <w:p>
            <w:pPr>
              <w:spacing w:line="276" w:lineRule="auto"/>
              <w:jc w:val="center"/>
              <w:outlineLvl w:val="2"/>
              <w:rPr>
                <w:rFonts w:ascii="Times New Roman" w:hAnsi="Times New Roman" w:cs="Times New Roman"/>
                <w:color w:val="000000"/>
              </w:rPr>
            </w:pPr>
            <w:bookmarkStart w:id="77" w:name="_Toc86138305"/>
            <w:r>
              <w:rPr>
                <w:rFonts w:ascii="Times New Roman" w:hAnsi="Times New Roman" w:cs="Times New Roman"/>
                <w:color w:val="000000"/>
              </w:rPr>
              <w:t>主体</w:t>
            </w:r>
            <w:bookmarkEnd w:id="77"/>
          </w:p>
          <w:p>
            <w:pPr>
              <w:spacing w:line="276" w:lineRule="auto"/>
              <w:jc w:val="center"/>
              <w:outlineLvl w:val="2"/>
              <w:rPr>
                <w:rFonts w:ascii="Times New Roman" w:hAnsi="Times New Roman" w:cs="Times New Roman"/>
                <w:color w:val="000000"/>
              </w:rPr>
            </w:pPr>
            <w:bookmarkStart w:id="78" w:name="_Toc86138306"/>
            <w:r>
              <w:rPr>
                <w:rFonts w:ascii="Times New Roman" w:hAnsi="Times New Roman" w:cs="Times New Roman"/>
                <w:color w:val="000000"/>
              </w:rPr>
              <w:t>工程</w:t>
            </w:r>
            <w:bookmarkEnd w:id="78"/>
          </w:p>
        </w:tc>
        <w:tc>
          <w:tcPr>
            <w:tcW w:w="1421" w:type="dxa"/>
            <w:gridSpan w:val="2"/>
            <w:vAlign w:val="center"/>
          </w:tcPr>
          <w:p>
            <w:pPr>
              <w:spacing w:line="276" w:lineRule="auto"/>
              <w:jc w:val="center"/>
              <w:outlineLvl w:val="2"/>
              <w:rPr>
                <w:rFonts w:ascii="Times New Roman" w:hAnsi="Times New Roman" w:cs="Times New Roman"/>
                <w:color w:val="000000"/>
              </w:rPr>
            </w:pPr>
            <w:bookmarkStart w:id="79" w:name="_Toc86138307"/>
            <w:r>
              <w:rPr>
                <w:rFonts w:ascii="Times New Roman" w:hAnsi="Times New Roman" w:cs="Times New Roman"/>
                <w:color w:val="000000"/>
                <w:lang w:bidi="en-US"/>
              </w:rPr>
              <w:t>2×30MW低参数余热发电机组</w:t>
            </w:r>
            <w:bookmarkEnd w:id="79"/>
          </w:p>
        </w:tc>
        <w:tc>
          <w:tcPr>
            <w:tcW w:w="295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建设两台30MW空冷纯凝汽机组，充分发挥现有低压蒸汽富裕能力，使富余低压蒸汽最大限度高效发挥其能力。</w:t>
            </w:r>
          </w:p>
        </w:tc>
        <w:tc>
          <w:tcPr>
            <w:tcW w:w="2958" w:type="dxa"/>
            <w:vAlign w:val="center"/>
          </w:tcPr>
          <w:p>
            <w:pPr>
              <w:spacing w:line="276" w:lineRule="auto"/>
              <w:outlineLvl w:val="2"/>
              <w:rPr>
                <w:rFonts w:ascii="Times New Roman" w:hAnsi="Times New Roman" w:cs="Times New Roman"/>
                <w:color w:val="000000"/>
              </w:rPr>
            </w:pPr>
            <w:bookmarkStart w:id="80" w:name="_Toc86138308"/>
            <w:r>
              <w:rPr>
                <w:rFonts w:ascii="Times New Roman" w:hAnsi="Times New Roman" w:cs="Times New Roman"/>
                <w:color w:val="000000"/>
              </w:rPr>
              <w:t>建设两台30MW空冷纯凝汽机组。</w:t>
            </w:r>
            <w:bookmarkEnd w:id="80"/>
          </w:p>
        </w:tc>
        <w:tc>
          <w:tcPr>
            <w:tcW w:w="1181" w:type="dxa"/>
            <w:vAlign w:val="center"/>
          </w:tcPr>
          <w:p>
            <w:pPr>
              <w:spacing w:line="276" w:lineRule="auto"/>
              <w:jc w:val="center"/>
              <w:outlineLvl w:val="2"/>
              <w:rPr>
                <w:rFonts w:ascii="Times New Roman" w:hAnsi="Times New Roman" w:cs="Times New Roman"/>
                <w:color w:val="000000"/>
              </w:rPr>
            </w:pPr>
            <w:bookmarkStart w:id="81" w:name="_Toc86138309"/>
            <w:r>
              <w:rPr>
                <w:rFonts w:ascii="Times New Roman" w:hAnsi="Times New Roman" w:cs="Times New Roman"/>
                <w:color w:val="000000"/>
              </w:rPr>
              <w:t>一致</w:t>
            </w:r>
            <w:bookmarkEnd w:id="8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restart"/>
            <w:vAlign w:val="center"/>
          </w:tcPr>
          <w:p>
            <w:pPr>
              <w:spacing w:line="276" w:lineRule="auto"/>
              <w:jc w:val="center"/>
              <w:outlineLvl w:val="2"/>
              <w:rPr>
                <w:rFonts w:ascii="Times New Roman" w:hAnsi="Times New Roman" w:cs="Times New Roman"/>
                <w:color w:val="000000"/>
              </w:rPr>
            </w:pPr>
            <w:bookmarkStart w:id="82" w:name="_Toc86138310"/>
            <w:r>
              <w:rPr>
                <w:rFonts w:ascii="Times New Roman" w:hAnsi="Times New Roman" w:cs="Times New Roman"/>
                <w:color w:val="000000"/>
              </w:rPr>
              <w:t>辅助工程</w:t>
            </w:r>
            <w:bookmarkEnd w:id="82"/>
          </w:p>
        </w:tc>
        <w:tc>
          <w:tcPr>
            <w:tcW w:w="1421" w:type="dxa"/>
            <w:gridSpan w:val="2"/>
            <w:vAlign w:val="center"/>
          </w:tcPr>
          <w:p>
            <w:pPr>
              <w:spacing w:line="276" w:lineRule="auto"/>
              <w:jc w:val="center"/>
              <w:outlineLvl w:val="2"/>
              <w:rPr>
                <w:rFonts w:ascii="Times New Roman" w:hAnsi="Times New Roman" w:cs="Times New Roman"/>
                <w:color w:val="000000"/>
              </w:rPr>
            </w:pPr>
            <w:bookmarkStart w:id="83" w:name="_Toc86138311"/>
            <w:r>
              <w:rPr>
                <w:rFonts w:ascii="Times New Roman" w:hAnsi="Times New Roman" w:cs="Times New Roman"/>
                <w:color w:val="000000"/>
              </w:rPr>
              <w:t>控制系统</w:t>
            </w:r>
            <w:bookmarkEnd w:id="83"/>
          </w:p>
        </w:tc>
        <w:tc>
          <w:tcPr>
            <w:tcW w:w="295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PLC控制系统采用S7-300，实现系统工艺逻辑控制，完成数据采集、报警状态的显示与设定，电动阀门及泵的远程控制等相关操作。上位机放在中控室，主要完成远程集中操作和监控、实时数据的显示、历史数据查询和报表打印等功能。</w:t>
            </w:r>
          </w:p>
        </w:tc>
        <w:tc>
          <w:tcPr>
            <w:tcW w:w="2958" w:type="dxa"/>
            <w:vAlign w:val="center"/>
          </w:tcPr>
          <w:p>
            <w:pPr>
              <w:spacing w:line="276" w:lineRule="auto"/>
              <w:outlineLvl w:val="2"/>
              <w:rPr>
                <w:rFonts w:ascii="Times New Roman" w:hAnsi="Times New Roman" w:cs="Times New Roman"/>
                <w:color w:val="000000"/>
              </w:rPr>
            </w:pPr>
            <w:bookmarkStart w:id="84" w:name="_Toc86138312"/>
            <w:r>
              <w:rPr>
                <w:rFonts w:ascii="Times New Roman" w:hAnsi="Times New Roman" w:cs="Times New Roman"/>
                <w:color w:val="000000"/>
              </w:rPr>
              <w:t>PLC控制系统采用S7-300，实现系统工艺逻辑控制，完成数据采集、报警状态的显示与设定，电动阀门及泵的远程控制等相关操作。上位机放在中控室，主要完成远程集中操作和监控、实时数据的显示、历史数据查询和报表打印等功能。</w:t>
            </w:r>
            <w:bookmarkEnd w:id="84"/>
          </w:p>
        </w:tc>
        <w:tc>
          <w:tcPr>
            <w:tcW w:w="1181" w:type="dxa"/>
            <w:vAlign w:val="center"/>
          </w:tcPr>
          <w:p>
            <w:pPr>
              <w:spacing w:line="276" w:lineRule="auto"/>
              <w:jc w:val="center"/>
              <w:outlineLvl w:val="2"/>
              <w:rPr>
                <w:rFonts w:ascii="Times New Roman" w:hAnsi="Times New Roman" w:cs="Times New Roman"/>
                <w:color w:val="000000"/>
              </w:rPr>
            </w:pPr>
            <w:bookmarkStart w:id="85" w:name="_Toc86138313"/>
            <w:r>
              <w:rPr>
                <w:rFonts w:ascii="Times New Roman" w:hAnsi="Times New Roman" w:cs="Times New Roman"/>
                <w:color w:val="000000"/>
              </w:rPr>
              <w:t>一致</w:t>
            </w:r>
            <w:bookmarkEnd w:id="8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continue"/>
            <w:vAlign w:val="center"/>
          </w:tcPr>
          <w:p>
            <w:pPr>
              <w:spacing w:line="276" w:lineRule="auto"/>
              <w:jc w:val="center"/>
              <w:outlineLvl w:val="2"/>
              <w:rPr>
                <w:rFonts w:ascii="Times New Roman" w:hAnsi="Times New Roman" w:cs="Times New Roman"/>
                <w:color w:val="000000"/>
              </w:rPr>
            </w:pPr>
          </w:p>
        </w:tc>
        <w:tc>
          <w:tcPr>
            <w:tcW w:w="1421" w:type="dxa"/>
            <w:gridSpan w:val="2"/>
            <w:vAlign w:val="center"/>
          </w:tcPr>
          <w:p>
            <w:pPr>
              <w:spacing w:line="276" w:lineRule="auto"/>
              <w:jc w:val="center"/>
              <w:outlineLvl w:val="2"/>
              <w:rPr>
                <w:rFonts w:ascii="Times New Roman" w:hAnsi="Times New Roman" w:cs="Times New Roman"/>
                <w:color w:val="000000"/>
              </w:rPr>
            </w:pPr>
            <w:bookmarkStart w:id="86" w:name="_Toc86138314"/>
            <w:r>
              <w:rPr>
                <w:rFonts w:ascii="Times New Roman" w:hAnsi="Times New Roman" w:cs="Times New Roman"/>
                <w:color w:val="000000"/>
              </w:rPr>
              <w:t>办公</w:t>
            </w:r>
            <w:bookmarkEnd w:id="86"/>
          </w:p>
        </w:tc>
        <w:tc>
          <w:tcPr>
            <w:tcW w:w="295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办公场所依托太钢能源动力厂现有办公楼</w:t>
            </w:r>
          </w:p>
        </w:tc>
        <w:tc>
          <w:tcPr>
            <w:tcW w:w="2958" w:type="dxa"/>
            <w:vAlign w:val="center"/>
          </w:tcPr>
          <w:p>
            <w:pPr>
              <w:spacing w:line="276" w:lineRule="auto"/>
              <w:outlineLvl w:val="2"/>
              <w:rPr>
                <w:rFonts w:ascii="Times New Roman" w:hAnsi="Times New Roman" w:cs="Times New Roman"/>
                <w:color w:val="000000"/>
              </w:rPr>
            </w:pPr>
            <w:bookmarkStart w:id="87" w:name="_Toc86138315"/>
            <w:r>
              <w:rPr>
                <w:rFonts w:ascii="Times New Roman" w:hAnsi="Times New Roman" w:cs="Times New Roman"/>
                <w:color w:val="000000"/>
              </w:rPr>
              <w:t>办公场所依托太钢能源动力厂现有办公楼</w:t>
            </w:r>
            <w:bookmarkEnd w:id="87"/>
          </w:p>
        </w:tc>
        <w:tc>
          <w:tcPr>
            <w:tcW w:w="1181" w:type="dxa"/>
            <w:vAlign w:val="center"/>
          </w:tcPr>
          <w:p>
            <w:pPr>
              <w:spacing w:line="276" w:lineRule="auto"/>
              <w:jc w:val="center"/>
              <w:outlineLvl w:val="2"/>
              <w:rPr>
                <w:rFonts w:ascii="Times New Roman" w:hAnsi="Times New Roman" w:cs="Times New Roman"/>
                <w:color w:val="000000"/>
              </w:rPr>
            </w:pPr>
            <w:bookmarkStart w:id="88" w:name="_Toc86138316"/>
            <w:r>
              <w:rPr>
                <w:rFonts w:ascii="Times New Roman" w:hAnsi="Times New Roman" w:cs="Times New Roman"/>
                <w:color w:val="000000"/>
              </w:rPr>
              <w:t>一致</w:t>
            </w:r>
            <w:bookmarkEnd w:id="8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restart"/>
            <w:vAlign w:val="center"/>
          </w:tcPr>
          <w:p>
            <w:pPr>
              <w:spacing w:line="276" w:lineRule="auto"/>
              <w:jc w:val="center"/>
              <w:outlineLvl w:val="2"/>
              <w:rPr>
                <w:rFonts w:ascii="Times New Roman" w:hAnsi="Times New Roman" w:cs="Times New Roman"/>
                <w:color w:val="000000"/>
              </w:rPr>
            </w:pPr>
            <w:bookmarkStart w:id="89" w:name="_Toc86138317"/>
            <w:r>
              <w:rPr>
                <w:rFonts w:ascii="Times New Roman" w:hAnsi="Times New Roman" w:cs="Times New Roman"/>
                <w:color w:val="000000"/>
              </w:rPr>
              <w:t>环保</w:t>
            </w:r>
            <w:bookmarkEnd w:id="89"/>
          </w:p>
          <w:p>
            <w:pPr>
              <w:spacing w:line="276" w:lineRule="auto"/>
              <w:jc w:val="center"/>
              <w:outlineLvl w:val="2"/>
              <w:rPr>
                <w:rFonts w:ascii="Times New Roman" w:hAnsi="Times New Roman" w:cs="Times New Roman"/>
                <w:color w:val="000000"/>
              </w:rPr>
            </w:pPr>
            <w:bookmarkStart w:id="90" w:name="_Toc86138318"/>
            <w:r>
              <w:rPr>
                <w:rFonts w:ascii="Times New Roman" w:hAnsi="Times New Roman" w:cs="Times New Roman"/>
                <w:color w:val="000000"/>
              </w:rPr>
              <w:t>工程</w:t>
            </w:r>
            <w:bookmarkEnd w:id="90"/>
          </w:p>
        </w:tc>
        <w:tc>
          <w:tcPr>
            <w:tcW w:w="445" w:type="dxa"/>
            <w:vMerge w:val="restart"/>
            <w:vAlign w:val="center"/>
          </w:tcPr>
          <w:p>
            <w:pPr>
              <w:spacing w:line="276" w:lineRule="auto"/>
              <w:jc w:val="center"/>
              <w:outlineLvl w:val="2"/>
              <w:rPr>
                <w:rFonts w:ascii="Times New Roman" w:hAnsi="Times New Roman" w:cs="Times New Roman"/>
                <w:color w:val="000000"/>
              </w:rPr>
            </w:pPr>
            <w:bookmarkStart w:id="91" w:name="_Toc86138319"/>
            <w:r>
              <w:rPr>
                <w:rFonts w:ascii="Times New Roman" w:hAnsi="Times New Roman" w:cs="Times New Roman"/>
                <w:color w:val="000000"/>
              </w:rPr>
              <w:t>废水</w:t>
            </w:r>
            <w:bookmarkEnd w:id="91"/>
          </w:p>
        </w:tc>
        <w:tc>
          <w:tcPr>
            <w:tcW w:w="976" w:type="dxa"/>
            <w:vAlign w:val="center"/>
          </w:tcPr>
          <w:p>
            <w:pPr>
              <w:spacing w:line="276" w:lineRule="auto"/>
              <w:jc w:val="center"/>
              <w:outlineLvl w:val="2"/>
              <w:rPr>
                <w:rFonts w:ascii="Times New Roman" w:hAnsi="Times New Roman" w:cs="Times New Roman"/>
                <w:color w:val="000000"/>
              </w:rPr>
            </w:pPr>
            <w:bookmarkStart w:id="92" w:name="_Toc86138320"/>
            <w:r>
              <w:rPr>
                <w:rFonts w:ascii="Times New Roman" w:hAnsi="Times New Roman" w:cs="Times New Roman"/>
                <w:color w:val="000000"/>
              </w:rPr>
              <w:t>汽轮机凝结水</w:t>
            </w:r>
            <w:bookmarkEnd w:id="92"/>
          </w:p>
        </w:tc>
        <w:tc>
          <w:tcPr>
            <w:tcW w:w="2958" w:type="dxa"/>
            <w:vAlign w:val="center"/>
          </w:tcPr>
          <w:p>
            <w:pPr>
              <w:autoSpaceDE w:val="0"/>
              <w:autoSpaceDN w:val="0"/>
              <w:spacing w:line="276" w:lineRule="auto"/>
              <w:rPr>
                <w:rFonts w:ascii="Times New Roman" w:hAnsi="Times New Roman" w:cs="Times New Roman"/>
                <w:color w:val="000000"/>
                <w:lang w:bidi="en-US"/>
              </w:rPr>
            </w:pPr>
            <w:r>
              <w:rPr>
                <w:rFonts w:ascii="Times New Roman" w:hAnsi="Times New Roman" w:cs="Times New Roman"/>
                <w:color w:val="000000"/>
                <w:lang w:bidi="en-US"/>
              </w:rPr>
              <w:t>从汽轮机凝结水全部收集于下部凝结水箱经凝结泵送入现有凝结水处理装置循环利用，不外排。</w:t>
            </w:r>
          </w:p>
        </w:tc>
        <w:tc>
          <w:tcPr>
            <w:tcW w:w="295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lang w:bidi="en-US"/>
              </w:rPr>
              <w:t>从汽轮机凝结水全部收集于下部凝结水箱经凝结泵送入现有凝结水处理装置循环利用，不外排。</w:t>
            </w:r>
          </w:p>
        </w:tc>
        <w:tc>
          <w:tcPr>
            <w:tcW w:w="1181" w:type="dxa"/>
            <w:vAlign w:val="center"/>
          </w:tcPr>
          <w:p>
            <w:pPr>
              <w:autoSpaceDE w:val="0"/>
              <w:autoSpaceDN w:val="0"/>
              <w:spacing w:line="276" w:lineRule="auto"/>
              <w:jc w:val="center"/>
              <w:rPr>
                <w:rFonts w:ascii="Times New Roman" w:hAnsi="Times New Roman" w:cs="Times New Roman"/>
                <w:color w:val="000000"/>
              </w:rPr>
            </w:pPr>
            <w:r>
              <w:rPr>
                <w:rFonts w:ascii="Times New Roman" w:hAnsi="Times New Roman" w:cs="Times New Roman"/>
                <w:color w:val="000000"/>
              </w:rPr>
              <w:t>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continue"/>
            <w:vAlign w:val="center"/>
          </w:tcPr>
          <w:p>
            <w:pPr>
              <w:spacing w:line="276" w:lineRule="auto"/>
              <w:jc w:val="center"/>
              <w:outlineLvl w:val="2"/>
              <w:rPr>
                <w:rFonts w:ascii="Times New Roman" w:hAnsi="Times New Roman" w:cs="Times New Roman"/>
                <w:color w:val="000000"/>
              </w:rPr>
            </w:pPr>
          </w:p>
        </w:tc>
        <w:tc>
          <w:tcPr>
            <w:tcW w:w="445" w:type="dxa"/>
            <w:vMerge w:val="continue"/>
            <w:vAlign w:val="center"/>
          </w:tcPr>
          <w:p>
            <w:pPr>
              <w:spacing w:line="276" w:lineRule="auto"/>
              <w:jc w:val="center"/>
              <w:outlineLvl w:val="2"/>
              <w:rPr>
                <w:rFonts w:ascii="Times New Roman" w:hAnsi="Times New Roman" w:cs="Times New Roman"/>
                <w:color w:val="000000"/>
              </w:rPr>
            </w:pPr>
          </w:p>
        </w:tc>
        <w:tc>
          <w:tcPr>
            <w:tcW w:w="976" w:type="dxa"/>
            <w:vAlign w:val="center"/>
          </w:tcPr>
          <w:p>
            <w:pPr>
              <w:spacing w:line="276" w:lineRule="auto"/>
              <w:jc w:val="center"/>
              <w:outlineLvl w:val="2"/>
              <w:rPr>
                <w:rFonts w:ascii="Times New Roman" w:hAnsi="Times New Roman" w:cs="Times New Roman"/>
                <w:color w:val="000000"/>
              </w:rPr>
            </w:pPr>
            <w:bookmarkStart w:id="93" w:name="_Toc86138321"/>
            <w:r>
              <w:rPr>
                <w:rFonts w:ascii="Times New Roman" w:hAnsi="Times New Roman" w:cs="Times New Roman"/>
                <w:color w:val="000000"/>
              </w:rPr>
              <w:t>生活污水</w:t>
            </w:r>
            <w:bookmarkEnd w:id="93"/>
          </w:p>
        </w:tc>
        <w:tc>
          <w:tcPr>
            <w:tcW w:w="2958" w:type="dxa"/>
            <w:vAlign w:val="center"/>
          </w:tcPr>
          <w:p>
            <w:pPr>
              <w:spacing w:line="276" w:lineRule="auto"/>
              <w:outlineLvl w:val="2"/>
              <w:rPr>
                <w:rFonts w:ascii="Times New Roman" w:hAnsi="Times New Roman" w:cs="Times New Roman"/>
                <w:color w:val="000000"/>
              </w:rPr>
            </w:pPr>
            <w:bookmarkStart w:id="94" w:name="_Toc86138322"/>
            <w:r>
              <w:rPr>
                <w:rFonts w:ascii="Times New Roman" w:hAnsi="Times New Roman" w:cs="Times New Roman"/>
                <w:color w:val="000000"/>
              </w:rPr>
              <w:t>依托太钢厂区现有生活污水排水管网，最终进入太钢赵庄污水处理厂处理后回用，不外排。</w:t>
            </w:r>
            <w:bookmarkEnd w:id="94"/>
          </w:p>
        </w:tc>
        <w:tc>
          <w:tcPr>
            <w:tcW w:w="2958" w:type="dxa"/>
            <w:vAlign w:val="center"/>
          </w:tcPr>
          <w:p>
            <w:pPr>
              <w:spacing w:line="276" w:lineRule="auto"/>
              <w:outlineLvl w:val="2"/>
              <w:rPr>
                <w:rFonts w:ascii="Times New Roman" w:hAnsi="Times New Roman" w:cs="Times New Roman"/>
                <w:color w:val="000000"/>
              </w:rPr>
            </w:pPr>
            <w:bookmarkStart w:id="95" w:name="_Toc86138323"/>
            <w:r>
              <w:rPr>
                <w:rFonts w:ascii="Times New Roman" w:hAnsi="Times New Roman" w:cs="Times New Roman"/>
                <w:color w:val="000000"/>
              </w:rPr>
              <w:t>依托太钢厂区现有生活污水排水管网，最终进入太钢赵庄污水处理厂处理后回用，不外排。</w:t>
            </w:r>
            <w:bookmarkEnd w:id="95"/>
          </w:p>
        </w:tc>
        <w:tc>
          <w:tcPr>
            <w:tcW w:w="1181" w:type="dxa"/>
            <w:vAlign w:val="center"/>
          </w:tcPr>
          <w:p>
            <w:pPr>
              <w:spacing w:line="276" w:lineRule="auto"/>
              <w:jc w:val="center"/>
              <w:outlineLvl w:val="2"/>
              <w:rPr>
                <w:rFonts w:ascii="Times New Roman" w:hAnsi="Times New Roman" w:cs="Times New Roman"/>
                <w:color w:val="000000"/>
              </w:rPr>
            </w:pPr>
            <w:bookmarkStart w:id="96" w:name="_Toc86138324"/>
            <w:r>
              <w:rPr>
                <w:rFonts w:ascii="Times New Roman" w:hAnsi="Times New Roman" w:cs="Times New Roman"/>
                <w:color w:val="000000"/>
              </w:rPr>
              <w:t>一致</w:t>
            </w:r>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continue"/>
            <w:vAlign w:val="center"/>
          </w:tcPr>
          <w:p>
            <w:pPr>
              <w:spacing w:line="276" w:lineRule="auto"/>
              <w:jc w:val="center"/>
              <w:outlineLvl w:val="2"/>
              <w:rPr>
                <w:rFonts w:ascii="Times New Roman" w:hAnsi="Times New Roman" w:cs="Times New Roman"/>
                <w:color w:val="000000"/>
              </w:rPr>
            </w:pPr>
          </w:p>
        </w:tc>
        <w:tc>
          <w:tcPr>
            <w:tcW w:w="1421" w:type="dxa"/>
            <w:gridSpan w:val="2"/>
            <w:vAlign w:val="center"/>
          </w:tcPr>
          <w:p>
            <w:pPr>
              <w:spacing w:line="276" w:lineRule="auto"/>
              <w:jc w:val="center"/>
              <w:outlineLvl w:val="2"/>
              <w:rPr>
                <w:rFonts w:ascii="Times New Roman" w:hAnsi="Times New Roman" w:cs="Times New Roman"/>
                <w:color w:val="000000"/>
              </w:rPr>
            </w:pPr>
            <w:bookmarkStart w:id="97" w:name="_Toc86138325"/>
            <w:r>
              <w:rPr>
                <w:rFonts w:ascii="Times New Roman" w:hAnsi="Times New Roman" w:cs="Times New Roman"/>
                <w:color w:val="000000"/>
              </w:rPr>
              <w:t>噪声</w:t>
            </w:r>
            <w:bookmarkEnd w:id="97"/>
          </w:p>
        </w:tc>
        <w:tc>
          <w:tcPr>
            <w:tcW w:w="2958" w:type="dxa"/>
            <w:vAlign w:val="center"/>
          </w:tcPr>
          <w:p>
            <w:pPr>
              <w:spacing w:line="276" w:lineRule="auto"/>
              <w:outlineLvl w:val="2"/>
              <w:rPr>
                <w:rFonts w:ascii="Times New Roman" w:hAnsi="Times New Roman" w:cs="Times New Roman"/>
                <w:color w:val="000000"/>
              </w:rPr>
            </w:pPr>
            <w:bookmarkStart w:id="98" w:name="_Toc86138326"/>
            <w:r>
              <w:rPr>
                <w:rFonts w:ascii="Times New Roman" w:hAnsi="Times New Roman" w:cs="Times New Roman"/>
                <w:color w:val="000000"/>
              </w:rPr>
              <w:t>基础减振、密闭厂房隔音、重视绿化，尽可能增加绿化面积。</w:t>
            </w:r>
            <w:bookmarkEnd w:id="98"/>
          </w:p>
        </w:tc>
        <w:tc>
          <w:tcPr>
            <w:tcW w:w="2958" w:type="dxa"/>
            <w:vAlign w:val="center"/>
          </w:tcPr>
          <w:p>
            <w:pPr>
              <w:spacing w:line="276" w:lineRule="auto"/>
              <w:outlineLvl w:val="2"/>
              <w:rPr>
                <w:rFonts w:ascii="Times New Roman" w:hAnsi="Times New Roman" w:cs="Times New Roman"/>
                <w:color w:val="000000"/>
              </w:rPr>
            </w:pPr>
            <w:bookmarkStart w:id="99" w:name="_Toc86138327"/>
            <w:r>
              <w:rPr>
                <w:rFonts w:ascii="Times New Roman" w:hAnsi="Times New Roman" w:cs="Times New Roman"/>
                <w:color w:val="000000"/>
              </w:rPr>
              <w:t>设备做减振基础、厂房密闭隔音。</w:t>
            </w:r>
            <w:bookmarkEnd w:id="99"/>
          </w:p>
        </w:tc>
        <w:tc>
          <w:tcPr>
            <w:tcW w:w="1181" w:type="dxa"/>
            <w:vAlign w:val="center"/>
          </w:tcPr>
          <w:p>
            <w:pPr>
              <w:spacing w:line="276" w:lineRule="auto"/>
              <w:jc w:val="center"/>
              <w:outlineLvl w:val="2"/>
              <w:rPr>
                <w:rFonts w:ascii="Times New Roman" w:hAnsi="Times New Roman" w:cs="Times New Roman"/>
                <w:color w:val="000000"/>
              </w:rPr>
            </w:pPr>
            <w:bookmarkStart w:id="100" w:name="_Toc86138328"/>
            <w:r>
              <w:rPr>
                <w:rFonts w:ascii="Times New Roman" w:hAnsi="Times New Roman" w:cs="Times New Roman"/>
                <w:color w:val="000000"/>
              </w:rPr>
              <w:t>一致</w:t>
            </w:r>
            <w:bookmarkEnd w:id="10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continue"/>
            <w:vAlign w:val="center"/>
          </w:tcPr>
          <w:p>
            <w:pPr>
              <w:spacing w:line="276" w:lineRule="auto"/>
              <w:jc w:val="center"/>
              <w:outlineLvl w:val="2"/>
              <w:rPr>
                <w:rFonts w:ascii="Times New Roman" w:hAnsi="Times New Roman" w:cs="Times New Roman"/>
                <w:color w:val="000000"/>
              </w:rPr>
            </w:pPr>
          </w:p>
        </w:tc>
        <w:tc>
          <w:tcPr>
            <w:tcW w:w="1421" w:type="dxa"/>
            <w:gridSpan w:val="2"/>
            <w:vAlign w:val="center"/>
          </w:tcPr>
          <w:p>
            <w:pPr>
              <w:spacing w:line="276" w:lineRule="auto"/>
              <w:jc w:val="center"/>
              <w:outlineLvl w:val="2"/>
              <w:rPr>
                <w:rFonts w:ascii="Times New Roman" w:hAnsi="Times New Roman" w:cs="Times New Roman"/>
                <w:color w:val="000000"/>
              </w:rPr>
            </w:pPr>
            <w:bookmarkStart w:id="101" w:name="_Toc86138329"/>
            <w:r>
              <w:rPr>
                <w:rFonts w:ascii="Times New Roman" w:hAnsi="Times New Roman" w:cs="Times New Roman"/>
                <w:color w:val="000000"/>
              </w:rPr>
              <w:t>固废</w:t>
            </w:r>
            <w:bookmarkEnd w:id="101"/>
          </w:p>
        </w:tc>
        <w:tc>
          <w:tcPr>
            <w:tcW w:w="2958" w:type="dxa"/>
            <w:vAlign w:val="center"/>
          </w:tcPr>
          <w:p>
            <w:pPr>
              <w:spacing w:line="276" w:lineRule="auto"/>
              <w:outlineLvl w:val="2"/>
              <w:rPr>
                <w:rFonts w:ascii="Times New Roman" w:hAnsi="Times New Roman" w:cs="Times New Roman"/>
                <w:color w:val="000000"/>
              </w:rPr>
            </w:pPr>
            <w:bookmarkStart w:id="102" w:name="_Toc86138330"/>
            <w:r>
              <w:rPr>
                <w:rFonts w:ascii="Times New Roman" w:hAnsi="Times New Roman" w:cs="Times New Roman"/>
                <w:color w:val="000000"/>
              </w:rPr>
              <w:t>少量生活垃圾经厂区垃圾筒收集后由环卫部门统一清运处置。</w:t>
            </w:r>
            <w:bookmarkEnd w:id="102"/>
          </w:p>
        </w:tc>
        <w:tc>
          <w:tcPr>
            <w:tcW w:w="2958" w:type="dxa"/>
            <w:vAlign w:val="center"/>
          </w:tcPr>
          <w:p>
            <w:pPr>
              <w:spacing w:line="276" w:lineRule="auto"/>
              <w:outlineLvl w:val="2"/>
              <w:rPr>
                <w:rFonts w:ascii="Times New Roman" w:hAnsi="Times New Roman" w:cs="Times New Roman"/>
                <w:color w:val="000000"/>
              </w:rPr>
            </w:pPr>
            <w:bookmarkStart w:id="103" w:name="_Toc86138331"/>
            <w:r>
              <w:rPr>
                <w:rFonts w:ascii="Times New Roman" w:hAnsi="Times New Roman" w:cs="Times New Roman"/>
                <w:color w:val="000000"/>
              </w:rPr>
              <w:t>少量生活垃圾经厂区垃圾筒收集后由环卫部门统一清运处置。</w:t>
            </w:r>
            <w:bookmarkEnd w:id="103"/>
          </w:p>
        </w:tc>
        <w:tc>
          <w:tcPr>
            <w:tcW w:w="1181" w:type="dxa"/>
            <w:vAlign w:val="center"/>
          </w:tcPr>
          <w:p>
            <w:pPr>
              <w:spacing w:line="276" w:lineRule="auto"/>
              <w:jc w:val="center"/>
              <w:outlineLvl w:val="2"/>
              <w:rPr>
                <w:rFonts w:ascii="Times New Roman" w:hAnsi="Times New Roman" w:cs="Times New Roman"/>
                <w:color w:val="000000"/>
              </w:rPr>
            </w:pPr>
            <w:bookmarkStart w:id="104" w:name="_Toc86138332"/>
            <w:r>
              <w:rPr>
                <w:rFonts w:ascii="Times New Roman" w:hAnsi="Times New Roman" w:cs="Times New Roman"/>
                <w:color w:val="000000"/>
              </w:rPr>
              <w:t>一致</w:t>
            </w:r>
            <w:bookmarkEnd w:id="10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97" w:hRule="atLeast"/>
          <w:jc w:val="center"/>
        </w:trPr>
        <w:tc>
          <w:tcPr>
            <w:tcW w:w="624" w:type="dxa"/>
            <w:vMerge w:val="continue"/>
            <w:vAlign w:val="center"/>
          </w:tcPr>
          <w:p>
            <w:pPr>
              <w:spacing w:line="276" w:lineRule="auto"/>
              <w:jc w:val="center"/>
              <w:outlineLvl w:val="2"/>
              <w:rPr>
                <w:rFonts w:ascii="Times New Roman" w:hAnsi="Times New Roman" w:cs="Times New Roman"/>
                <w:color w:val="000000"/>
              </w:rPr>
            </w:pPr>
          </w:p>
        </w:tc>
        <w:tc>
          <w:tcPr>
            <w:tcW w:w="1421" w:type="dxa"/>
            <w:gridSpan w:val="2"/>
            <w:vAlign w:val="center"/>
          </w:tcPr>
          <w:p>
            <w:pPr>
              <w:spacing w:line="276" w:lineRule="auto"/>
              <w:jc w:val="center"/>
              <w:outlineLvl w:val="2"/>
              <w:rPr>
                <w:rFonts w:ascii="Times New Roman" w:hAnsi="Times New Roman" w:cs="Times New Roman"/>
                <w:color w:val="000000"/>
              </w:rPr>
            </w:pPr>
            <w:bookmarkStart w:id="105" w:name="_Toc86138333"/>
            <w:r>
              <w:rPr>
                <w:rFonts w:ascii="Times New Roman" w:hAnsi="Times New Roman" w:cs="Times New Roman"/>
                <w:color w:val="000000"/>
              </w:rPr>
              <w:t>绿化</w:t>
            </w:r>
            <w:bookmarkEnd w:id="105"/>
          </w:p>
        </w:tc>
        <w:tc>
          <w:tcPr>
            <w:tcW w:w="295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在发电机房周围及其它地面硬化以外的零散空地种植花草树木进行绿化。</w:t>
            </w:r>
          </w:p>
        </w:tc>
        <w:tc>
          <w:tcPr>
            <w:tcW w:w="2958" w:type="dxa"/>
            <w:vAlign w:val="center"/>
          </w:tcPr>
          <w:p>
            <w:pPr>
              <w:autoSpaceDE w:val="0"/>
              <w:autoSpaceDN w:val="0"/>
              <w:spacing w:line="276" w:lineRule="auto"/>
              <w:rPr>
                <w:rFonts w:ascii="Times New Roman" w:hAnsi="Times New Roman" w:cs="Times New Roman"/>
                <w:color w:val="000000"/>
              </w:rPr>
            </w:pPr>
            <w:r>
              <w:rPr>
                <w:rFonts w:ascii="Times New Roman" w:hAnsi="Times New Roman" w:cs="Times New Roman"/>
                <w:color w:val="000000"/>
              </w:rPr>
              <w:t>在发电机房周围及其它地面硬化以外的零散空地种植花草树木进行绿化。</w:t>
            </w:r>
          </w:p>
        </w:tc>
        <w:tc>
          <w:tcPr>
            <w:tcW w:w="1181" w:type="dxa"/>
            <w:vAlign w:val="center"/>
          </w:tcPr>
          <w:p>
            <w:pPr>
              <w:autoSpaceDE w:val="0"/>
              <w:autoSpaceDN w:val="0"/>
              <w:spacing w:line="276" w:lineRule="auto"/>
              <w:jc w:val="center"/>
              <w:rPr>
                <w:rFonts w:ascii="Times New Roman" w:hAnsi="Times New Roman" w:cs="Times New Roman"/>
                <w:color w:val="000000"/>
              </w:rPr>
            </w:pPr>
            <w:r>
              <w:rPr>
                <w:rFonts w:ascii="Times New Roman" w:hAnsi="Times New Roman" w:cs="Times New Roman"/>
                <w:color w:val="000000"/>
              </w:rPr>
              <w:t>一致</w:t>
            </w:r>
          </w:p>
        </w:tc>
      </w:tr>
    </w:tbl>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06" w:name="_Toc86138334"/>
      <w:r>
        <w:rPr>
          <w:rFonts w:ascii="Times New Roman" w:hAnsi="Times New Roman" w:cs="Times New Roman"/>
          <w:color w:val="000000"/>
          <w:sz w:val="28"/>
          <w:szCs w:val="28"/>
        </w:rPr>
        <w:t>（二）建设过程及环保审批情况</w:t>
      </w:r>
      <w:bookmarkEnd w:id="106"/>
    </w:p>
    <w:p>
      <w:pPr>
        <w:shd w:val="clear" w:color="auto" w:fill="FFFFFF"/>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1、项目环境影响报告表编制与审批情况</w:t>
      </w:r>
    </w:p>
    <w:p>
      <w:pPr>
        <w:autoSpaceDE w:val="0"/>
        <w:autoSpaceDN w:val="0"/>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山西清泽阳光环保科技有限公司于2016年7月编制完成了《山西太钢不锈钢股份有限公司低参数余热利用项目及烟气余热回收改造工程环境影响报告表》。太原市环境保护局尖草坪分局于2016年9月5日以并环尖审批审批〔2016〕第33号文对该项目环境影响报告表进行了批复。</w:t>
      </w:r>
    </w:p>
    <w:p>
      <w:pPr>
        <w:shd w:val="clear" w:color="auto" w:fill="FFFFFF"/>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2、开工与竣工时间、调试运行时间</w:t>
      </w:r>
    </w:p>
    <w:p>
      <w:pPr>
        <w:shd w:val="clear" w:color="auto" w:fill="FFFFFF"/>
        <w:spacing w:line="500" w:lineRule="exact"/>
        <w:ind w:firstLine="560" w:firstLineChars="200"/>
        <w:rPr>
          <w:rFonts w:ascii="Times New Roman" w:hAnsi="Times New Roman" w:cs="Times New Roman"/>
          <w:sz w:val="28"/>
          <w:szCs w:val="28"/>
        </w:rPr>
      </w:pPr>
      <w:r>
        <w:rPr>
          <w:rFonts w:ascii="Times New Roman" w:hAnsi="Times New Roman" w:cs="Times New Roman"/>
          <w:sz w:val="28"/>
          <w:szCs w:val="28"/>
        </w:rPr>
        <w:t>项目于2018年4月开工建设，于2019年6月竣工，2021年3月至2021年8月进行试生产并进行环保设施调试。调试期间，委托山西太钢环境监测有限公司于2021年8月9日至8月10日按照验收监测方案开展了验收监测和环境管理检查。</w:t>
      </w:r>
    </w:p>
    <w:p>
      <w:pPr>
        <w:shd w:val="clear" w:color="auto" w:fill="FFFFFF"/>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3、项目从立项至调试过程中无环境投诉、违法或处罚记录等。</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07" w:name="_Toc86138335"/>
      <w:r>
        <w:rPr>
          <w:rFonts w:ascii="Times New Roman" w:hAnsi="Times New Roman" w:cs="Times New Roman"/>
          <w:color w:val="000000"/>
          <w:sz w:val="28"/>
          <w:szCs w:val="28"/>
        </w:rPr>
        <w:t>（三）投资情况</w:t>
      </w:r>
      <w:bookmarkEnd w:id="107"/>
    </w:p>
    <w:p>
      <w:pPr>
        <w:ind w:firstLine="560" w:firstLineChars="200"/>
        <w:rPr>
          <w:rFonts w:ascii="Times New Roman" w:hAnsi="Times New Roman" w:cs="Times New Roman"/>
          <w:sz w:val="28"/>
          <w:szCs w:val="28"/>
        </w:rPr>
      </w:pPr>
      <w:r>
        <w:rPr>
          <w:rFonts w:ascii="Times New Roman" w:hAnsi="Times New Roman" w:cs="Times New Roman"/>
          <w:sz w:val="28"/>
          <w:szCs w:val="28"/>
        </w:rPr>
        <w:t>项目实际</w:t>
      </w:r>
      <w:r>
        <w:rPr>
          <w:rFonts w:ascii="Times New Roman" w:hAnsi="Times New Roman" w:cs="Times New Roman"/>
          <w:color w:val="000000"/>
          <w:sz w:val="28"/>
          <w:szCs w:val="28"/>
        </w:rPr>
        <w:t>总投资</w:t>
      </w:r>
      <w:r>
        <w:rPr>
          <w:rFonts w:ascii="Times New Roman" w:hAnsi="Times New Roman" w:cs="Times New Roman"/>
          <w:sz w:val="28"/>
          <w:szCs w:val="28"/>
        </w:rPr>
        <w:t>12232.63万元，其中环保投资196万元，占总投资的1.6%。</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08" w:name="_Toc86138336"/>
      <w:r>
        <w:rPr>
          <w:rFonts w:ascii="Times New Roman" w:hAnsi="Times New Roman" w:cs="Times New Roman"/>
          <w:color w:val="000000"/>
          <w:sz w:val="28"/>
          <w:szCs w:val="28"/>
        </w:rPr>
        <w:t>（四）验收范围</w:t>
      </w:r>
      <w:bookmarkEnd w:id="108"/>
    </w:p>
    <w:p>
      <w:pPr>
        <w:overflowPunct w:val="0"/>
        <w:spacing w:line="500" w:lineRule="exact"/>
        <w:ind w:firstLine="560" w:firstLineChars="200"/>
        <w:rPr>
          <w:rFonts w:ascii="Times New Roman" w:hAnsi="Times New Roman" w:cs="Times New Roman"/>
          <w:sz w:val="28"/>
          <w:szCs w:val="28"/>
        </w:rPr>
      </w:pPr>
      <w:r>
        <w:rPr>
          <w:rFonts w:ascii="Times New Roman" w:hAnsi="Times New Roman" w:cs="Times New Roman"/>
          <w:color w:val="000000"/>
          <w:sz w:val="28"/>
          <w:szCs w:val="28"/>
        </w:rPr>
        <w:t>本次竣工环</w:t>
      </w:r>
      <w:r>
        <w:rPr>
          <w:rFonts w:ascii="Times New Roman" w:hAnsi="Times New Roman" w:cs="Times New Roman"/>
          <w:sz w:val="28"/>
          <w:szCs w:val="28"/>
        </w:rPr>
        <w:t>境</w:t>
      </w:r>
      <w:r>
        <w:rPr>
          <w:rFonts w:ascii="Times New Roman" w:hAnsi="Times New Roman" w:cs="Times New Roman"/>
          <w:color w:val="000000"/>
          <w:sz w:val="28"/>
          <w:szCs w:val="28"/>
        </w:rPr>
        <w:t>保护验收山西太钢不锈钢股份有限公司</w:t>
      </w:r>
      <w:r>
        <w:rPr>
          <w:rFonts w:ascii="Times New Roman" w:hAnsi="Times New Roman" w:cs="Times New Roman"/>
          <w:sz w:val="28"/>
          <w:szCs w:val="28"/>
        </w:rPr>
        <w:t>低参数余热利用项目</w:t>
      </w:r>
      <w:r>
        <w:rPr>
          <w:rFonts w:ascii="Times New Roman" w:hAnsi="Times New Roman" w:cs="Times New Roman"/>
          <w:color w:val="000000"/>
          <w:sz w:val="28"/>
          <w:szCs w:val="28"/>
        </w:rPr>
        <w:t>的主体工程、辅助工程、环保工程等。</w:t>
      </w:r>
    </w:p>
    <w:p>
      <w:pPr>
        <w:pStyle w:val="44"/>
        <w:snapToGrid w:val="0"/>
        <w:spacing w:before="0" w:beforeAutospacing="0" w:after="0" w:afterAutospacing="0" w:line="500" w:lineRule="exact"/>
        <w:ind w:firstLine="562" w:firstLineChars="200"/>
        <w:jc w:val="both"/>
        <w:outlineLvl w:val="0"/>
        <w:rPr>
          <w:rFonts w:ascii="Times New Roman" w:hAnsi="Times New Roman" w:cs="Times New Roman"/>
          <w:b/>
          <w:bCs/>
          <w:kern w:val="2"/>
          <w:sz w:val="28"/>
          <w:szCs w:val="28"/>
        </w:rPr>
      </w:pPr>
      <w:bookmarkStart w:id="109" w:name="_Toc86138337"/>
      <w:r>
        <w:rPr>
          <w:rFonts w:ascii="Times New Roman" w:hAnsi="Times New Roman" w:cs="Times New Roman"/>
          <w:b/>
          <w:bCs/>
          <w:kern w:val="2"/>
          <w:sz w:val="28"/>
          <w:szCs w:val="28"/>
        </w:rPr>
        <w:t>二、工程变动情况</w:t>
      </w:r>
      <w:bookmarkEnd w:id="109"/>
    </w:p>
    <w:p>
      <w:pPr>
        <w:autoSpaceDE w:val="0"/>
        <w:autoSpaceDN w:val="0"/>
        <w:spacing w:line="500" w:lineRule="exact"/>
        <w:ind w:firstLine="560" w:firstLineChars="200"/>
        <w:rPr>
          <w:rFonts w:ascii="Times New Roman" w:hAnsi="Times New Roman" w:cs="Times New Roman"/>
          <w:color w:val="000000"/>
          <w:sz w:val="28"/>
          <w:szCs w:val="28"/>
        </w:rPr>
      </w:pPr>
      <w:r>
        <w:rPr>
          <w:rFonts w:ascii="Times New Roman" w:hAnsi="Times New Roman" w:cs="Times New Roman"/>
          <w:color w:val="000000"/>
          <w:sz w:val="28"/>
          <w:szCs w:val="28"/>
        </w:rPr>
        <w:t>经核实，本项目实际建设规模、建设内容、建构筑物及设备与环境影响评价中描述相一致，无变动内容。</w:t>
      </w:r>
    </w:p>
    <w:p>
      <w:pPr>
        <w:autoSpaceDE w:val="0"/>
        <w:autoSpaceDN w:val="0"/>
        <w:spacing w:line="500" w:lineRule="exact"/>
        <w:ind w:firstLine="562" w:firstLineChars="200"/>
        <w:rPr>
          <w:rFonts w:ascii="Times New Roman" w:hAnsi="Times New Roman" w:cs="Times New Roman"/>
          <w:b/>
          <w:color w:val="000000"/>
          <w:sz w:val="28"/>
          <w:szCs w:val="28"/>
        </w:rPr>
      </w:pPr>
      <w:r>
        <w:rPr>
          <w:rFonts w:ascii="Times New Roman" w:hAnsi="Times New Roman" w:cs="Times New Roman"/>
          <w:b/>
          <w:color w:val="000000"/>
          <w:sz w:val="28"/>
          <w:szCs w:val="28"/>
        </w:rPr>
        <w:t>三、环境保护设施建设情况</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10" w:name="_Toc86138338"/>
      <w:r>
        <w:rPr>
          <w:rFonts w:ascii="Times New Roman" w:hAnsi="Times New Roman" w:cs="Times New Roman"/>
          <w:color w:val="000000"/>
          <w:sz w:val="28"/>
          <w:szCs w:val="28"/>
        </w:rPr>
        <w:t>（一）废气产生及治理设施</w:t>
      </w:r>
      <w:bookmarkEnd w:id="110"/>
    </w:p>
    <w:p>
      <w:pPr>
        <w:pStyle w:val="38"/>
        <w:ind w:firstLine="560" w:firstLineChars="200"/>
        <w:rPr>
          <w:color w:val="000000"/>
          <w:sz w:val="24"/>
          <w:szCs w:val="24"/>
        </w:rPr>
      </w:pPr>
      <w:r>
        <w:t>本项目运营期间无废气产生。</w:t>
      </w:r>
    </w:p>
    <w:p>
      <w:pPr>
        <w:pStyle w:val="9"/>
        <w:spacing w:line="500" w:lineRule="exact"/>
        <w:ind w:firstLine="560" w:firstLineChars="20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（二）废水产生及治理设施</w:t>
      </w:r>
    </w:p>
    <w:p>
      <w:pPr>
        <w:spacing w:line="480" w:lineRule="exact"/>
        <w:ind w:firstLine="482"/>
        <w:rPr>
          <w:rFonts w:ascii="Times New Roman" w:hAnsi="Times New Roman" w:cs="Times New Roman"/>
          <w:color w:val="000000"/>
          <w:sz w:val="28"/>
          <w:szCs w:val="28"/>
        </w:rPr>
      </w:pPr>
      <w:r>
        <w:rPr>
          <w:rFonts w:ascii="Times New Roman" w:hAnsi="Times New Roman" w:cs="Times New Roman"/>
          <w:color w:val="000000"/>
          <w:sz w:val="28"/>
          <w:szCs w:val="28"/>
        </w:rPr>
        <w:t>本项目运营期产生的废水包括汽轮机冷凝水、新增人员生活污水。</w:t>
      </w:r>
    </w:p>
    <w:p>
      <w:pPr>
        <w:spacing w:line="480" w:lineRule="exact"/>
        <w:ind w:firstLine="482"/>
        <w:rPr>
          <w:rFonts w:ascii="Times New Roman" w:hAnsi="Times New Roman" w:cs="Times New Roman"/>
          <w:color w:val="000000"/>
          <w:sz w:val="28"/>
          <w:szCs w:val="28"/>
        </w:rPr>
      </w:pPr>
      <w:r>
        <w:rPr>
          <w:rFonts w:ascii="Times New Roman" w:hAnsi="Times New Roman" w:cs="Times New Roman"/>
          <w:color w:val="000000"/>
          <w:sz w:val="28"/>
          <w:szCs w:val="28"/>
        </w:rPr>
        <w:t>汽轮机冷凝水全部收集于下部凝结水箱经凝结泵送入现有凝结水处理装置，不外排。</w:t>
      </w:r>
    </w:p>
    <w:p>
      <w:pPr>
        <w:spacing w:line="480" w:lineRule="exact"/>
        <w:ind w:firstLine="482"/>
        <w:rPr>
          <w:rFonts w:ascii="Times New Roman" w:hAnsi="Times New Roman" w:cs="Times New Roman"/>
          <w:color w:val="000000"/>
          <w:sz w:val="28"/>
          <w:szCs w:val="28"/>
        </w:rPr>
      </w:pPr>
      <w:r>
        <w:rPr>
          <w:rFonts w:ascii="Times New Roman" w:hAnsi="Times New Roman" w:cs="Times New Roman"/>
          <w:color w:val="000000"/>
          <w:sz w:val="28"/>
          <w:szCs w:val="28"/>
        </w:rPr>
        <w:t>人员产生的日常生活污水经化粪池处理后就近排入太钢生活污水管网，最终进入赵庄污水处理厂集中处理后回用。</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11" w:name="_Toc5029893"/>
      <w:bookmarkStart w:id="112" w:name="_Toc86138339"/>
      <w:r>
        <w:rPr>
          <w:rFonts w:ascii="Times New Roman" w:hAnsi="Times New Roman" w:cs="Times New Roman"/>
          <w:color w:val="000000"/>
          <w:sz w:val="28"/>
          <w:szCs w:val="28"/>
        </w:rPr>
        <w:t>（三）固体废物</w:t>
      </w:r>
      <w:bookmarkEnd w:id="111"/>
      <w:bookmarkEnd w:id="112"/>
    </w:p>
    <w:p>
      <w:pPr>
        <w:spacing w:line="480" w:lineRule="exact"/>
        <w:ind w:firstLine="482"/>
        <w:rPr>
          <w:rFonts w:ascii="Times New Roman" w:hAnsi="Times New Roman" w:cs="Times New Roman"/>
          <w:color w:val="000000"/>
          <w:sz w:val="28"/>
          <w:szCs w:val="28"/>
        </w:rPr>
      </w:pPr>
      <w:bookmarkStart w:id="113" w:name="_Toc5029894"/>
      <w:r>
        <w:rPr>
          <w:rFonts w:ascii="Times New Roman" w:hAnsi="Times New Roman" w:cs="Times New Roman"/>
          <w:color w:val="000000"/>
          <w:sz w:val="28"/>
          <w:szCs w:val="28"/>
        </w:rPr>
        <w:t>本项目固废主要为新增人员产生的生活垃圾，依托太钢厂区内现有环卫设施收集后，定期由环卫部门统一处理。</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14" w:name="_Toc86138340"/>
      <w:r>
        <w:rPr>
          <w:rFonts w:ascii="Times New Roman" w:hAnsi="Times New Roman" w:cs="Times New Roman"/>
          <w:color w:val="000000"/>
          <w:sz w:val="28"/>
          <w:szCs w:val="28"/>
        </w:rPr>
        <w:t>（四）噪声</w:t>
      </w:r>
      <w:bookmarkEnd w:id="113"/>
      <w:bookmarkEnd w:id="114"/>
    </w:p>
    <w:p>
      <w:pPr>
        <w:pStyle w:val="38"/>
        <w:ind w:firstLine="560" w:firstLineChars="200"/>
        <w:rPr>
          <w:color w:val="000000"/>
          <w:kern w:val="0"/>
        </w:rPr>
      </w:pPr>
      <w:r>
        <w:rPr>
          <w:color w:val="000000"/>
          <w:kern w:val="0"/>
        </w:rPr>
        <w:t>本项目噪声主要为发电机组、各类风机、水泵运行过程中产生。</w:t>
      </w:r>
    </w:p>
    <w:p>
      <w:pPr>
        <w:pStyle w:val="38"/>
        <w:ind w:firstLine="560" w:firstLineChars="200"/>
        <w:rPr>
          <w:color w:val="000000"/>
          <w:kern w:val="0"/>
        </w:rPr>
      </w:pPr>
      <w:r>
        <w:rPr>
          <w:color w:val="000000"/>
          <w:kern w:val="0"/>
        </w:rPr>
        <w:t>本项目选用低噪声设备，声源大多设在室内，采取减振、隔声措施，在发电机房周围及其它地面硬化以外的零散空地种植花草树木进行绿化，削减噪声产生的影响。</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color w:val="000000"/>
          <w:sz w:val="28"/>
          <w:szCs w:val="28"/>
        </w:rPr>
      </w:pPr>
      <w:bookmarkStart w:id="115" w:name="_Toc86138341"/>
      <w:r>
        <w:rPr>
          <w:rFonts w:ascii="Times New Roman" w:hAnsi="Times New Roman" w:cs="Times New Roman"/>
          <w:color w:val="000000"/>
          <w:sz w:val="28"/>
          <w:szCs w:val="28"/>
        </w:rPr>
        <w:t>（五）环保设施建设情况与环评报告及批复对照</w:t>
      </w:r>
      <w:bookmarkEnd w:id="115"/>
    </w:p>
    <w:p>
      <w:pPr>
        <w:pStyle w:val="44"/>
        <w:snapToGrid w:val="0"/>
        <w:spacing w:before="0" w:beforeAutospacing="0" w:after="0" w:afterAutospacing="0" w:line="500" w:lineRule="exact"/>
        <w:ind w:firstLine="560" w:firstLineChars="200"/>
        <w:jc w:val="both"/>
        <w:rPr>
          <w:rFonts w:ascii="Times New Roman" w:hAnsi="Times New Roman" w:cs="Times New Roman"/>
          <w:color w:val="000000"/>
          <w:sz w:val="28"/>
          <w:szCs w:val="28"/>
        </w:rPr>
      </w:pPr>
      <w:r>
        <w:rPr>
          <w:rFonts w:ascii="Times New Roman" w:hAnsi="Times New Roman" w:cs="Times New Roman"/>
          <w:color w:val="000000"/>
          <w:sz w:val="28"/>
          <w:szCs w:val="28"/>
        </w:rPr>
        <w:t>环保设施建设情况与环评报告要求对照见表2。</w:t>
      </w:r>
    </w:p>
    <w:p>
      <w:pPr>
        <w:spacing w:line="500" w:lineRule="exact"/>
        <w:jc w:val="center"/>
        <w:rPr>
          <w:rFonts w:ascii="Times New Roman" w:hAnsi="Times New Roman" w:cs="Times New Roman"/>
          <w:b/>
          <w:color w:val="000000"/>
          <w:sz w:val="24"/>
        </w:rPr>
      </w:pPr>
      <w:r>
        <w:rPr>
          <w:rFonts w:ascii="Times New Roman" w:hAnsi="Times New Roman" w:cs="Times New Roman"/>
          <w:b/>
          <w:color w:val="000000"/>
          <w:sz w:val="24"/>
        </w:rPr>
        <w:t>表2  环保设施建设情况与环评报告对照表</w:t>
      </w:r>
    </w:p>
    <w:tbl>
      <w:tblPr>
        <w:tblStyle w:val="27"/>
        <w:tblW w:w="9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89"/>
        <w:gridCol w:w="1323"/>
        <w:gridCol w:w="906"/>
        <w:gridCol w:w="2810"/>
        <w:gridCol w:w="3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437" w:hRule="atLeast"/>
          <w:tblHeader/>
        </w:trPr>
        <w:tc>
          <w:tcPr>
            <w:tcW w:w="489" w:type="dxa"/>
            <w:vAlign w:val="center"/>
          </w:tcPr>
          <w:p>
            <w:pPr>
              <w:jc w:val="center"/>
              <w:rPr>
                <w:rFonts w:ascii="Times New Roman" w:hAnsi="Times New Roman" w:cs="Times New Roman"/>
                <w:b/>
              </w:rPr>
            </w:pPr>
            <w:r>
              <w:rPr>
                <w:rFonts w:ascii="Times New Roman" w:hAnsi="Times New Roman" w:cs="Times New Roman"/>
                <w:b/>
              </w:rPr>
              <w:t>类别</w:t>
            </w:r>
          </w:p>
        </w:tc>
        <w:tc>
          <w:tcPr>
            <w:tcW w:w="1323" w:type="dxa"/>
            <w:vAlign w:val="center"/>
          </w:tcPr>
          <w:p>
            <w:pPr>
              <w:jc w:val="center"/>
              <w:rPr>
                <w:rFonts w:ascii="Times New Roman" w:hAnsi="Times New Roman" w:cs="Times New Roman"/>
                <w:b/>
              </w:rPr>
            </w:pPr>
            <w:r>
              <w:rPr>
                <w:rFonts w:ascii="Times New Roman" w:hAnsi="Times New Roman" w:cs="Times New Roman"/>
                <w:b/>
              </w:rPr>
              <w:t>污染源</w:t>
            </w:r>
          </w:p>
        </w:tc>
        <w:tc>
          <w:tcPr>
            <w:tcW w:w="906" w:type="dxa"/>
            <w:vAlign w:val="center"/>
          </w:tcPr>
          <w:p>
            <w:pPr>
              <w:jc w:val="center"/>
              <w:rPr>
                <w:rFonts w:ascii="Times New Roman" w:hAnsi="Times New Roman" w:cs="Times New Roman"/>
                <w:b/>
              </w:rPr>
            </w:pPr>
            <w:r>
              <w:rPr>
                <w:rFonts w:ascii="Times New Roman" w:hAnsi="Times New Roman" w:cs="Times New Roman"/>
                <w:b/>
              </w:rPr>
              <w:t>污染物</w:t>
            </w:r>
          </w:p>
        </w:tc>
        <w:tc>
          <w:tcPr>
            <w:tcW w:w="2810" w:type="dxa"/>
            <w:vAlign w:val="center"/>
          </w:tcPr>
          <w:p>
            <w:pPr>
              <w:jc w:val="center"/>
              <w:rPr>
                <w:rFonts w:ascii="Times New Roman" w:hAnsi="Times New Roman" w:cs="Times New Roman"/>
                <w:b/>
              </w:rPr>
            </w:pPr>
            <w:r>
              <w:rPr>
                <w:rFonts w:ascii="Times New Roman" w:hAnsi="Times New Roman" w:cs="Times New Roman"/>
                <w:b/>
              </w:rPr>
              <w:t>环评要求</w:t>
            </w:r>
          </w:p>
        </w:tc>
        <w:tc>
          <w:tcPr>
            <w:tcW w:w="3680" w:type="dxa"/>
            <w:vAlign w:val="center"/>
          </w:tcPr>
          <w:p>
            <w:pPr>
              <w:jc w:val="center"/>
              <w:rPr>
                <w:rFonts w:ascii="Times New Roman" w:hAnsi="Times New Roman" w:cs="Times New Roman"/>
                <w:b/>
              </w:rPr>
            </w:pPr>
            <w:r>
              <w:rPr>
                <w:rFonts w:ascii="Times New Roman" w:hAnsi="Times New Roman" w:cs="Times New Roman"/>
                <w:b/>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201" w:hRule="atLeast"/>
        </w:trPr>
        <w:tc>
          <w:tcPr>
            <w:tcW w:w="489" w:type="dxa"/>
            <w:vMerge w:val="restart"/>
            <w:vAlign w:val="center"/>
          </w:tcPr>
          <w:p>
            <w:pPr>
              <w:contextualSpacing/>
              <w:jc w:val="center"/>
              <w:rPr>
                <w:rFonts w:ascii="Times New Roman" w:hAnsi="Times New Roman" w:cs="Times New Roman"/>
              </w:rPr>
            </w:pPr>
            <w:r>
              <w:rPr>
                <w:rFonts w:ascii="Times New Roman" w:hAnsi="Times New Roman" w:cs="Times New Roman"/>
              </w:rPr>
              <w:t>废水</w:t>
            </w:r>
          </w:p>
        </w:tc>
        <w:tc>
          <w:tcPr>
            <w:tcW w:w="1323" w:type="dxa"/>
            <w:vAlign w:val="center"/>
          </w:tcPr>
          <w:p>
            <w:pPr>
              <w:spacing w:line="276" w:lineRule="auto"/>
              <w:ind w:left="-57" w:right="-57"/>
              <w:jc w:val="center"/>
              <w:rPr>
                <w:rFonts w:ascii="Times New Roman" w:hAnsi="Times New Roman" w:cs="Times New Roman"/>
                <w:color w:val="000000"/>
              </w:rPr>
            </w:pPr>
            <w:r>
              <w:rPr>
                <w:rFonts w:ascii="Times New Roman" w:hAnsi="Times New Roman" w:cs="Times New Roman"/>
                <w:color w:val="000000"/>
              </w:rPr>
              <w:t>汽轮机冷凝水</w:t>
            </w:r>
          </w:p>
        </w:tc>
        <w:tc>
          <w:tcPr>
            <w:tcW w:w="906"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清洁水</w:t>
            </w:r>
          </w:p>
        </w:tc>
        <w:tc>
          <w:tcPr>
            <w:tcW w:w="281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lang w:bidi="en-US"/>
              </w:rPr>
              <w:t>全部收集于下部凝结水箱经凝结泵送入现有凝结水处理装置，不外排。</w:t>
            </w:r>
          </w:p>
        </w:tc>
        <w:tc>
          <w:tcPr>
            <w:tcW w:w="368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lang w:bidi="en-US"/>
              </w:rPr>
              <w:t>全部收集于下部凝结水箱经凝结泵送入现有凝结水处理装置，不外排。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630" w:hRule="atLeast"/>
        </w:trPr>
        <w:tc>
          <w:tcPr>
            <w:tcW w:w="489" w:type="dxa"/>
            <w:vMerge w:val="continue"/>
            <w:vAlign w:val="center"/>
          </w:tcPr>
          <w:p>
            <w:pPr>
              <w:contextualSpacing/>
              <w:jc w:val="center"/>
              <w:rPr>
                <w:rFonts w:ascii="Times New Roman" w:hAnsi="Times New Roman" w:cs="Times New Roman"/>
              </w:rPr>
            </w:pPr>
          </w:p>
        </w:tc>
        <w:tc>
          <w:tcPr>
            <w:tcW w:w="1323"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生活污水</w:t>
            </w:r>
          </w:p>
        </w:tc>
        <w:tc>
          <w:tcPr>
            <w:tcW w:w="906"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BOD、COD、氨氮等</w:t>
            </w:r>
          </w:p>
        </w:tc>
        <w:tc>
          <w:tcPr>
            <w:tcW w:w="281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经化粪池处理后就近排入太钢生活污水管网，最终进入赵庄污水处理厂集中处理后回用。</w:t>
            </w:r>
          </w:p>
        </w:tc>
        <w:tc>
          <w:tcPr>
            <w:tcW w:w="3680"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经化粪池处理后就近排入太钢生活污水管网，最终进入赵庄污水处理厂集中处理后回用。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630" w:hRule="atLeast"/>
        </w:trPr>
        <w:tc>
          <w:tcPr>
            <w:tcW w:w="489" w:type="dxa"/>
            <w:vAlign w:val="center"/>
          </w:tcPr>
          <w:p>
            <w:pPr>
              <w:contextualSpacing/>
              <w:jc w:val="center"/>
              <w:rPr>
                <w:rFonts w:ascii="Times New Roman" w:hAnsi="Times New Roman" w:cs="Times New Roman"/>
              </w:rPr>
            </w:pPr>
            <w:r>
              <w:rPr>
                <w:rFonts w:ascii="Times New Roman" w:hAnsi="Times New Roman" w:cs="Times New Roman"/>
              </w:rPr>
              <w:t>噪声</w:t>
            </w:r>
          </w:p>
        </w:tc>
        <w:tc>
          <w:tcPr>
            <w:tcW w:w="1323"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各类设备</w:t>
            </w:r>
          </w:p>
        </w:tc>
        <w:tc>
          <w:tcPr>
            <w:tcW w:w="906"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噪声</w:t>
            </w:r>
          </w:p>
        </w:tc>
        <w:tc>
          <w:tcPr>
            <w:tcW w:w="2810" w:type="dxa"/>
            <w:vAlign w:val="center"/>
          </w:tcPr>
          <w:p>
            <w:pPr>
              <w:rPr>
                <w:rFonts w:ascii="Times New Roman" w:hAnsi="Times New Roman" w:cs="Times New Roman"/>
                <w:color w:val="000000"/>
              </w:rPr>
            </w:pPr>
            <w:r>
              <w:rPr>
                <w:rFonts w:ascii="Times New Roman" w:hAnsi="Times New Roman" w:cs="Times New Roman"/>
                <w:color w:val="000000"/>
              </w:rPr>
              <w:t>采用低噪设备、基础减振、隔声吸声、室内布置</w:t>
            </w:r>
          </w:p>
        </w:tc>
        <w:tc>
          <w:tcPr>
            <w:tcW w:w="3680" w:type="dxa"/>
            <w:vAlign w:val="center"/>
          </w:tcPr>
          <w:p>
            <w:pPr>
              <w:rPr>
                <w:rFonts w:ascii="Times New Roman" w:hAnsi="Times New Roman" w:cs="Times New Roman"/>
                <w:color w:val="000000"/>
              </w:rPr>
            </w:pPr>
            <w:r>
              <w:rPr>
                <w:rFonts w:ascii="Times New Roman" w:hAnsi="Times New Roman" w:cs="Times New Roman"/>
                <w:color w:val="000000"/>
              </w:rPr>
              <w:t>采用低噪设备、基础减振、隔声吸声、室内布置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310" w:hRule="atLeast"/>
        </w:trPr>
        <w:tc>
          <w:tcPr>
            <w:tcW w:w="489" w:type="dxa"/>
            <w:vAlign w:val="center"/>
          </w:tcPr>
          <w:p>
            <w:pPr>
              <w:contextualSpacing/>
              <w:jc w:val="center"/>
              <w:rPr>
                <w:rFonts w:ascii="Times New Roman" w:hAnsi="Times New Roman" w:cs="Times New Roman"/>
              </w:rPr>
            </w:pPr>
            <w:r>
              <w:rPr>
                <w:rFonts w:ascii="Times New Roman" w:hAnsi="Times New Roman" w:cs="Times New Roman"/>
              </w:rPr>
              <w:t>固废</w:t>
            </w:r>
          </w:p>
        </w:tc>
        <w:tc>
          <w:tcPr>
            <w:tcW w:w="1323"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职工</w:t>
            </w:r>
          </w:p>
        </w:tc>
        <w:tc>
          <w:tcPr>
            <w:tcW w:w="906" w:type="dxa"/>
            <w:vAlign w:val="center"/>
          </w:tcPr>
          <w:p>
            <w:pPr>
              <w:spacing w:line="276" w:lineRule="auto"/>
              <w:jc w:val="center"/>
              <w:rPr>
                <w:rFonts w:ascii="Times New Roman" w:hAnsi="Times New Roman" w:cs="Times New Roman"/>
                <w:color w:val="000000"/>
              </w:rPr>
            </w:pPr>
            <w:r>
              <w:rPr>
                <w:rFonts w:ascii="Times New Roman" w:hAnsi="Times New Roman" w:cs="Times New Roman"/>
                <w:color w:val="000000"/>
              </w:rPr>
              <w:t>生活垃圾</w:t>
            </w:r>
          </w:p>
        </w:tc>
        <w:tc>
          <w:tcPr>
            <w:tcW w:w="2810" w:type="dxa"/>
            <w:vAlign w:val="center"/>
          </w:tcPr>
          <w:p>
            <w:pPr>
              <w:rPr>
                <w:rFonts w:ascii="Times New Roman" w:hAnsi="Times New Roman" w:cs="Times New Roman"/>
                <w:color w:val="000000"/>
              </w:rPr>
            </w:pPr>
            <w:r>
              <w:rPr>
                <w:rFonts w:ascii="Times New Roman" w:hAnsi="Times New Roman" w:cs="Times New Roman"/>
                <w:color w:val="000000"/>
              </w:rPr>
              <w:t>厂区设封闭垃圾箱，定期交环卫部门统一处理</w:t>
            </w:r>
          </w:p>
        </w:tc>
        <w:tc>
          <w:tcPr>
            <w:tcW w:w="3680" w:type="dxa"/>
            <w:vAlign w:val="center"/>
          </w:tcPr>
          <w:p>
            <w:pPr>
              <w:rPr>
                <w:rFonts w:ascii="Times New Roman" w:hAnsi="Times New Roman" w:cs="Times New Roman"/>
                <w:color w:val="000000"/>
              </w:rPr>
            </w:pPr>
            <w:r>
              <w:rPr>
                <w:rFonts w:ascii="Times New Roman" w:hAnsi="Times New Roman" w:cs="Times New Roman"/>
                <w:color w:val="000000"/>
              </w:rPr>
              <w:t>厂区设封闭垃圾箱，定期交环卫部门统一处理</w:t>
            </w:r>
          </w:p>
        </w:tc>
      </w:tr>
    </w:tbl>
    <w:p>
      <w:pPr>
        <w:pStyle w:val="44"/>
        <w:snapToGrid w:val="0"/>
        <w:spacing w:before="0" w:beforeAutospacing="0" w:after="0" w:afterAutospacing="0" w:line="500" w:lineRule="exact"/>
        <w:ind w:firstLine="560" w:firstLineChars="200"/>
        <w:jc w:val="both"/>
        <w:rPr>
          <w:rFonts w:ascii="Times New Roman" w:hAnsi="Times New Roman" w:cs="Times New Roman"/>
          <w:bCs/>
          <w:color w:val="000000"/>
        </w:rPr>
      </w:pPr>
      <w:r>
        <w:rPr>
          <w:rFonts w:ascii="Times New Roman" w:hAnsi="Times New Roman" w:cs="Times New Roman"/>
          <w:color w:val="000000"/>
          <w:sz w:val="28"/>
          <w:szCs w:val="28"/>
        </w:rPr>
        <w:t>环保设施实际建设情况与环评批复要求对照见表3。</w:t>
      </w:r>
    </w:p>
    <w:p>
      <w:pPr>
        <w:pStyle w:val="44"/>
        <w:snapToGrid w:val="0"/>
        <w:spacing w:before="0" w:beforeAutospacing="0" w:after="0" w:afterAutospacing="0" w:line="500" w:lineRule="exact"/>
        <w:ind w:firstLine="420" w:firstLineChars="200"/>
        <w:jc w:val="both"/>
        <w:rPr>
          <w:rFonts w:ascii="Times New Roman" w:hAnsi="Times New Roman" w:cs="Times New Roman"/>
          <w:bCs/>
          <w:color w:val="000000"/>
        </w:rPr>
      </w:pPr>
    </w:p>
    <w:p>
      <w:pPr>
        <w:pStyle w:val="44"/>
        <w:snapToGrid w:val="0"/>
        <w:spacing w:before="0" w:beforeAutospacing="0" w:after="0" w:afterAutospacing="0" w:line="500" w:lineRule="exact"/>
        <w:ind w:firstLine="422" w:firstLineChars="200"/>
        <w:jc w:val="center"/>
        <w:rPr>
          <w:rFonts w:ascii="Times New Roman" w:hAnsi="Times New Roman" w:cs="Times New Roman"/>
          <w:b/>
          <w:color w:val="000000"/>
        </w:rPr>
      </w:pPr>
      <w:r>
        <w:rPr>
          <w:rFonts w:ascii="Times New Roman" w:hAnsi="Times New Roman" w:cs="Times New Roman"/>
          <w:b/>
          <w:color w:val="000000"/>
        </w:rPr>
        <w:t>表3  环保设施实际建设情况与环评批复要求对照表</w:t>
      </w:r>
    </w:p>
    <w:tbl>
      <w:tblPr>
        <w:tblStyle w:val="27"/>
        <w:tblW w:w="92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630"/>
        <w:gridCol w:w="4182"/>
        <w:gridCol w:w="43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blHeader/>
        </w:trPr>
        <w:tc>
          <w:tcPr>
            <w:tcW w:w="630" w:type="dxa"/>
            <w:vAlign w:val="center"/>
          </w:tcPr>
          <w:p>
            <w:pPr>
              <w:jc w:val="center"/>
              <w:rPr>
                <w:rFonts w:ascii="Times New Roman" w:hAnsi="Times New Roman" w:cs="Times New Roman"/>
                <w:b/>
              </w:rPr>
            </w:pPr>
            <w:r>
              <w:rPr>
                <w:rFonts w:ascii="Times New Roman" w:hAnsi="Times New Roman" w:cs="Times New Roman"/>
                <w:b/>
              </w:rPr>
              <w:t>序号</w:t>
            </w:r>
          </w:p>
        </w:tc>
        <w:tc>
          <w:tcPr>
            <w:tcW w:w="4182" w:type="dxa"/>
            <w:vAlign w:val="center"/>
          </w:tcPr>
          <w:p>
            <w:pPr>
              <w:jc w:val="center"/>
              <w:rPr>
                <w:rFonts w:ascii="Times New Roman" w:hAnsi="Times New Roman" w:cs="Times New Roman"/>
                <w:b/>
              </w:rPr>
            </w:pPr>
            <w:r>
              <w:rPr>
                <w:rFonts w:ascii="Times New Roman" w:hAnsi="Times New Roman" w:cs="Times New Roman"/>
                <w:b/>
              </w:rPr>
              <w:t>环评批复要求措施</w:t>
            </w:r>
          </w:p>
        </w:tc>
        <w:tc>
          <w:tcPr>
            <w:tcW w:w="4396" w:type="dxa"/>
            <w:vAlign w:val="center"/>
          </w:tcPr>
          <w:p>
            <w:pPr>
              <w:jc w:val="center"/>
              <w:rPr>
                <w:rFonts w:ascii="Times New Roman" w:hAnsi="Times New Roman" w:cs="Times New Roman"/>
                <w:b/>
              </w:rPr>
            </w:pPr>
            <w:r>
              <w:rPr>
                <w:rFonts w:ascii="Times New Roman" w:hAnsi="Times New Roman" w:cs="Times New Roman"/>
                <w:b/>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05" w:hRule="atLeast"/>
        </w:trPr>
        <w:tc>
          <w:tcPr>
            <w:tcW w:w="630" w:type="dxa"/>
            <w:vAlign w:val="center"/>
          </w:tcPr>
          <w:p>
            <w:pPr>
              <w:jc w:val="center"/>
              <w:rPr>
                <w:rFonts w:ascii="Times New Roman" w:hAnsi="Times New Roman" w:cs="Times New Roman"/>
              </w:rPr>
            </w:pPr>
            <w:r>
              <w:rPr>
                <w:rFonts w:ascii="Times New Roman" w:hAnsi="Times New Roman" w:cs="Times New Roman"/>
              </w:rPr>
              <w:t>1</w:t>
            </w:r>
          </w:p>
        </w:tc>
        <w:tc>
          <w:tcPr>
            <w:tcW w:w="4182" w:type="dxa"/>
            <w:vAlign w:val="center"/>
          </w:tcPr>
          <w:p>
            <w:pPr>
              <w:rPr>
                <w:rFonts w:ascii="Times New Roman" w:hAnsi="Times New Roman" w:cs="Times New Roman"/>
              </w:rPr>
            </w:pPr>
            <w:r>
              <w:rPr>
                <w:rFonts w:ascii="Times New Roman" w:hAnsi="Times New Roman" w:cs="Times New Roman"/>
                <w:color w:val="000000"/>
                <w:spacing w:val="4"/>
              </w:rPr>
              <w:t>该项目位于太原市尖草坪区尖草坪街2号，占地面积2400m²，总投资为13739.25万元（其中环保投资为210万元）。主要建设内容为太钢能源动力总厂低参数余热利用项目及烟气余热回收改造工程项目，主体工程为建设两台30MW空冷纯凝汽机组，充分发挥现有低压蒸汽富余能力，使富余低压蒸汽最大限度高效发挥其能力；公用工程为供水、供电；环保工程为生活污水、汽轮机凝结水、噪声；依托工程为固废、办公、供水、供电、生活污水、汽轮机凝结水、固废。</w:t>
            </w:r>
          </w:p>
        </w:tc>
        <w:tc>
          <w:tcPr>
            <w:tcW w:w="4396" w:type="dxa"/>
            <w:vAlign w:val="center"/>
          </w:tcPr>
          <w:p>
            <w:pPr>
              <w:rPr>
                <w:rFonts w:ascii="Times New Roman" w:hAnsi="Times New Roman" w:cs="Times New Roman"/>
              </w:rPr>
            </w:pPr>
            <w:r>
              <w:rPr>
                <w:rFonts w:ascii="Times New Roman" w:hAnsi="Times New Roman" w:cs="Times New Roman"/>
                <w:color w:val="000000"/>
                <w:spacing w:val="4"/>
              </w:rPr>
              <w:t>该项目位于太原市尖草坪区尖草坪街2号，占地面积2400m²，总投资为12232.63万元（其中环保投资为196万元）。主要建设内容为太钢能源动力总厂低参数余热利用项目及烟气余热回收改造工程项目，主体工程为建设两台30MW空冷纯凝汽机组，充分发挥现有低压蒸汽富余能力，使富余低压蒸汽最大限度高效发挥其能力；公用工程为供水、供电；环保工程为生活污水、汽轮机凝结水、噪声；依托工程为固废、办公、供水、供电、生活污水、汽轮机凝结水、固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35" w:hRule="atLeast"/>
        </w:trPr>
        <w:tc>
          <w:tcPr>
            <w:tcW w:w="630" w:type="dxa"/>
            <w:vAlign w:val="center"/>
          </w:tcPr>
          <w:p>
            <w:pPr>
              <w:jc w:val="center"/>
              <w:rPr>
                <w:rFonts w:ascii="Times New Roman" w:hAnsi="Times New Roman" w:cs="Times New Roman"/>
              </w:rPr>
            </w:pPr>
            <w:r>
              <w:rPr>
                <w:rFonts w:ascii="Times New Roman" w:hAnsi="Times New Roman" w:cs="Times New Roman"/>
              </w:rPr>
              <w:t>2</w:t>
            </w:r>
          </w:p>
        </w:tc>
        <w:tc>
          <w:tcPr>
            <w:tcW w:w="4182" w:type="dxa"/>
            <w:vAlign w:val="center"/>
          </w:tcPr>
          <w:p>
            <w:pPr>
              <w:rPr>
                <w:rFonts w:ascii="Times New Roman" w:hAnsi="Times New Roman" w:cs="Times New Roman"/>
              </w:rPr>
            </w:pPr>
            <w:r>
              <w:rPr>
                <w:rFonts w:ascii="Times New Roman" w:hAnsi="Times New Roman" w:cs="Times New Roman"/>
                <w:color w:val="000000"/>
                <w:spacing w:val="4"/>
              </w:rPr>
              <w:t>汽轮机冷凝水全部收集于下部凝结泵送入现的凝结水处理装置，不外排，采暖前期管道试水就近排入公司的渣水系统进行水渣淬冷，循环使用不外排，生活污水经化粪池处理后就近排入太钢生活污水管网，最终进入赵庄污水处理厂集中处理后回用；软水站排水回用于厂区降尘。</w:t>
            </w:r>
          </w:p>
        </w:tc>
        <w:tc>
          <w:tcPr>
            <w:tcW w:w="4396" w:type="dxa"/>
            <w:vAlign w:val="center"/>
          </w:tcPr>
          <w:p>
            <w:pPr>
              <w:pStyle w:val="49"/>
              <w:spacing w:before="93" w:after="93"/>
              <w:jc w:val="both"/>
              <w:rPr>
                <w:rFonts w:hAnsi="Times New Roman" w:eastAsia="等线"/>
                <w:color w:val="000000"/>
                <w:kern w:val="2"/>
                <w:szCs w:val="21"/>
              </w:rPr>
            </w:pPr>
            <w:r>
              <w:rPr>
                <w:rFonts w:hAnsi="Times New Roman"/>
                <w:color w:val="000000"/>
                <w:spacing w:val="4"/>
              </w:rPr>
              <w:t>汽轮机冷凝水全部收集于下部凝结泵送入现的凝结水处理装置，不外排，采暖前期管道试水就近排入公司的渣水系统进行水渣淬冷，循环使用不外排，生活污水经化粪池处理后就近排入太钢生活污水管网，最终进入赵庄污水处理厂集中处理后回用；软水站排水回用于厂区降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5" w:hRule="atLeast"/>
        </w:trPr>
        <w:tc>
          <w:tcPr>
            <w:tcW w:w="630" w:type="dxa"/>
            <w:vAlign w:val="center"/>
          </w:tcPr>
          <w:p>
            <w:pPr>
              <w:jc w:val="center"/>
              <w:rPr>
                <w:rFonts w:ascii="Times New Roman" w:hAnsi="Times New Roman" w:cs="Times New Roman"/>
              </w:rPr>
            </w:pPr>
            <w:r>
              <w:rPr>
                <w:rFonts w:ascii="Times New Roman" w:hAnsi="Times New Roman" w:cs="Times New Roman"/>
              </w:rPr>
              <w:t>3</w:t>
            </w:r>
          </w:p>
        </w:tc>
        <w:tc>
          <w:tcPr>
            <w:tcW w:w="4182" w:type="dxa"/>
            <w:vAlign w:val="center"/>
          </w:tcPr>
          <w:p>
            <w:pPr>
              <w:rPr>
                <w:rFonts w:ascii="Times New Roman" w:hAnsi="Times New Roman" w:cs="Times New Roman"/>
              </w:rPr>
            </w:pPr>
            <w:r>
              <w:rPr>
                <w:rFonts w:ascii="Times New Roman" w:hAnsi="Times New Roman" w:cs="Times New Roman"/>
                <w:color w:val="000000"/>
                <w:spacing w:val="4"/>
              </w:rPr>
              <w:t>各类产噪设备，采取室内屏蔽、隔声吸声、安装减振垫等措施，选用立式水泵，设于地下。污染物排放标准执行《工业企业厂界环境噪声排放标准》（GB12348-2008）中3类标准。</w:t>
            </w:r>
          </w:p>
        </w:tc>
        <w:tc>
          <w:tcPr>
            <w:tcW w:w="4396" w:type="dxa"/>
            <w:vAlign w:val="center"/>
          </w:tcPr>
          <w:p>
            <w:pPr>
              <w:rPr>
                <w:rFonts w:ascii="Times New Roman" w:hAnsi="Times New Roman" w:cs="Times New Roman"/>
              </w:rPr>
            </w:pPr>
            <w:r>
              <w:rPr>
                <w:rFonts w:ascii="Times New Roman" w:hAnsi="Times New Roman" w:cs="Times New Roman"/>
                <w:color w:val="000000"/>
                <w:spacing w:val="4"/>
              </w:rPr>
              <w:t>各类产噪设备，采取室内屏蔽、隔声吸声、安装减振垫等措施，选用立式水泵，设于地下。污染物排放标准执行《工业企业厂界环境噪声排放标准》（GB12348-2008）中3类标准。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5" w:hRule="atLeast"/>
        </w:trPr>
        <w:tc>
          <w:tcPr>
            <w:tcW w:w="630" w:type="dxa"/>
            <w:vAlign w:val="center"/>
          </w:tcPr>
          <w:p>
            <w:pPr>
              <w:jc w:val="center"/>
              <w:rPr>
                <w:rFonts w:ascii="Times New Roman" w:hAnsi="Times New Roman" w:cs="Times New Roman"/>
              </w:rPr>
            </w:pPr>
            <w:r>
              <w:rPr>
                <w:rFonts w:ascii="Times New Roman" w:hAnsi="Times New Roman" w:cs="Times New Roman"/>
              </w:rPr>
              <w:t>4</w:t>
            </w:r>
          </w:p>
        </w:tc>
        <w:tc>
          <w:tcPr>
            <w:tcW w:w="4182" w:type="dxa"/>
            <w:vAlign w:val="center"/>
          </w:tcPr>
          <w:p>
            <w:pPr>
              <w:rPr>
                <w:rFonts w:ascii="Times New Roman" w:hAnsi="Times New Roman" w:cs="Times New Roman"/>
                <w:color w:val="000000"/>
                <w:spacing w:val="4"/>
              </w:rPr>
            </w:pPr>
            <w:r>
              <w:rPr>
                <w:rFonts w:ascii="Times New Roman" w:hAnsi="Times New Roman" w:cs="Times New Roman"/>
                <w:color w:val="000000"/>
                <w:sz w:val="24"/>
              </w:rPr>
              <w:t>生活垃圾统一收集后由环卫部门统一处理</w:t>
            </w:r>
          </w:p>
        </w:tc>
        <w:tc>
          <w:tcPr>
            <w:tcW w:w="4396" w:type="dxa"/>
            <w:vAlign w:val="center"/>
          </w:tcPr>
          <w:p>
            <w:pPr>
              <w:rPr>
                <w:rFonts w:ascii="Times New Roman" w:hAnsi="Times New Roman" w:cs="Times New Roman"/>
              </w:rPr>
            </w:pPr>
            <w:r>
              <w:rPr>
                <w:rFonts w:ascii="Times New Roman" w:hAnsi="Times New Roman" w:cs="Times New Roman"/>
                <w:color w:val="000000"/>
              </w:rPr>
              <w:t>厂区设封闭垃圾箱，生活垃圾统一收集后定期交环卫部门统一处理。</w:t>
            </w:r>
          </w:p>
        </w:tc>
      </w:tr>
    </w:tbl>
    <w:p>
      <w:pPr>
        <w:pStyle w:val="44"/>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116" w:name="_Toc86138342"/>
      <w:r>
        <w:rPr>
          <w:rFonts w:ascii="Times New Roman" w:hAnsi="Times New Roman" w:cs="Times New Roman"/>
          <w:b/>
          <w:color w:val="000000"/>
          <w:sz w:val="28"/>
          <w:szCs w:val="28"/>
        </w:rPr>
        <w:t>四、环境保护设施调试效果</w:t>
      </w:r>
      <w:bookmarkEnd w:id="116"/>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bookmarkStart w:id="117" w:name="_Toc86138343"/>
      <w:r>
        <w:rPr>
          <w:rFonts w:ascii="Times New Roman" w:hAnsi="Times New Roman" w:cs="Times New Roman"/>
          <w:bCs/>
          <w:color w:val="000000"/>
          <w:kern w:val="2"/>
          <w:sz w:val="28"/>
          <w:szCs w:val="28"/>
        </w:rPr>
        <w:t>（一）环保设施处理效率</w:t>
      </w:r>
      <w:bookmarkEnd w:id="117"/>
    </w:p>
    <w:p>
      <w:pPr>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bCs/>
          <w:color w:val="000000"/>
          <w:sz w:val="28"/>
          <w:szCs w:val="28"/>
        </w:rPr>
        <w:t>项目调试运行期间，各项环保设施均运行正常，环保设施运行符合环境影响报告表及其环评批复的要求。</w:t>
      </w:r>
    </w:p>
    <w:p>
      <w:pPr>
        <w:pStyle w:val="44"/>
        <w:snapToGrid w:val="0"/>
        <w:spacing w:before="0" w:beforeAutospacing="0" w:after="0" w:afterAutospacing="0" w:line="500" w:lineRule="exact"/>
        <w:ind w:firstLine="560" w:firstLineChars="200"/>
        <w:jc w:val="both"/>
        <w:outlineLvl w:val="1"/>
        <w:rPr>
          <w:rFonts w:ascii="Times New Roman" w:hAnsi="Times New Roman" w:cs="Times New Roman"/>
          <w:bCs/>
          <w:color w:val="000000"/>
          <w:kern w:val="2"/>
          <w:sz w:val="28"/>
          <w:szCs w:val="28"/>
        </w:rPr>
      </w:pPr>
      <w:bookmarkStart w:id="118" w:name="_Toc86138344"/>
      <w:r>
        <w:rPr>
          <w:rFonts w:ascii="Times New Roman" w:hAnsi="Times New Roman" w:cs="Times New Roman"/>
          <w:bCs/>
          <w:color w:val="000000"/>
          <w:kern w:val="2"/>
          <w:sz w:val="28"/>
          <w:szCs w:val="28"/>
        </w:rPr>
        <w:t>（二）污染物排放情况</w:t>
      </w:r>
      <w:bookmarkEnd w:id="118"/>
    </w:p>
    <w:p>
      <w:pPr>
        <w:pStyle w:val="9"/>
        <w:spacing w:line="500" w:lineRule="exact"/>
        <w:ind w:firstLine="560" w:firstLineChars="20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厂界噪声验收监测结果表明：监测期间，厂界噪声昼间监测值范围为</w:t>
      </w:r>
      <w:r>
        <w:rPr>
          <w:rFonts w:ascii="Times New Roman" w:hAnsi="Times New Roman" w:cs="Times New Roman"/>
          <w:bCs/>
          <w:color w:val="000000"/>
          <w:sz w:val="28"/>
          <w:szCs w:val="28"/>
          <w:lang w:val="zh-CN"/>
        </w:rPr>
        <w:t>厂界噪声范围为昼间：60.1-64.7dB（A），夜间：50.2-54.8dB（A），</w:t>
      </w:r>
      <w:r>
        <w:rPr>
          <w:rFonts w:ascii="Times New Roman" w:hAnsi="Times New Roman" w:cs="Times New Roman"/>
          <w:bCs/>
          <w:color w:val="000000"/>
          <w:sz w:val="28"/>
          <w:szCs w:val="28"/>
        </w:rPr>
        <w:t>均满足《工业企业厂界环境噪声排放标准》（GB12348-2008）中3类标准要求（昼间65 dB（A），夜间55 dB（A）)。</w:t>
      </w:r>
    </w:p>
    <w:p>
      <w:pPr>
        <w:pStyle w:val="44"/>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119" w:name="_Toc86138345"/>
      <w:r>
        <w:rPr>
          <w:rFonts w:ascii="Times New Roman" w:hAnsi="Times New Roman" w:cs="Times New Roman"/>
          <w:b/>
          <w:color w:val="000000"/>
          <w:sz w:val="28"/>
          <w:szCs w:val="28"/>
        </w:rPr>
        <w:t>六、工程建设对环境的影响</w:t>
      </w:r>
      <w:bookmarkEnd w:id="119"/>
    </w:p>
    <w:p>
      <w:pPr>
        <w:pStyle w:val="9"/>
        <w:spacing w:line="500" w:lineRule="exact"/>
        <w:ind w:firstLine="560" w:firstLineChars="200"/>
        <w:jc w:val="both"/>
        <w:rPr>
          <w:rFonts w:ascii="Times New Roman" w:hAnsi="Times New Roman" w:cs="Times New Roman"/>
          <w:bCs/>
          <w:color w:val="000000"/>
          <w:sz w:val="28"/>
          <w:szCs w:val="28"/>
        </w:rPr>
      </w:pPr>
      <w:r>
        <w:rPr>
          <w:rFonts w:ascii="Times New Roman" w:hAnsi="Times New Roman" w:cs="Times New Roman"/>
          <w:bCs/>
          <w:color w:val="000000"/>
          <w:sz w:val="28"/>
          <w:szCs w:val="28"/>
        </w:rPr>
        <w:t>山西太钢不锈钢股份有限公司低参数余热利用项目符合国家产业政策要求，符合太原市总体规划要求，选址合理。据验收监测结果可知，污染物满足达标排放，周围环境质量可达到验收执行标准。工程建设对周围环境产生的影响较小。</w:t>
      </w:r>
    </w:p>
    <w:p>
      <w:pPr>
        <w:pStyle w:val="44"/>
        <w:snapToGrid w:val="0"/>
        <w:spacing w:before="0" w:beforeAutospacing="0" w:after="0" w:afterAutospacing="0" w:line="500" w:lineRule="exact"/>
        <w:ind w:firstLine="562" w:firstLineChars="200"/>
        <w:jc w:val="both"/>
        <w:outlineLvl w:val="0"/>
        <w:rPr>
          <w:rFonts w:ascii="Times New Roman" w:hAnsi="Times New Roman" w:cs="Times New Roman"/>
          <w:b/>
          <w:color w:val="000000"/>
          <w:sz w:val="28"/>
          <w:szCs w:val="28"/>
        </w:rPr>
      </w:pPr>
      <w:bookmarkStart w:id="120" w:name="_Toc86138346"/>
      <w:r>
        <w:rPr>
          <w:rFonts w:ascii="Times New Roman" w:hAnsi="Times New Roman" w:cs="Times New Roman"/>
          <w:b/>
          <w:color w:val="000000"/>
          <w:sz w:val="28"/>
          <w:szCs w:val="28"/>
        </w:rPr>
        <w:t>七、验收结论</w:t>
      </w:r>
      <w:bookmarkEnd w:id="120"/>
    </w:p>
    <w:p>
      <w:pPr>
        <w:spacing w:line="500" w:lineRule="exact"/>
        <w:ind w:firstLine="560" w:firstLineChars="200"/>
        <w:rPr>
          <w:rFonts w:ascii="Times New Roman" w:hAnsi="Times New Roman" w:cs="Times New Roman"/>
          <w:bCs/>
          <w:color w:val="000000"/>
          <w:sz w:val="28"/>
          <w:szCs w:val="28"/>
        </w:rPr>
      </w:pPr>
      <w:r>
        <w:rPr>
          <w:rFonts w:ascii="Times New Roman" w:hAnsi="Times New Roman" w:cs="Times New Roman"/>
          <w:sz w:val="28"/>
          <w:szCs w:val="28"/>
        </w:rPr>
        <w:t>山西太钢不锈钢股份有限公司低参数余热利用项目</w:t>
      </w:r>
      <w:r>
        <w:rPr>
          <w:rFonts w:ascii="Times New Roman" w:hAnsi="Times New Roman" w:cs="Times New Roman"/>
          <w:color w:val="000000"/>
          <w:sz w:val="28"/>
          <w:szCs w:val="28"/>
        </w:rPr>
        <w:t>进行了环境影响评价，报告表经</w:t>
      </w:r>
      <w:r>
        <w:rPr>
          <w:rFonts w:ascii="Times New Roman" w:hAnsi="Times New Roman" w:cs="Times New Roman"/>
          <w:sz w:val="28"/>
          <w:szCs w:val="28"/>
        </w:rPr>
        <w:t>太原市环境保护局尖草坪分局</w:t>
      </w:r>
      <w:r>
        <w:rPr>
          <w:rFonts w:ascii="Times New Roman" w:hAnsi="Times New Roman" w:cs="Times New Roman"/>
          <w:bCs/>
          <w:color w:val="000000"/>
          <w:sz w:val="28"/>
          <w:szCs w:val="28"/>
        </w:rPr>
        <w:t>批复。项目基本按照环评及其批复要求进行了建设。验收监测结果表明，污染物可以做到达标排放，不存在国家规定的验收不合格情形。验收组认为，本项目竣工环境保护验收为基本合格。</w:t>
      </w:r>
    </w:p>
    <w:p>
      <w:pPr>
        <w:pStyle w:val="44"/>
        <w:snapToGrid w:val="0"/>
        <w:spacing w:before="0" w:beforeAutospacing="0" w:after="0" w:afterAutospacing="0" w:line="500" w:lineRule="exact"/>
        <w:ind w:left="562"/>
        <w:jc w:val="both"/>
        <w:outlineLvl w:val="0"/>
        <w:rPr>
          <w:rFonts w:ascii="Times New Roman" w:hAnsi="Times New Roman" w:cs="Times New Roman"/>
          <w:b/>
          <w:color w:val="000000"/>
          <w:sz w:val="28"/>
          <w:szCs w:val="28"/>
        </w:rPr>
      </w:pPr>
      <w:bookmarkStart w:id="121" w:name="_Toc86138347"/>
      <w:r>
        <w:rPr>
          <w:rFonts w:ascii="Times New Roman" w:hAnsi="Times New Roman" w:cs="Times New Roman"/>
          <w:b/>
          <w:color w:val="000000"/>
          <w:sz w:val="28"/>
          <w:szCs w:val="28"/>
        </w:rPr>
        <w:t>八、后续要求</w:t>
      </w:r>
      <w:bookmarkEnd w:id="121"/>
    </w:p>
    <w:p>
      <w:pPr>
        <w:pStyle w:val="30"/>
        <w:widowControl/>
        <w:adjustRightInd w:val="0"/>
        <w:snapToGrid w:val="0"/>
        <w:spacing w:line="500" w:lineRule="exact"/>
        <w:ind w:firstLine="560"/>
        <w:rPr>
          <w:sz w:val="28"/>
          <w:szCs w:val="28"/>
        </w:rPr>
      </w:pPr>
      <w:r>
        <w:rPr>
          <w:sz w:val="28"/>
          <w:szCs w:val="28"/>
        </w:rPr>
        <w:t>对环保设施要定期维护维修，确保各环节的污染物稳定达标排放。</w:t>
      </w:r>
    </w:p>
    <w:p>
      <w:pPr>
        <w:spacing w:line="500" w:lineRule="exact"/>
        <w:ind w:firstLine="562" w:firstLineChars="200"/>
        <w:rPr>
          <w:rFonts w:ascii="Times New Roman" w:hAnsi="Times New Roman" w:cs="Times New Roman"/>
          <w:b/>
          <w:sz w:val="28"/>
          <w:szCs w:val="28"/>
        </w:rPr>
      </w:pPr>
      <w:r>
        <w:rPr>
          <w:rFonts w:ascii="Times New Roman" w:hAnsi="Times New Roman" w:cs="Times New Roman"/>
          <w:b/>
          <w:sz w:val="28"/>
          <w:szCs w:val="28"/>
        </w:rPr>
        <w:t>九、验收人员信息</w:t>
      </w:r>
    </w:p>
    <w:p>
      <w:pPr>
        <w:pStyle w:val="30"/>
        <w:widowControl/>
        <w:adjustRightInd w:val="0"/>
        <w:snapToGrid w:val="0"/>
        <w:spacing w:line="500" w:lineRule="exact"/>
        <w:ind w:firstLine="560"/>
        <w:rPr>
          <w:sz w:val="28"/>
          <w:szCs w:val="28"/>
        </w:rPr>
      </w:pPr>
      <w:r>
        <w:rPr>
          <w:sz w:val="28"/>
          <w:szCs w:val="28"/>
        </w:rPr>
        <w:t>见附表。</w:t>
      </w:r>
    </w:p>
    <w:p>
      <w:pPr>
        <w:pStyle w:val="30"/>
        <w:widowControl/>
        <w:adjustRightInd w:val="0"/>
        <w:snapToGrid w:val="0"/>
        <w:spacing w:line="500" w:lineRule="exact"/>
        <w:ind w:firstLine="560"/>
        <w:rPr>
          <w:sz w:val="28"/>
          <w:szCs w:val="28"/>
        </w:rPr>
      </w:pPr>
      <w:r>
        <w:rPr>
          <w:sz w:val="28"/>
          <w:szCs w:val="28"/>
        </w:rPr>
        <w:t xml:space="preserve">    </w:t>
      </w:r>
    </w:p>
    <w:p>
      <w:pPr>
        <w:pStyle w:val="30"/>
        <w:widowControl/>
        <w:adjustRightInd w:val="0"/>
        <w:snapToGrid w:val="0"/>
        <w:spacing w:line="500" w:lineRule="exact"/>
        <w:ind w:firstLine="560"/>
      </w:pPr>
      <w:r>
        <w:rPr>
          <w:sz w:val="28"/>
          <w:szCs w:val="28"/>
        </w:rPr>
        <w:t xml:space="preserve">                                     2021年9月29日</w:t>
      </w:r>
    </w:p>
    <w:sectPr>
      <w:pgSz w:w="11906" w:h="16838"/>
      <w:pgMar w:top="1440" w:right="1457" w:bottom="1440" w:left="145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auto"/>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rPr>
        <w:rFonts w:cs="Tahoma"/>
      </w:rPr>
    </w:pPr>
    <w:r>
      <w:rPr>
        <w:rFonts w:ascii="Calibri" w:hAnsi="Calibri" w:eastAsia="宋体" w:cs="Calibri"/>
        <w:kern w:val="2"/>
        <w:sz w:val="18"/>
        <w:szCs w:val="18"/>
        <w:lang w:val="en-US" w:eastAsia="zh-CN" w:bidi="ar-SA"/>
      </w:rPr>
      <w:pict>
        <v:shape id="Quad Arrow 1" o:spid="_x0000_s1025" type="#_x0000_t202" style="position:absolute;left:0;margin-top:0pt;height:144pt;width:144pt;mso-position-horizontal:center;mso-position-horizontal-relative:margin;mso-wrap-style:none;rotation:0f;z-index:251658240;"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6"/>
                  <w:rPr>
                    <w:rFonts w:cs="Tahoma"/>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rPr>
        <w:rFonts w:cs="Tahoma"/>
      </w:rPr>
    </w:pPr>
    <w:r>
      <w:rPr>
        <w:rFonts w:ascii="Calibri" w:hAnsi="Calibri" w:eastAsia="宋体" w:cs="Calibri"/>
        <w:kern w:val="2"/>
        <w:sz w:val="18"/>
        <w:szCs w:val="18"/>
        <w:lang w:val="en-US" w:eastAsia="zh-CN" w:bidi="ar-SA"/>
      </w:rPr>
      <w:pict>
        <v:shape id="Quad Arrow 3" o:spid="_x0000_s1026" type="#_x0000_t202" style="position:absolute;left:0;margin-top:0pt;height:144pt;width:144pt;mso-position-horizontal:center;mso-position-horizontal-relative:margin;mso-wrap-style:none;rotation:0f;z-index:251659264;"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6"/>
                  <w:rPr>
                    <w:rFonts w:cs="Tahoma"/>
                  </w:rPr>
                </w:pPr>
                <w:r>
                  <w:fldChar w:fldCharType="begin"/>
                </w:r>
                <w:r>
                  <w:instrText xml:space="preserve"> PAGE  \* MERGEFORMAT </w:instrText>
                </w:r>
                <w:r>
                  <w:fldChar w:fldCharType="separate"/>
                </w:r>
                <w:r>
                  <w:t>4</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jc w:val="center"/>
    </w:pPr>
    <w:r>
      <w:fldChar w:fldCharType="begin"/>
    </w:r>
    <w:r>
      <w:instrText xml:space="preserve">PAGE   \* MERGEFORMAT</w:instrText>
    </w:r>
    <w:r>
      <w:fldChar w:fldCharType="separate"/>
    </w:r>
    <w:r>
      <w:rPr>
        <w:lang w:val="zh-CN"/>
      </w:rPr>
      <w:t>24</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tabs>
        <w:tab w:val="center" w:pos="7176"/>
        <w:tab w:val="left" w:pos="8362"/>
      </w:tabs>
      <w:jc w:val="both"/>
      <w:rPr>
        <w:rFonts w:ascii="宋体" w:cs="Tahoma"/>
        <w:sz w:val="21"/>
        <w:szCs w:val="21"/>
      </w:rPr>
    </w:pPr>
    <w:r>
      <w:rPr>
        <w:rFonts w:ascii="Calibri" w:hAnsi="Calibri" w:eastAsia="宋体" w:cs="Calibri"/>
        <w:kern w:val="2"/>
        <w:sz w:val="18"/>
        <w:szCs w:val="18"/>
        <w:lang w:val="en-US" w:eastAsia="zh-CN" w:bidi="ar-SA"/>
      </w:rPr>
      <w:pict>
        <v:shape id="Quad Arrow 6" o:spid="_x0000_s1027" type="#_x0000_t202" style="position:absolute;left:0;margin-top:0pt;height:144pt;width:144pt;mso-position-horizontal:center;mso-position-horizontal-relative:margin;mso-wrap-style:none;rotation:0f;z-index:251660288;" o:ole="f" fillcolor="#FFFFFF" filled="f" o:preferrelative="t" stroked="f" coordorigin="0,0" coordsize="21600,21600">
          <v:fill on="f" color2="#FFFFFF" focus="0%"/>
          <v:imagedata gain="65536f" blacklevel="0f" gamma="0"/>
          <o:lock v:ext="edit" position="f" selection="f" grouping="f" rotation="f" cropping="f" text="f" aspectratio="f"/>
          <v:textbox inset="0.00pt,0.00pt,0.00pt,0.00pt" style="mso-fit-shape-to-text:t;">
            <w:txbxContent>
              <w:p>
                <w:pPr>
                  <w:pStyle w:val="16"/>
                  <w:rPr>
                    <w:rFonts w:cs="Tahoma"/>
                  </w:rPr>
                </w:pPr>
                <w:r>
                  <w:fldChar w:fldCharType="begin"/>
                </w:r>
                <w:r>
                  <w:instrText xml:space="preserve"> PAGE  \* MERGEFORMAT </w:instrText>
                </w:r>
                <w:r>
                  <w:fldChar w:fldCharType="separate"/>
                </w:r>
                <w:r>
                  <w:t>32</w:t>
                </w:r>
                <w:r>
                  <w:fldChar w:fldCharType="end"/>
                </w:r>
              </w:p>
            </w:txbxContent>
          </v:textbox>
          <w10:anchorlock/>
        </v:shape>
      </w:pict>
    </w:r>
    <w:r>
      <w:rPr>
        <w:rFonts w:ascii="宋体" w:cs="Tahoma"/>
        <w:sz w:val="28"/>
        <w:szCs w:val="28"/>
      </w:rPr>
      <w:tab/>
    </w:r>
    <w:r>
      <w:rPr>
        <w:rFonts w:ascii="宋体" w:cs="Tahoma"/>
        <w:sz w:val="28"/>
        <w:szCs w:val="28"/>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jc w:val="center"/>
    </w:pPr>
    <w:r>
      <w:fldChar w:fldCharType="begin"/>
    </w:r>
    <w:r>
      <w:instrText xml:space="preserve">PAGE   \* MERGEFORMAT</w:instrText>
    </w:r>
    <w:r>
      <w:fldChar w:fldCharType="separate"/>
    </w:r>
    <w:r>
      <w:rPr>
        <w:lang w:val="zh-CN"/>
      </w:rPr>
      <w:t>2</w:t>
    </w:r>
    <w:r>
      <w:fldChar w:fldCharType="end"/>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7"/>
      <w:rPr>
        <w:rFonts w:cs="宋体"/>
      </w:rPr>
    </w:pPr>
    <w:r>
      <w:rPr>
        <w:rFonts w:hint="eastAsia" w:cs="宋体"/>
      </w:rPr>
      <w:t>山西太钢不锈钢股份有限公司低参数余热利用项目及烟气余热回收改造工程</w:t>
    </w:r>
  </w:p>
  <w:p>
    <w:pPr>
      <w:pStyle w:val="17"/>
      <w:rPr>
        <w:rFonts w:cs="Tahoma"/>
      </w:rPr>
    </w:pPr>
    <w:r>
      <w:rPr>
        <w:rFonts w:hint="eastAsia" w:cs="宋体"/>
      </w:rPr>
      <w:t>（低参数余热利用项目）</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20991465">
    <w:nsid w:val="36E536E9"/>
    <w:multiLevelType w:val="multilevel"/>
    <w:tmpl w:val="36E536E9"/>
    <w:lvl w:ilvl="0" w:tentative="1">
      <w:start w:val="1"/>
      <w:numFmt w:val="decimal"/>
      <w:pStyle w:val="40"/>
      <w:suff w:val="space"/>
      <w:lvlText w:val="表%1"/>
      <w:lvlJc w:val="left"/>
      <w:pPr>
        <w:ind w:left="284"/>
      </w:pPr>
      <w:rPr>
        <w:rFonts w:hint="eastAsia" w:ascii="黑体" w:hAnsi="黑体" w:eastAsia="黑体"/>
        <w:b/>
        <w:bCs/>
        <w:i w:val="0"/>
        <w:iCs w:val="0"/>
        <w:sz w:val="30"/>
        <w:szCs w:val="30"/>
      </w:rPr>
    </w:lvl>
    <w:lvl w:ilvl="1" w:tentative="1">
      <w:start w:val="1"/>
      <w:numFmt w:val="decimal"/>
      <w:suff w:val="space"/>
      <w:lvlText w:val="%1.%2"/>
      <w:lvlJc w:val="left"/>
      <w:pPr>
        <w:ind w:left="-1560"/>
      </w:pPr>
      <w:rPr>
        <w:rFonts w:hint="default" w:ascii="Times New Roman" w:hAnsi="Times New Roman" w:eastAsia="宋体"/>
        <w:b/>
        <w:bCs/>
        <w:i w:val="0"/>
        <w:iCs w:val="0"/>
        <w:sz w:val="28"/>
        <w:szCs w:val="28"/>
      </w:rPr>
    </w:lvl>
    <w:lvl w:ilvl="2" w:tentative="1">
      <w:start w:val="1"/>
      <w:numFmt w:val="decimal"/>
      <w:suff w:val="space"/>
      <w:lvlText w:val="%1.%2.%3"/>
      <w:lvlJc w:val="left"/>
      <w:pPr>
        <w:ind w:left="-1560"/>
      </w:pPr>
      <w:rPr>
        <w:rFonts w:hint="eastAsia" w:ascii="Times New Roman" w:hAnsi="Times New Roman" w:cs="Times New Roman"/>
        <w:b w:val="0"/>
        <w:bCs w:val="0"/>
        <w:i w:val="0"/>
        <w:iCs w:val="0"/>
        <w:caps w:val="0"/>
        <w:smallCaps w:val="0"/>
        <w:strike w:val="0"/>
        <w:dstrike w:val="0"/>
        <w:snapToGrid w:val="0"/>
        <w:spacing w:val="0"/>
        <w:position w:val="0"/>
        <w:u w:val="none"/>
      </w:rPr>
    </w:lvl>
    <w:lvl w:ilvl="3" w:tentative="1">
      <w:start w:val="1"/>
      <w:numFmt w:val="decimal"/>
      <w:lvlText w:val="%1.%2.%3.%4"/>
      <w:lvlJc w:val="left"/>
      <w:pPr>
        <w:tabs>
          <w:tab w:val="left" w:pos="-760"/>
        </w:tabs>
        <w:ind w:left="-1560"/>
      </w:pPr>
      <w:rPr>
        <w:rFonts w:hint="eastAsia"/>
      </w:rPr>
    </w:lvl>
    <w:lvl w:ilvl="4" w:tentative="1">
      <w:start w:val="1"/>
      <w:numFmt w:val="decimal"/>
      <w:lvlText w:val="%1.%2.%3.%4.%5"/>
      <w:lvlJc w:val="left"/>
      <w:pPr>
        <w:tabs>
          <w:tab w:val="left" w:pos="1621"/>
        </w:tabs>
        <w:ind w:left="1391" w:hanging="850"/>
      </w:pPr>
      <w:rPr>
        <w:rFonts w:hint="eastAsia"/>
      </w:rPr>
    </w:lvl>
    <w:lvl w:ilvl="5" w:tentative="1">
      <w:start w:val="1"/>
      <w:numFmt w:val="decimal"/>
      <w:lvlText w:val="%1.%2.%3.%4.%5.%6"/>
      <w:lvlJc w:val="left"/>
      <w:pPr>
        <w:tabs>
          <w:tab w:val="left" w:pos="2406"/>
        </w:tabs>
        <w:ind w:left="2100" w:hanging="1134"/>
      </w:pPr>
      <w:rPr>
        <w:rFonts w:hint="eastAsia"/>
      </w:rPr>
    </w:lvl>
    <w:lvl w:ilvl="6" w:tentative="1">
      <w:start w:val="1"/>
      <w:numFmt w:val="decimal"/>
      <w:lvlText w:val="%1.%2.%3.%4.%5.%6.%7"/>
      <w:lvlJc w:val="left"/>
      <w:pPr>
        <w:tabs>
          <w:tab w:val="left" w:pos="2831"/>
        </w:tabs>
        <w:ind w:left="2667" w:hanging="1276"/>
      </w:pPr>
      <w:rPr>
        <w:rFonts w:hint="eastAsia"/>
      </w:rPr>
    </w:lvl>
    <w:lvl w:ilvl="7" w:tentative="1">
      <w:start w:val="1"/>
      <w:numFmt w:val="decimal"/>
      <w:lvlText w:val="%1.%2.%3.%4.%5.%6.%7.%8"/>
      <w:lvlJc w:val="left"/>
      <w:pPr>
        <w:tabs>
          <w:tab w:val="left" w:pos="3616"/>
        </w:tabs>
        <w:ind w:left="3234" w:hanging="1418"/>
      </w:pPr>
      <w:rPr>
        <w:rFonts w:hint="eastAsia"/>
      </w:rPr>
    </w:lvl>
    <w:lvl w:ilvl="8" w:tentative="1">
      <w:start w:val="1"/>
      <w:numFmt w:val="decimal"/>
      <w:lvlText w:val="%1.%2.%3.%4.%5.%6.%7.%8.%9"/>
      <w:lvlJc w:val="left"/>
      <w:pPr>
        <w:tabs>
          <w:tab w:val="left" w:pos="4402"/>
        </w:tabs>
        <w:ind w:left="3942" w:hanging="1700"/>
      </w:pPr>
      <w:rPr>
        <w:rFonts w:hint="eastAsia"/>
      </w:rPr>
    </w:lvl>
  </w:abstractNum>
  <w:num w:numId="1">
    <w:abstractNumId w:val="92099146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87789"/>
    <w:rsid w:val="00000A48"/>
    <w:rsid w:val="000105ED"/>
    <w:rsid w:val="00011A49"/>
    <w:rsid w:val="00013E8E"/>
    <w:rsid w:val="0001458F"/>
    <w:rsid w:val="0001505E"/>
    <w:rsid w:val="00021F4E"/>
    <w:rsid w:val="00025837"/>
    <w:rsid w:val="0002666D"/>
    <w:rsid w:val="000314FF"/>
    <w:rsid w:val="000324A7"/>
    <w:rsid w:val="000413FD"/>
    <w:rsid w:val="00046BB9"/>
    <w:rsid w:val="000526ED"/>
    <w:rsid w:val="00055278"/>
    <w:rsid w:val="00056CDF"/>
    <w:rsid w:val="0006075C"/>
    <w:rsid w:val="00075108"/>
    <w:rsid w:val="00080181"/>
    <w:rsid w:val="00085D94"/>
    <w:rsid w:val="00086B7A"/>
    <w:rsid w:val="00093EFF"/>
    <w:rsid w:val="00095BB9"/>
    <w:rsid w:val="000A127D"/>
    <w:rsid w:val="000A1572"/>
    <w:rsid w:val="000A56DB"/>
    <w:rsid w:val="000B19B5"/>
    <w:rsid w:val="000B35C5"/>
    <w:rsid w:val="000B67FE"/>
    <w:rsid w:val="000C41F1"/>
    <w:rsid w:val="000C5289"/>
    <w:rsid w:val="000D72CB"/>
    <w:rsid w:val="000E1F39"/>
    <w:rsid w:val="000E1FA5"/>
    <w:rsid w:val="000E2B0E"/>
    <w:rsid w:val="000F0F4A"/>
    <w:rsid w:val="000F1653"/>
    <w:rsid w:val="000F743C"/>
    <w:rsid w:val="00107E28"/>
    <w:rsid w:val="00116B4E"/>
    <w:rsid w:val="0011769E"/>
    <w:rsid w:val="0011774D"/>
    <w:rsid w:val="00123BB1"/>
    <w:rsid w:val="00133642"/>
    <w:rsid w:val="001439BB"/>
    <w:rsid w:val="001447B3"/>
    <w:rsid w:val="001521DC"/>
    <w:rsid w:val="00155C6F"/>
    <w:rsid w:val="001560B1"/>
    <w:rsid w:val="0016068C"/>
    <w:rsid w:val="0016111C"/>
    <w:rsid w:val="00163933"/>
    <w:rsid w:val="0016474A"/>
    <w:rsid w:val="0016551D"/>
    <w:rsid w:val="00167308"/>
    <w:rsid w:val="00183414"/>
    <w:rsid w:val="00187BD5"/>
    <w:rsid w:val="001928DA"/>
    <w:rsid w:val="00196CA9"/>
    <w:rsid w:val="001A4F7F"/>
    <w:rsid w:val="001B0D11"/>
    <w:rsid w:val="001B4AD8"/>
    <w:rsid w:val="001B5CA9"/>
    <w:rsid w:val="001B7857"/>
    <w:rsid w:val="001C23C3"/>
    <w:rsid w:val="001C4DF2"/>
    <w:rsid w:val="001D6AF7"/>
    <w:rsid w:val="001E3ABD"/>
    <w:rsid w:val="001E3B7A"/>
    <w:rsid w:val="001E526C"/>
    <w:rsid w:val="001E6F3F"/>
    <w:rsid w:val="001F15E7"/>
    <w:rsid w:val="00200D4A"/>
    <w:rsid w:val="00202ED9"/>
    <w:rsid w:val="00206253"/>
    <w:rsid w:val="0021068E"/>
    <w:rsid w:val="00211AB2"/>
    <w:rsid w:val="002135E5"/>
    <w:rsid w:val="00215B34"/>
    <w:rsid w:val="00231633"/>
    <w:rsid w:val="00233799"/>
    <w:rsid w:val="00233F98"/>
    <w:rsid w:val="0023777D"/>
    <w:rsid w:val="00243AF3"/>
    <w:rsid w:val="00244E3E"/>
    <w:rsid w:val="00244EE3"/>
    <w:rsid w:val="002458B6"/>
    <w:rsid w:val="0025252D"/>
    <w:rsid w:val="00254621"/>
    <w:rsid w:val="00256D3E"/>
    <w:rsid w:val="00256E53"/>
    <w:rsid w:val="00263B80"/>
    <w:rsid w:val="00263DB8"/>
    <w:rsid w:val="002661B5"/>
    <w:rsid w:val="00271F4C"/>
    <w:rsid w:val="00275A9C"/>
    <w:rsid w:val="00276D98"/>
    <w:rsid w:val="00277363"/>
    <w:rsid w:val="00291C31"/>
    <w:rsid w:val="00293C08"/>
    <w:rsid w:val="002976C7"/>
    <w:rsid w:val="002A0044"/>
    <w:rsid w:val="002B0068"/>
    <w:rsid w:val="002B0478"/>
    <w:rsid w:val="002B0A92"/>
    <w:rsid w:val="002B0BF9"/>
    <w:rsid w:val="002B0CF1"/>
    <w:rsid w:val="002B56A8"/>
    <w:rsid w:val="002B59CD"/>
    <w:rsid w:val="002B691C"/>
    <w:rsid w:val="002C22F7"/>
    <w:rsid w:val="002C273E"/>
    <w:rsid w:val="002C3078"/>
    <w:rsid w:val="002C4B9F"/>
    <w:rsid w:val="002C791A"/>
    <w:rsid w:val="002D1692"/>
    <w:rsid w:val="002D3149"/>
    <w:rsid w:val="002D5746"/>
    <w:rsid w:val="002D58DB"/>
    <w:rsid w:val="002D634E"/>
    <w:rsid w:val="002D7F60"/>
    <w:rsid w:val="002E2E6C"/>
    <w:rsid w:val="002E72C0"/>
    <w:rsid w:val="002F332B"/>
    <w:rsid w:val="002F4DC1"/>
    <w:rsid w:val="00313E8B"/>
    <w:rsid w:val="0031621A"/>
    <w:rsid w:val="003205C9"/>
    <w:rsid w:val="00330F1F"/>
    <w:rsid w:val="003315CE"/>
    <w:rsid w:val="00334429"/>
    <w:rsid w:val="00341860"/>
    <w:rsid w:val="003453AF"/>
    <w:rsid w:val="00346676"/>
    <w:rsid w:val="00346B2F"/>
    <w:rsid w:val="00357270"/>
    <w:rsid w:val="003610AB"/>
    <w:rsid w:val="003704D1"/>
    <w:rsid w:val="00371454"/>
    <w:rsid w:val="00374ACF"/>
    <w:rsid w:val="00374AF7"/>
    <w:rsid w:val="0037612E"/>
    <w:rsid w:val="00380954"/>
    <w:rsid w:val="003816BA"/>
    <w:rsid w:val="00391498"/>
    <w:rsid w:val="003A0E69"/>
    <w:rsid w:val="003A11B3"/>
    <w:rsid w:val="003A2524"/>
    <w:rsid w:val="003A5C13"/>
    <w:rsid w:val="003B166F"/>
    <w:rsid w:val="003C4568"/>
    <w:rsid w:val="003D28A2"/>
    <w:rsid w:val="003D6C61"/>
    <w:rsid w:val="003E5889"/>
    <w:rsid w:val="003E5EC6"/>
    <w:rsid w:val="003E60BD"/>
    <w:rsid w:val="00401571"/>
    <w:rsid w:val="00411CEA"/>
    <w:rsid w:val="00411FBF"/>
    <w:rsid w:val="004169E8"/>
    <w:rsid w:val="00417D78"/>
    <w:rsid w:val="00427160"/>
    <w:rsid w:val="00430F73"/>
    <w:rsid w:val="0043343E"/>
    <w:rsid w:val="004338D8"/>
    <w:rsid w:val="0044674C"/>
    <w:rsid w:val="00446A1B"/>
    <w:rsid w:val="0045538D"/>
    <w:rsid w:val="004677CF"/>
    <w:rsid w:val="004763AC"/>
    <w:rsid w:val="00481C17"/>
    <w:rsid w:val="00486168"/>
    <w:rsid w:val="00493BC5"/>
    <w:rsid w:val="004A0A83"/>
    <w:rsid w:val="004A6516"/>
    <w:rsid w:val="004B47B9"/>
    <w:rsid w:val="004B5FA4"/>
    <w:rsid w:val="004B77E9"/>
    <w:rsid w:val="004C6888"/>
    <w:rsid w:val="004C7E7C"/>
    <w:rsid w:val="004D5026"/>
    <w:rsid w:val="004D58BD"/>
    <w:rsid w:val="004E3741"/>
    <w:rsid w:val="004F0A3C"/>
    <w:rsid w:val="004F26F7"/>
    <w:rsid w:val="004F3DF2"/>
    <w:rsid w:val="004F4387"/>
    <w:rsid w:val="00502A59"/>
    <w:rsid w:val="00505C16"/>
    <w:rsid w:val="00514AC3"/>
    <w:rsid w:val="005162DE"/>
    <w:rsid w:val="00516511"/>
    <w:rsid w:val="00525C17"/>
    <w:rsid w:val="0052785D"/>
    <w:rsid w:val="005302B3"/>
    <w:rsid w:val="00545E5F"/>
    <w:rsid w:val="0055631E"/>
    <w:rsid w:val="005564C9"/>
    <w:rsid w:val="00566D8E"/>
    <w:rsid w:val="00567703"/>
    <w:rsid w:val="00591146"/>
    <w:rsid w:val="0059213C"/>
    <w:rsid w:val="0059618C"/>
    <w:rsid w:val="005A2C7E"/>
    <w:rsid w:val="005A3722"/>
    <w:rsid w:val="005B0F03"/>
    <w:rsid w:val="005B3843"/>
    <w:rsid w:val="005B67CE"/>
    <w:rsid w:val="005C1B25"/>
    <w:rsid w:val="005C3DAD"/>
    <w:rsid w:val="005C4608"/>
    <w:rsid w:val="005C6FCE"/>
    <w:rsid w:val="005D14AB"/>
    <w:rsid w:val="005D3919"/>
    <w:rsid w:val="005D4CD3"/>
    <w:rsid w:val="005E1FA5"/>
    <w:rsid w:val="005E2D38"/>
    <w:rsid w:val="005E5E20"/>
    <w:rsid w:val="005E7A4A"/>
    <w:rsid w:val="005F3D29"/>
    <w:rsid w:val="005F4037"/>
    <w:rsid w:val="00600768"/>
    <w:rsid w:val="00600BDA"/>
    <w:rsid w:val="0060392B"/>
    <w:rsid w:val="00605A11"/>
    <w:rsid w:val="00607CF8"/>
    <w:rsid w:val="00610F77"/>
    <w:rsid w:val="00616940"/>
    <w:rsid w:val="00623D06"/>
    <w:rsid w:val="00633B9A"/>
    <w:rsid w:val="00633E1E"/>
    <w:rsid w:val="006354B0"/>
    <w:rsid w:val="0063646D"/>
    <w:rsid w:val="006422F0"/>
    <w:rsid w:val="00644AAC"/>
    <w:rsid w:val="00651395"/>
    <w:rsid w:val="00653FE0"/>
    <w:rsid w:val="006600F4"/>
    <w:rsid w:val="0066323B"/>
    <w:rsid w:val="00664CD8"/>
    <w:rsid w:val="006743C7"/>
    <w:rsid w:val="00677059"/>
    <w:rsid w:val="006828AC"/>
    <w:rsid w:val="00684C01"/>
    <w:rsid w:val="0069469E"/>
    <w:rsid w:val="006A22C6"/>
    <w:rsid w:val="006B06C0"/>
    <w:rsid w:val="006B1F3D"/>
    <w:rsid w:val="006B682F"/>
    <w:rsid w:val="006B7DE1"/>
    <w:rsid w:val="006C01CA"/>
    <w:rsid w:val="006C2733"/>
    <w:rsid w:val="006C535D"/>
    <w:rsid w:val="006D0C52"/>
    <w:rsid w:val="006D2EB8"/>
    <w:rsid w:val="006D6757"/>
    <w:rsid w:val="006D7212"/>
    <w:rsid w:val="006E19FA"/>
    <w:rsid w:val="006E524C"/>
    <w:rsid w:val="006F6753"/>
    <w:rsid w:val="007137A7"/>
    <w:rsid w:val="0071475C"/>
    <w:rsid w:val="007228B1"/>
    <w:rsid w:val="00722BA9"/>
    <w:rsid w:val="007239E6"/>
    <w:rsid w:val="00732BBF"/>
    <w:rsid w:val="0074008A"/>
    <w:rsid w:val="0074104A"/>
    <w:rsid w:val="007425DB"/>
    <w:rsid w:val="00750728"/>
    <w:rsid w:val="00750A54"/>
    <w:rsid w:val="007537EE"/>
    <w:rsid w:val="007543DE"/>
    <w:rsid w:val="007648E0"/>
    <w:rsid w:val="00767FA7"/>
    <w:rsid w:val="007705CA"/>
    <w:rsid w:val="00776243"/>
    <w:rsid w:val="007764D4"/>
    <w:rsid w:val="007774F2"/>
    <w:rsid w:val="00781FFE"/>
    <w:rsid w:val="00784667"/>
    <w:rsid w:val="00794806"/>
    <w:rsid w:val="00796E53"/>
    <w:rsid w:val="007A2F4B"/>
    <w:rsid w:val="007B5579"/>
    <w:rsid w:val="007B749D"/>
    <w:rsid w:val="007C549C"/>
    <w:rsid w:val="007C7D20"/>
    <w:rsid w:val="007D36C2"/>
    <w:rsid w:val="007D4245"/>
    <w:rsid w:val="007D4308"/>
    <w:rsid w:val="007E4284"/>
    <w:rsid w:val="007E6B2F"/>
    <w:rsid w:val="007F3BF7"/>
    <w:rsid w:val="007F3D36"/>
    <w:rsid w:val="00802A6F"/>
    <w:rsid w:val="00807D8B"/>
    <w:rsid w:val="00810EBD"/>
    <w:rsid w:val="0082274B"/>
    <w:rsid w:val="00822A16"/>
    <w:rsid w:val="0082569C"/>
    <w:rsid w:val="00830752"/>
    <w:rsid w:val="00831EE3"/>
    <w:rsid w:val="0083571C"/>
    <w:rsid w:val="008453D9"/>
    <w:rsid w:val="00845908"/>
    <w:rsid w:val="008477A5"/>
    <w:rsid w:val="00847CAA"/>
    <w:rsid w:val="00851C0B"/>
    <w:rsid w:val="00857315"/>
    <w:rsid w:val="008604D2"/>
    <w:rsid w:val="0086276F"/>
    <w:rsid w:val="008632D4"/>
    <w:rsid w:val="00864547"/>
    <w:rsid w:val="00872942"/>
    <w:rsid w:val="00883660"/>
    <w:rsid w:val="008836FA"/>
    <w:rsid w:val="0088375B"/>
    <w:rsid w:val="008851AE"/>
    <w:rsid w:val="00893143"/>
    <w:rsid w:val="008956CB"/>
    <w:rsid w:val="00897876"/>
    <w:rsid w:val="00897C17"/>
    <w:rsid w:val="008A05CA"/>
    <w:rsid w:val="008A2862"/>
    <w:rsid w:val="008A72C4"/>
    <w:rsid w:val="008B7FA1"/>
    <w:rsid w:val="008C1E0B"/>
    <w:rsid w:val="008C2F84"/>
    <w:rsid w:val="008C3EB7"/>
    <w:rsid w:val="008D1579"/>
    <w:rsid w:val="008D249C"/>
    <w:rsid w:val="008E58C7"/>
    <w:rsid w:val="008F1E2D"/>
    <w:rsid w:val="008F5DB5"/>
    <w:rsid w:val="009006E3"/>
    <w:rsid w:val="00905760"/>
    <w:rsid w:val="00922915"/>
    <w:rsid w:val="009259DA"/>
    <w:rsid w:val="009275DB"/>
    <w:rsid w:val="00941344"/>
    <w:rsid w:val="009436A7"/>
    <w:rsid w:val="00944479"/>
    <w:rsid w:val="00946A1E"/>
    <w:rsid w:val="0094744B"/>
    <w:rsid w:val="00952C00"/>
    <w:rsid w:val="00962495"/>
    <w:rsid w:val="00964E53"/>
    <w:rsid w:val="00980E29"/>
    <w:rsid w:val="00987789"/>
    <w:rsid w:val="00987FA3"/>
    <w:rsid w:val="00995DAB"/>
    <w:rsid w:val="009A0D57"/>
    <w:rsid w:val="009A6ADC"/>
    <w:rsid w:val="009B05DE"/>
    <w:rsid w:val="009C0C50"/>
    <w:rsid w:val="009C2ECF"/>
    <w:rsid w:val="009C48FF"/>
    <w:rsid w:val="009C64EB"/>
    <w:rsid w:val="009D1F27"/>
    <w:rsid w:val="009D36AC"/>
    <w:rsid w:val="009D5E95"/>
    <w:rsid w:val="009E0477"/>
    <w:rsid w:val="009E46A6"/>
    <w:rsid w:val="009F021A"/>
    <w:rsid w:val="009F0518"/>
    <w:rsid w:val="009F0D89"/>
    <w:rsid w:val="009F74AF"/>
    <w:rsid w:val="00A02815"/>
    <w:rsid w:val="00A046D9"/>
    <w:rsid w:val="00A21ACE"/>
    <w:rsid w:val="00A23627"/>
    <w:rsid w:val="00A27748"/>
    <w:rsid w:val="00A3173C"/>
    <w:rsid w:val="00A37DA8"/>
    <w:rsid w:val="00A47A96"/>
    <w:rsid w:val="00A510F9"/>
    <w:rsid w:val="00A51116"/>
    <w:rsid w:val="00A51B66"/>
    <w:rsid w:val="00A53379"/>
    <w:rsid w:val="00A551C0"/>
    <w:rsid w:val="00A5718B"/>
    <w:rsid w:val="00A62AD1"/>
    <w:rsid w:val="00A63DF4"/>
    <w:rsid w:val="00A66781"/>
    <w:rsid w:val="00A71943"/>
    <w:rsid w:val="00A7197B"/>
    <w:rsid w:val="00A725B8"/>
    <w:rsid w:val="00AB2939"/>
    <w:rsid w:val="00AB34AC"/>
    <w:rsid w:val="00AC3B3E"/>
    <w:rsid w:val="00AC64E2"/>
    <w:rsid w:val="00AC7EA0"/>
    <w:rsid w:val="00AD01B1"/>
    <w:rsid w:val="00AD539C"/>
    <w:rsid w:val="00AD6985"/>
    <w:rsid w:val="00AE11D4"/>
    <w:rsid w:val="00AE49B2"/>
    <w:rsid w:val="00AE4B8F"/>
    <w:rsid w:val="00AF0CF3"/>
    <w:rsid w:val="00AF3501"/>
    <w:rsid w:val="00AF4069"/>
    <w:rsid w:val="00AF4771"/>
    <w:rsid w:val="00AF5327"/>
    <w:rsid w:val="00AF7099"/>
    <w:rsid w:val="00B01FAE"/>
    <w:rsid w:val="00B02BEB"/>
    <w:rsid w:val="00B0327B"/>
    <w:rsid w:val="00B10141"/>
    <w:rsid w:val="00B101FD"/>
    <w:rsid w:val="00B1020F"/>
    <w:rsid w:val="00B1075F"/>
    <w:rsid w:val="00B11915"/>
    <w:rsid w:val="00B1446C"/>
    <w:rsid w:val="00B16F82"/>
    <w:rsid w:val="00B20847"/>
    <w:rsid w:val="00B23DA2"/>
    <w:rsid w:val="00B2416F"/>
    <w:rsid w:val="00B312A4"/>
    <w:rsid w:val="00B40336"/>
    <w:rsid w:val="00B457E7"/>
    <w:rsid w:val="00B46373"/>
    <w:rsid w:val="00B464FD"/>
    <w:rsid w:val="00B46B03"/>
    <w:rsid w:val="00B47B1E"/>
    <w:rsid w:val="00B47F8E"/>
    <w:rsid w:val="00B50B40"/>
    <w:rsid w:val="00B5313A"/>
    <w:rsid w:val="00B638E2"/>
    <w:rsid w:val="00B64B28"/>
    <w:rsid w:val="00B7027F"/>
    <w:rsid w:val="00B7281C"/>
    <w:rsid w:val="00B7332C"/>
    <w:rsid w:val="00B74658"/>
    <w:rsid w:val="00B77092"/>
    <w:rsid w:val="00B87D99"/>
    <w:rsid w:val="00B928C9"/>
    <w:rsid w:val="00B9297A"/>
    <w:rsid w:val="00B9417C"/>
    <w:rsid w:val="00B95A57"/>
    <w:rsid w:val="00BA09D0"/>
    <w:rsid w:val="00BA146E"/>
    <w:rsid w:val="00BA219C"/>
    <w:rsid w:val="00BB3F98"/>
    <w:rsid w:val="00BB44CC"/>
    <w:rsid w:val="00BB6582"/>
    <w:rsid w:val="00BC3D43"/>
    <w:rsid w:val="00BC742B"/>
    <w:rsid w:val="00BD04FD"/>
    <w:rsid w:val="00BD0693"/>
    <w:rsid w:val="00BE0981"/>
    <w:rsid w:val="00BE1D6B"/>
    <w:rsid w:val="00BE3AD2"/>
    <w:rsid w:val="00BF059B"/>
    <w:rsid w:val="00BF0A74"/>
    <w:rsid w:val="00BF444F"/>
    <w:rsid w:val="00BF54B3"/>
    <w:rsid w:val="00BF54EA"/>
    <w:rsid w:val="00BF58FF"/>
    <w:rsid w:val="00BF789F"/>
    <w:rsid w:val="00C04143"/>
    <w:rsid w:val="00C04941"/>
    <w:rsid w:val="00C05EFC"/>
    <w:rsid w:val="00C06426"/>
    <w:rsid w:val="00C0643E"/>
    <w:rsid w:val="00C06C3D"/>
    <w:rsid w:val="00C10022"/>
    <w:rsid w:val="00C10883"/>
    <w:rsid w:val="00C16C38"/>
    <w:rsid w:val="00C1706D"/>
    <w:rsid w:val="00C17AC7"/>
    <w:rsid w:val="00C30CE6"/>
    <w:rsid w:val="00C35836"/>
    <w:rsid w:val="00C40BFB"/>
    <w:rsid w:val="00C41A6B"/>
    <w:rsid w:val="00C43AF6"/>
    <w:rsid w:val="00C502BA"/>
    <w:rsid w:val="00C61924"/>
    <w:rsid w:val="00C72B12"/>
    <w:rsid w:val="00C77C5D"/>
    <w:rsid w:val="00C845B1"/>
    <w:rsid w:val="00C857A5"/>
    <w:rsid w:val="00C85D47"/>
    <w:rsid w:val="00C909CF"/>
    <w:rsid w:val="00C91474"/>
    <w:rsid w:val="00C93270"/>
    <w:rsid w:val="00C93808"/>
    <w:rsid w:val="00C95B8F"/>
    <w:rsid w:val="00C95FB0"/>
    <w:rsid w:val="00C96E78"/>
    <w:rsid w:val="00CA1DD9"/>
    <w:rsid w:val="00CA287A"/>
    <w:rsid w:val="00CA4112"/>
    <w:rsid w:val="00CB3576"/>
    <w:rsid w:val="00CB72CB"/>
    <w:rsid w:val="00CC4986"/>
    <w:rsid w:val="00CC4D9C"/>
    <w:rsid w:val="00CC56F0"/>
    <w:rsid w:val="00CC72AA"/>
    <w:rsid w:val="00CD3B84"/>
    <w:rsid w:val="00CE20E1"/>
    <w:rsid w:val="00CF0C0A"/>
    <w:rsid w:val="00CF3610"/>
    <w:rsid w:val="00CF3BBF"/>
    <w:rsid w:val="00D025B0"/>
    <w:rsid w:val="00D133A5"/>
    <w:rsid w:val="00D21DB1"/>
    <w:rsid w:val="00D25828"/>
    <w:rsid w:val="00D25922"/>
    <w:rsid w:val="00D31CA2"/>
    <w:rsid w:val="00D41981"/>
    <w:rsid w:val="00D539D7"/>
    <w:rsid w:val="00D55864"/>
    <w:rsid w:val="00D57C49"/>
    <w:rsid w:val="00D60BF7"/>
    <w:rsid w:val="00D6685A"/>
    <w:rsid w:val="00D673B7"/>
    <w:rsid w:val="00D70A8A"/>
    <w:rsid w:val="00D73830"/>
    <w:rsid w:val="00D74197"/>
    <w:rsid w:val="00D80E57"/>
    <w:rsid w:val="00D8783A"/>
    <w:rsid w:val="00D91D94"/>
    <w:rsid w:val="00D96008"/>
    <w:rsid w:val="00D96974"/>
    <w:rsid w:val="00DB4EB6"/>
    <w:rsid w:val="00DB5EDD"/>
    <w:rsid w:val="00DC37CD"/>
    <w:rsid w:val="00DC7588"/>
    <w:rsid w:val="00DD23F0"/>
    <w:rsid w:val="00DD2B82"/>
    <w:rsid w:val="00DE34E4"/>
    <w:rsid w:val="00DE40C8"/>
    <w:rsid w:val="00E009C0"/>
    <w:rsid w:val="00E07315"/>
    <w:rsid w:val="00E101B3"/>
    <w:rsid w:val="00E10610"/>
    <w:rsid w:val="00E10E30"/>
    <w:rsid w:val="00E1271B"/>
    <w:rsid w:val="00E170E9"/>
    <w:rsid w:val="00E247D4"/>
    <w:rsid w:val="00E37C47"/>
    <w:rsid w:val="00E42AAF"/>
    <w:rsid w:val="00E4672C"/>
    <w:rsid w:val="00E50B04"/>
    <w:rsid w:val="00E560AD"/>
    <w:rsid w:val="00E57C67"/>
    <w:rsid w:val="00E70502"/>
    <w:rsid w:val="00E82D63"/>
    <w:rsid w:val="00E97F2D"/>
    <w:rsid w:val="00EA0A96"/>
    <w:rsid w:val="00EA51C9"/>
    <w:rsid w:val="00EA57BF"/>
    <w:rsid w:val="00EA5A52"/>
    <w:rsid w:val="00EC4CCF"/>
    <w:rsid w:val="00ED08A9"/>
    <w:rsid w:val="00ED37ED"/>
    <w:rsid w:val="00ED6476"/>
    <w:rsid w:val="00EF21CE"/>
    <w:rsid w:val="00EF2650"/>
    <w:rsid w:val="00EF56D4"/>
    <w:rsid w:val="00EF5CB0"/>
    <w:rsid w:val="00EF73DC"/>
    <w:rsid w:val="00F02B07"/>
    <w:rsid w:val="00F02BB1"/>
    <w:rsid w:val="00F05044"/>
    <w:rsid w:val="00F11C46"/>
    <w:rsid w:val="00F13B16"/>
    <w:rsid w:val="00F14B35"/>
    <w:rsid w:val="00F14D9D"/>
    <w:rsid w:val="00F24DEA"/>
    <w:rsid w:val="00F30B44"/>
    <w:rsid w:val="00F43DB1"/>
    <w:rsid w:val="00F46635"/>
    <w:rsid w:val="00F5031F"/>
    <w:rsid w:val="00F50FBB"/>
    <w:rsid w:val="00F5236F"/>
    <w:rsid w:val="00F64567"/>
    <w:rsid w:val="00F70910"/>
    <w:rsid w:val="00F774BE"/>
    <w:rsid w:val="00F77D71"/>
    <w:rsid w:val="00F81F9D"/>
    <w:rsid w:val="00F854A3"/>
    <w:rsid w:val="00F94C3D"/>
    <w:rsid w:val="00F9613D"/>
    <w:rsid w:val="00FA57DE"/>
    <w:rsid w:val="00FA77DF"/>
    <w:rsid w:val="00FB1165"/>
    <w:rsid w:val="00FB3255"/>
    <w:rsid w:val="00FB6FD6"/>
    <w:rsid w:val="00FC7FDC"/>
    <w:rsid w:val="00FD6B6A"/>
    <w:rsid w:val="00FE00BF"/>
    <w:rsid w:val="00FE16FC"/>
    <w:rsid w:val="00FE37E0"/>
    <w:rsid w:val="00FE47CE"/>
    <w:rsid w:val="00FE68E1"/>
    <w:rsid w:val="00FF4399"/>
    <w:rsid w:val="00FF6CA8"/>
    <w:rsid w:val="00FF7E56"/>
    <w:rsid w:val="04022584"/>
    <w:rsid w:val="05867289"/>
    <w:rsid w:val="08E47714"/>
    <w:rsid w:val="0C451C45"/>
    <w:rsid w:val="0CC14254"/>
    <w:rsid w:val="0DAE6209"/>
    <w:rsid w:val="10271921"/>
    <w:rsid w:val="19093BB1"/>
    <w:rsid w:val="1EAB352B"/>
    <w:rsid w:val="210E1B4B"/>
    <w:rsid w:val="23D77898"/>
    <w:rsid w:val="23E82913"/>
    <w:rsid w:val="260169D5"/>
    <w:rsid w:val="27ED610A"/>
    <w:rsid w:val="297B2847"/>
    <w:rsid w:val="29CB3BF8"/>
    <w:rsid w:val="2F036140"/>
    <w:rsid w:val="2F662789"/>
    <w:rsid w:val="2FEC6148"/>
    <w:rsid w:val="30A508CF"/>
    <w:rsid w:val="311D30B1"/>
    <w:rsid w:val="31D01368"/>
    <w:rsid w:val="350C7C92"/>
    <w:rsid w:val="361C5AD4"/>
    <w:rsid w:val="36B03E02"/>
    <w:rsid w:val="36FA3051"/>
    <w:rsid w:val="37CE60C1"/>
    <w:rsid w:val="39901727"/>
    <w:rsid w:val="3A0C22A9"/>
    <w:rsid w:val="3B630FB0"/>
    <w:rsid w:val="3B707E51"/>
    <w:rsid w:val="3F007CBD"/>
    <w:rsid w:val="42C71028"/>
    <w:rsid w:val="43293F6C"/>
    <w:rsid w:val="446B50EA"/>
    <w:rsid w:val="48CB414A"/>
    <w:rsid w:val="4A8D1018"/>
    <w:rsid w:val="4C456C68"/>
    <w:rsid w:val="508326AB"/>
    <w:rsid w:val="50B63D9D"/>
    <w:rsid w:val="538B622B"/>
    <w:rsid w:val="581509B1"/>
    <w:rsid w:val="5986218E"/>
    <w:rsid w:val="59F832C8"/>
    <w:rsid w:val="5A0D5B4B"/>
    <w:rsid w:val="5A8B28F1"/>
    <w:rsid w:val="5B350C9F"/>
    <w:rsid w:val="5B9A2073"/>
    <w:rsid w:val="5E133473"/>
    <w:rsid w:val="61E00E14"/>
    <w:rsid w:val="62340912"/>
    <w:rsid w:val="64164115"/>
    <w:rsid w:val="64800F51"/>
    <w:rsid w:val="68891EF2"/>
    <w:rsid w:val="68D8170E"/>
    <w:rsid w:val="6EF1453D"/>
    <w:rsid w:val="74CA1B97"/>
    <w:rsid w:val="7566534B"/>
    <w:rsid w:val="75D80296"/>
    <w:rsid w:val="77623701"/>
    <w:rsid w:val="7D4A5369"/>
    <w:rsid w:val="7FCE1B4F"/>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o:shapelayout v:ext="edit">
      <o:rules v:ext="edit">
        <o:r id="V:Rule1" type="connector" idref="#Straight Connector 153"/>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39" w:semiHidden="0" w:name="toc 1"/>
    <w:lsdException w:unhideWhenUsed="0" w:uiPriority="39" w:semiHidden="0" w:name="toc 2"/>
    <w:lsdException w:uiPriority="39" w:semiHidden="0" w:name="toc 3" w:locked="1"/>
    <w:lsdException w:uiPriority="39" w:semiHidden="0" w:name="toc 4" w:locked="1"/>
    <w:lsdException w:uiPriority="39" w:semiHidden="0" w:name="toc 5" w:locked="1"/>
    <w:lsdException w:uiPriority="39" w:semiHidden="0" w:name="toc 6" w:locked="1"/>
    <w:lsdException w:uiPriority="39" w:semiHidden="0" w:name="toc 7" w:locked="1"/>
    <w:lsdException w:uiPriority="39" w:semiHidden="0" w:name="toc 8" w:locked="1"/>
    <w:lsdException w:uiPriority="39" w:semiHidden="0" w:name="toc 9" w:locked="1"/>
    <w:lsdException w:qFormat="1" w:unhideWhenUsed="0" w:uiPriority="0" w:semiHidden="0" w:name="Normal Indent"/>
    <w:lsdException w:uiPriority="0" w:name="footnote text"/>
    <w:lsdException w:unhideWhenUsed="0" w:uiPriority="99"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iPriority="99"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nhideWhenUsed="0" w:uiPriority="99" w:semiHidden="0" w:name="Body Text"/>
    <w:lsdException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name="Balloon Text"/>
    <w:lsdException w:qFormat="1"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ahoma"/>
      <w:sz w:val="21"/>
      <w:szCs w:val="21"/>
      <w:lang w:val="en-US" w:eastAsia="zh-CN" w:bidi="ar-SA"/>
    </w:rPr>
  </w:style>
  <w:style w:type="paragraph" w:styleId="4">
    <w:name w:val="heading 1"/>
    <w:basedOn w:val="1"/>
    <w:next w:val="1"/>
    <w:link w:val="50"/>
    <w:qFormat/>
    <w:uiPriority w:val="99"/>
    <w:pPr>
      <w:keepNext/>
      <w:keepLines/>
      <w:outlineLvl w:val="0"/>
    </w:pPr>
    <w:rPr>
      <w:b/>
      <w:bCs/>
      <w:kern w:val="44"/>
      <w:sz w:val="24"/>
      <w:szCs w:val="24"/>
    </w:rPr>
  </w:style>
  <w:style w:type="paragraph" w:styleId="5">
    <w:name w:val="heading 2"/>
    <w:basedOn w:val="1"/>
    <w:next w:val="1"/>
    <w:link w:val="65"/>
    <w:unhideWhenUsed/>
    <w:qFormat/>
    <w:locked/>
    <w:uiPriority w:val="0"/>
    <w:pPr>
      <w:keepNext/>
      <w:keepLines/>
      <w:spacing w:line="240" w:lineRule="auto"/>
      <w:outlineLvl w:val="1"/>
    </w:pPr>
    <w:rPr>
      <w:rFonts w:ascii="Cambria" w:hAnsi="Cambria" w:cs="Times New Roman"/>
      <w:b/>
      <w:bCs/>
      <w:sz w:val="28"/>
      <w:szCs w:val="32"/>
    </w:rPr>
  </w:style>
  <w:style w:type="character" w:default="1" w:styleId="23">
    <w:name w:val="Default Paragraph Font"/>
    <w:unhideWhenUsed/>
    <w:uiPriority w:val="1"/>
  </w:style>
  <w:style w:type="table" w:default="1" w:styleId="27">
    <w:name w:val="Normal Table"/>
    <w:unhideWhenUsed/>
    <w:uiPriority w:val="99"/>
    <w:tblPr>
      <w:tblStyle w:val="27"/>
      <w:tblLayout w:type="fixed"/>
      <w:tblCellMar>
        <w:top w:w="0" w:type="dxa"/>
        <w:left w:w="108" w:type="dxa"/>
        <w:bottom w:w="0" w:type="dxa"/>
        <w:right w:w="108" w:type="dxa"/>
      </w:tblCellMar>
    </w:tblPr>
    <w:tcPr>
      <w:textDirection w:val="lrTb"/>
    </w:tcPr>
  </w:style>
  <w:style w:type="paragraph" w:styleId="2">
    <w:name w:val="Body Text First Indent"/>
    <w:basedOn w:val="3"/>
    <w:link w:val="52"/>
    <w:uiPriority w:val="99"/>
    <w:pPr>
      <w:topLinePunct w:val="1"/>
      <w:spacing w:line="300" w:lineRule="exact"/>
      <w:textAlignment w:val="baseline"/>
    </w:pPr>
  </w:style>
  <w:style w:type="paragraph" w:styleId="3">
    <w:name w:val="Body Text"/>
    <w:basedOn w:val="1"/>
    <w:next w:val="1"/>
    <w:link w:val="51"/>
    <w:uiPriority w:val="99"/>
    <w:pPr>
      <w:spacing w:beforeLines="50"/>
      <w:jc w:val="center"/>
    </w:pPr>
    <w:rPr>
      <w:rFonts w:eastAsia="黑体"/>
      <w:spacing w:val="28"/>
    </w:rPr>
  </w:style>
  <w:style w:type="paragraph" w:styleId="6">
    <w:name w:val="annotation subject"/>
    <w:basedOn w:val="7"/>
    <w:next w:val="7"/>
    <w:link w:val="59"/>
    <w:semiHidden/>
    <w:uiPriority w:val="99"/>
    <w:pPr>
      <w:widowControl w:val="0"/>
      <w:snapToGrid/>
      <w:spacing w:beforeLines="50" w:line="480" w:lineRule="exact"/>
      <w:jc w:val="center"/>
    </w:pPr>
    <w:rPr>
      <w:rFonts w:ascii="Times New Roman" w:hAnsi="Times New Roman" w:eastAsia="黑体" w:cs="Times New Roman"/>
    </w:rPr>
  </w:style>
  <w:style w:type="paragraph" w:styleId="7">
    <w:name w:val="annotation text"/>
    <w:basedOn w:val="1"/>
    <w:link w:val="53"/>
    <w:semiHidden/>
    <w:uiPriority w:val="99"/>
  </w:style>
  <w:style w:type="paragraph" w:styleId="8">
    <w:name w:val="toc 7"/>
    <w:basedOn w:val="1"/>
    <w:next w:val="1"/>
    <w:unhideWhenUsed/>
    <w:locked/>
    <w:uiPriority w:val="39"/>
    <w:pPr>
      <w:widowControl w:val="0"/>
      <w:adjustRightInd/>
      <w:snapToGrid/>
      <w:spacing w:line="240" w:lineRule="auto"/>
      <w:ind w:left="2520" w:leftChars="1200"/>
      <w:jc w:val="both"/>
    </w:pPr>
    <w:rPr>
      <w:rFonts w:ascii="等线" w:hAnsi="等线" w:eastAsia="等线" w:cs="Times New Roman"/>
      <w:kern w:val="2"/>
      <w:szCs w:val="22"/>
    </w:rPr>
  </w:style>
  <w:style w:type="paragraph" w:styleId="9">
    <w:name w:val="Normal Indent"/>
    <w:basedOn w:val="1"/>
    <w:next w:val="1"/>
    <w:link w:val="60"/>
    <w:qFormat/>
    <w:uiPriority w:val="0"/>
    <w:pPr>
      <w:widowControl w:val="0"/>
      <w:kinsoku w:val="0"/>
      <w:overflowPunct w:val="0"/>
      <w:topLinePunct w:val="1"/>
      <w:spacing w:line="300" w:lineRule="exact"/>
      <w:jc w:val="center"/>
    </w:pPr>
    <w:rPr>
      <w:rFonts w:ascii="Calibri" w:hAnsi="Calibri" w:cs="Calibri"/>
      <w:sz w:val="20"/>
      <w:szCs w:val="20"/>
    </w:rPr>
  </w:style>
  <w:style w:type="paragraph" w:styleId="10">
    <w:name w:val="Body Text Indent"/>
    <w:basedOn w:val="1"/>
    <w:link w:val="54"/>
    <w:uiPriority w:val="99"/>
    <w:pPr>
      <w:spacing w:line="500" w:lineRule="exact"/>
      <w:ind w:firstLine="420"/>
    </w:pPr>
    <w:rPr>
      <w:rFonts w:eastAsia="微软雅黑"/>
      <w:sz w:val="28"/>
      <w:szCs w:val="28"/>
    </w:rPr>
  </w:style>
  <w:style w:type="paragraph" w:styleId="11">
    <w:name w:val="toc 5"/>
    <w:basedOn w:val="1"/>
    <w:next w:val="1"/>
    <w:unhideWhenUsed/>
    <w:locked/>
    <w:uiPriority w:val="39"/>
    <w:pPr>
      <w:widowControl w:val="0"/>
      <w:adjustRightInd/>
      <w:snapToGrid/>
      <w:spacing w:line="240" w:lineRule="auto"/>
      <w:ind w:left="1680" w:leftChars="800"/>
      <w:jc w:val="both"/>
    </w:pPr>
    <w:rPr>
      <w:rFonts w:ascii="等线" w:hAnsi="等线" w:eastAsia="等线" w:cs="Times New Roman"/>
      <w:kern w:val="2"/>
      <w:szCs w:val="22"/>
    </w:rPr>
  </w:style>
  <w:style w:type="paragraph" w:styleId="12">
    <w:name w:val="toc 3"/>
    <w:basedOn w:val="1"/>
    <w:next w:val="1"/>
    <w:unhideWhenUsed/>
    <w:locked/>
    <w:uiPriority w:val="39"/>
    <w:pPr>
      <w:ind w:left="840" w:leftChars="400"/>
    </w:pPr>
  </w:style>
  <w:style w:type="paragraph" w:styleId="13">
    <w:name w:val="Plain Text"/>
    <w:basedOn w:val="1"/>
    <w:link w:val="55"/>
    <w:uiPriority w:val="99"/>
    <w:pPr>
      <w:adjustRightInd/>
    </w:pPr>
    <w:rPr>
      <w:rFonts w:ascii="宋体" w:hAnsi="Courier New" w:cs="宋体"/>
      <w:sz w:val="20"/>
      <w:szCs w:val="20"/>
    </w:rPr>
  </w:style>
  <w:style w:type="paragraph" w:styleId="14">
    <w:name w:val="toc 8"/>
    <w:basedOn w:val="1"/>
    <w:next w:val="1"/>
    <w:unhideWhenUsed/>
    <w:locked/>
    <w:uiPriority w:val="39"/>
    <w:pPr>
      <w:widowControl w:val="0"/>
      <w:adjustRightInd/>
      <w:snapToGrid/>
      <w:spacing w:line="240" w:lineRule="auto"/>
      <w:ind w:left="2940" w:leftChars="1400"/>
      <w:jc w:val="both"/>
    </w:pPr>
    <w:rPr>
      <w:rFonts w:ascii="等线" w:hAnsi="等线" w:eastAsia="等线" w:cs="Times New Roman"/>
      <w:kern w:val="2"/>
      <w:szCs w:val="22"/>
    </w:rPr>
  </w:style>
  <w:style w:type="paragraph" w:styleId="15">
    <w:name w:val="Balloon Text"/>
    <w:basedOn w:val="1"/>
    <w:link w:val="56"/>
    <w:semiHidden/>
    <w:uiPriority w:val="99"/>
    <w:rPr>
      <w:sz w:val="18"/>
      <w:szCs w:val="18"/>
    </w:rPr>
  </w:style>
  <w:style w:type="paragraph" w:styleId="16">
    <w:name w:val="footer"/>
    <w:basedOn w:val="1"/>
    <w:link w:val="57"/>
    <w:uiPriority w:val="99"/>
    <w:pPr>
      <w:widowControl w:val="0"/>
      <w:tabs>
        <w:tab w:val="center" w:pos="4153"/>
        <w:tab w:val="right" w:pos="8306"/>
      </w:tabs>
      <w:adjustRightInd/>
    </w:pPr>
    <w:rPr>
      <w:rFonts w:ascii="Calibri" w:hAnsi="Calibri" w:cs="Calibri"/>
      <w:kern w:val="2"/>
      <w:sz w:val="18"/>
      <w:szCs w:val="18"/>
    </w:rPr>
  </w:style>
  <w:style w:type="paragraph" w:styleId="17">
    <w:name w:val="header"/>
    <w:basedOn w:val="1"/>
    <w:link w:val="58"/>
    <w:uiPriority w:val="99"/>
    <w:pPr>
      <w:widowControl w:val="0"/>
      <w:pBdr>
        <w:bottom w:val="single" w:color="auto" w:sz="6" w:space="1"/>
      </w:pBdr>
      <w:tabs>
        <w:tab w:val="center" w:pos="4153"/>
        <w:tab w:val="right" w:pos="8306"/>
      </w:tabs>
      <w:adjustRightInd/>
      <w:jc w:val="center"/>
    </w:pPr>
    <w:rPr>
      <w:rFonts w:ascii="Calibri" w:hAnsi="Calibri" w:cs="Calibri"/>
      <w:kern w:val="2"/>
      <w:sz w:val="18"/>
      <w:szCs w:val="18"/>
    </w:rPr>
  </w:style>
  <w:style w:type="paragraph" w:styleId="18">
    <w:name w:val="toc 1"/>
    <w:basedOn w:val="1"/>
    <w:next w:val="1"/>
    <w:uiPriority w:val="39"/>
    <w:pPr>
      <w:widowControl w:val="0"/>
      <w:adjustRightInd/>
      <w:snapToGrid/>
      <w:jc w:val="both"/>
    </w:pPr>
    <w:rPr>
      <w:rFonts w:ascii="Calibri" w:hAnsi="Calibri" w:cs="Calibri"/>
      <w:kern w:val="2"/>
    </w:rPr>
  </w:style>
  <w:style w:type="paragraph" w:styleId="19">
    <w:name w:val="toc 4"/>
    <w:basedOn w:val="1"/>
    <w:next w:val="1"/>
    <w:unhideWhenUsed/>
    <w:locked/>
    <w:uiPriority w:val="39"/>
    <w:pPr>
      <w:widowControl w:val="0"/>
      <w:adjustRightInd/>
      <w:snapToGrid/>
      <w:spacing w:line="240" w:lineRule="auto"/>
      <w:ind w:left="1260" w:leftChars="600"/>
      <w:jc w:val="both"/>
    </w:pPr>
    <w:rPr>
      <w:rFonts w:ascii="等线" w:hAnsi="等线" w:eastAsia="等线" w:cs="Times New Roman"/>
      <w:kern w:val="2"/>
      <w:szCs w:val="22"/>
    </w:rPr>
  </w:style>
  <w:style w:type="paragraph" w:styleId="20">
    <w:name w:val="toc 6"/>
    <w:basedOn w:val="1"/>
    <w:next w:val="1"/>
    <w:unhideWhenUsed/>
    <w:locked/>
    <w:uiPriority w:val="39"/>
    <w:pPr>
      <w:widowControl w:val="0"/>
      <w:adjustRightInd/>
      <w:snapToGrid/>
      <w:spacing w:line="240" w:lineRule="auto"/>
      <w:ind w:left="2100" w:leftChars="1000"/>
      <w:jc w:val="both"/>
    </w:pPr>
    <w:rPr>
      <w:rFonts w:ascii="等线" w:hAnsi="等线" w:eastAsia="等线" w:cs="Times New Roman"/>
      <w:kern w:val="2"/>
      <w:szCs w:val="22"/>
    </w:rPr>
  </w:style>
  <w:style w:type="paragraph" w:styleId="21">
    <w:name w:val="toc 2"/>
    <w:basedOn w:val="1"/>
    <w:next w:val="1"/>
    <w:uiPriority w:val="39"/>
    <w:pPr>
      <w:ind w:left="420" w:leftChars="200"/>
    </w:pPr>
  </w:style>
  <w:style w:type="paragraph" w:styleId="22">
    <w:name w:val="toc 9"/>
    <w:basedOn w:val="1"/>
    <w:next w:val="1"/>
    <w:unhideWhenUsed/>
    <w:locked/>
    <w:uiPriority w:val="39"/>
    <w:pPr>
      <w:widowControl w:val="0"/>
      <w:adjustRightInd/>
      <w:snapToGrid/>
      <w:spacing w:line="240" w:lineRule="auto"/>
      <w:ind w:left="3360" w:leftChars="1600"/>
      <w:jc w:val="both"/>
    </w:pPr>
    <w:rPr>
      <w:rFonts w:ascii="等线" w:hAnsi="等线" w:eastAsia="等线" w:cs="Times New Roman"/>
      <w:kern w:val="2"/>
      <w:szCs w:val="22"/>
    </w:rPr>
  </w:style>
  <w:style w:type="character" w:styleId="24">
    <w:name w:val="page number"/>
    <w:basedOn w:val="23"/>
    <w:uiPriority w:val="99"/>
    <w:rPr/>
  </w:style>
  <w:style w:type="character" w:styleId="25">
    <w:name w:val="Hyperlink"/>
    <w:uiPriority w:val="99"/>
    <w:rPr>
      <w:color w:val="0000FF"/>
      <w:u w:val="single"/>
    </w:rPr>
  </w:style>
  <w:style w:type="character" w:styleId="26">
    <w:name w:val="annotation reference"/>
    <w:unhideWhenUsed/>
    <w:uiPriority w:val="99"/>
    <w:rPr>
      <w:sz w:val="21"/>
      <w:szCs w:val="21"/>
    </w:rPr>
  </w:style>
  <w:style w:type="table" w:styleId="28">
    <w:name w:val="Table Grid"/>
    <w:basedOn w:val="27"/>
    <w:qFormat/>
    <w:uiPriority w:val="59"/>
    <w:pPr/>
    <w:rPr>
      <w:rFonts w:cs="Calibri"/>
    </w:rPr>
    <w:tblPr>
      <w:tblStyle w:val="2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9">
    <w:name w:val="Table Theme"/>
    <w:basedOn w:val="27"/>
    <w:uiPriority w:val="99"/>
    <w:pPr>
      <w:widowControl w:val="0"/>
      <w:jc w:val="both"/>
    </w:pPr>
    <w:rPr>
      <w:rFonts w:cs="Calibri"/>
    </w:rPr>
    <w:tblPr>
      <w:tblStyle w:val="27"/>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30">
    <w:name w:val="List Paragraph"/>
    <w:basedOn w:val="1"/>
    <w:qFormat/>
    <w:uiPriority w:val="34"/>
    <w:pPr>
      <w:widowControl w:val="0"/>
      <w:adjustRightInd/>
      <w:snapToGrid/>
      <w:ind w:firstLine="420" w:firstLineChars="200"/>
      <w:jc w:val="both"/>
    </w:pPr>
    <w:rPr>
      <w:rFonts w:ascii="Times New Roman" w:hAnsi="Times New Roman" w:cs="Times New Roman"/>
      <w:kern w:val="2"/>
    </w:rPr>
  </w:style>
  <w:style w:type="paragraph" w:customStyle="1" w:styleId="31">
    <w:name w:val="普通(网站)1"/>
    <w:basedOn w:val="1"/>
    <w:uiPriority w:val="99"/>
    <w:pPr>
      <w:adjustRightInd/>
      <w:snapToGrid/>
      <w:spacing w:before="100" w:beforeAutospacing="1" w:after="100" w:afterAutospacing="1"/>
    </w:pPr>
    <w:rPr>
      <w:rFonts w:ascii="宋体" w:hAnsi="宋体" w:cs="宋体"/>
    </w:rPr>
  </w:style>
  <w:style w:type="paragraph" w:customStyle="1" w:styleId="32">
    <w:name w:val="正文_0"/>
    <w:uiPriority w:val="99"/>
    <w:pPr>
      <w:widowControl w:val="0"/>
      <w:jc w:val="both"/>
    </w:pPr>
    <w:rPr>
      <w:rFonts w:ascii="Calibri" w:hAnsi="Calibri" w:eastAsia="宋体" w:cs="Calibri"/>
      <w:kern w:val="2"/>
      <w:sz w:val="21"/>
      <w:szCs w:val="21"/>
      <w:lang w:val="en-US" w:eastAsia="zh-CN" w:bidi="ar-SA"/>
    </w:rPr>
  </w:style>
  <w:style w:type="paragraph" w:customStyle="1" w:styleId="33">
    <w:name w:val="p0"/>
    <w:basedOn w:val="1"/>
    <w:uiPriority w:val="99"/>
    <w:pPr>
      <w:adjustRightInd/>
      <w:snapToGrid/>
    </w:pPr>
    <w:rPr>
      <w:rFonts w:ascii="Calibri" w:hAnsi="Calibri" w:cs="Calibri"/>
    </w:rPr>
  </w:style>
  <w:style w:type="paragraph" w:customStyle="1" w:styleId="34">
    <w:name w:val="表头"/>
    <w:basedOn w:val="1"/>
    <w:next w:val="1"/>
    <w:link w:val="61"/>
    <w:uiPriority w:val="99"/>
    <w:pPr>
      <w:widowControl w:val="0"/>
      <w:tabs>
        <w:tab w:val="left" w:pos="2760"/>
      </w:tabs>
      <w:jc w:val="center"/>
    </w:pPr>
    <w:rPr>
      <w:rFonts w:ascii="Calibri" w:hAnsi="Calibri" w:cs="Calibri"/>
      <w:b/>
      <w:bCs/>
    </w:rPr>
  </w:style>
  <w:style w:type="paragraph" w:customStyle="1" w:styleId="35">
    <w:name w:val="表格"/>
    <w:basedOn w:val="1"/>
    <w:uiPriority w:val="99"/>
    <w:pPr>
      <w:widowControl w:val="0"/>
      <w:adjustRightInd/>
      <w:snapToGrid/>
      <w:jc w:val="center"/>
    </w:pPr>
    <w:rPr>
      <w:rFonts w:ascii="Times New Roman" w:hAnsi="Times New Roman" w:cs="Times New Roman"/>
      <w:kern w:val="2"/>
    </w:rPr>
  </w:style>
  <w:style w:type="paragraph" w:customStyle="1" w:styleId="36">
    <w:name w:val="验收监测表 标题（左对齐）"/>
    <w:basedOn w:val="1"/>
    <w:uiPriority w:val="99"/>
    <w:pPr>
      <w:tabs>
        <w:tab w:val="left" w:pos="2760"/>
      </w:tabs>
      <w:spacing w:line="440" w:lineRule="atLeast"/>
      <w:ind w:firstLine="200" w:firstLineChars="200"/>
    </w:pPr>
    <w:rPr>
      <w:rFonts w:ascii="Calibri" w:hAnsi="Calibri" w:cs="Calibri"/>
    </w:rPr>
  </w:style>
  <w:style w:type="paragraph" w:customStyle="1" w:styleId="37">
    <w:name w:val="正文 New New New New New New New New New New New New New New New New New New New New New New New New New New New New New New New New New New New New New New New New New New New New New New New"/>
    <w:uiPriority w:val="99"/>
    <w:pPr>
      <w:widowControl w:val="0"/>
      <w:adjustRightInd w:val="0"/>
      <w:snapToGrid w:val="0"/>
      <w:spacing w:line="240" w:lineRule="atLeast"/>
      <w:jc w:val="both"/>
    </w:pPr>
    <w:rPr>
      <w:rFonts w:ascii="Times New Roman" w:hAnsi="Times New Roman" w:eastAsia="宋体" w:cs="Times New Roman"/>
      <w:kern w:val="2"/>
      <w:sz w:val="21"/>
      <w:szCs w:val="21"/>
      <w:lang w:val="en-US" w:eastAsia="zh-CN" w:bidi="ar-SA"/>
    </w:rPr>
  </w:style>
  <w:style w:type="paragraph" w:customStyle="1" w:styleId="38">
    <w:name w:val="正文 New"/>
    <w:uiPriority w:val="99"/>
    <w:pPr>
      <w:widowControl w:val="0"/>
      <w:spacing w:line="360" w:lineRule="auto"/>
      <w:jc w:val="both"/>
    </w:pPr>
    <w:rPr>
      <w:rFonts w:ascii="Times New Roman" w:hAnsi="Times New Roman" w:eastAsia="宋体" w:cs="Times New Roman"/>
      <w:kern w:val="2"/>
      <w:sz w:val="28"/>
      <w:szCs w:val="28"/>
      <w:lang w:val="en-US" w:eastAsia="zh-CN" w:bidi="ar-SA"/>
    </w:rPr>
  </w:style>
  <w:style w:type="paragraph" w:customStyle="1" w:styleId="39">
    <w:name w:val="表内标1"/>
    <w:basedOn w:val="1"/>
    <w:uiPriority w:val="99"/>
    <w:pPr>
      <w:spacing w:line="400" w:lineRule="exact"/>
      <w:jc w:val="center"/>
    </w:pPr>
    <w:rPr>
      <w:rFonts w:ascii="黑体" w:eastAsia="黑体" w:cs="黑体"/>
      <w:sz w:val="28"/>
      <w:szCs w:val="28"/>
    </w:rPr>
  </w:style>
  <w:style w:type="paragraph" w:customStyle="1" w:styleId="40">
    <w:name w:val="验收监测表 标题1"/>
    <w:basedOn w:val="4"/>
    <w:uiPriority w:val="99"/>
    <w:pPr>
      <w:numPr>
        <w:ilvl w:val="0"/>
        <w:numId w:val="1"/>
      </w:numPr>
      <w:tabs>
        <w:tab w:val="left" w:pos="480"/>
      </w:tabs>
      <w:spacing w:line="240" w:lineRule="auto"/>
    </w:pPr>
    <w:rPr>
      <w:rFonts w:eastAsia="黑体"/>
      <w:sz w:val="30"/>
      <w:szCs w:val="30"/>
    </w:rPr>
  </w:style>
  <w:style w:type="paragraph" w:customStyle="1" w:styleId="41">
    <w:name w:val="WPSOffice手动目录 1"/>
    <w:uiPriority w:val="99"/>
    <w:rPr>
      <w:rFonts w:ascii="Calibri" w:hAnsi="Calibri" w:eastAsia="宋体" w:cs="Calibri"/>
      <w:lang w:val="en-US" w:eastAsia="zh-CN" w:bidi="ar-SA"/>
    </w:rPr>
  </w:style>
  <w:style w:type="paragraph" w:customStyle="1" w:styleId="42">
    <w:name w:val="正文_12"/>
    <w:uiPriority w:val="99"/>
    <w:pPr>
      <w:widowControl w:val="0"/>
      <w:jc w:val="both"/>
    </w:pPr>
    <w:rPr>
      <w:rFonts w:ascii="Calibri" w:hAnsi="Calibri" w:eastAsia="宋体" w:cs="Calibri"/>
      <w:kern w:val="2"/>
      <w:sz w:val="21"/>
      <w:szCs w:val="21"/>
      <w:lang w:val="en-US" w:eastAsia="zh-CN" w:bidi="ar-SA"/>
    </w:rPr>
  </w:style>
  <w:style w:type="paragraph" w:customStyle="1" w:styleId="43">
    <w:name w:val="Default"/>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4">
    <w:name w:val="普通(网站)2"/>
    <w:basedOn w:val="1"/>
    <w:qFormat/>
    <w:uiPriority w:val="0"/>
    <w:pPr>
      <w:adjustRightInd/>
      <w:snapToGrid/>
      <w:spacing w:before="100" w:beforeAutospacing="1" w:after="100" w:afterAutospacing="1"/>
    </w:pPr>
    <w:rPr>
      <w:rFonts w:ascii="宋体" w:hAnsi="宋体" w:cs="宋体"/>
    </w:rPr>
  </w:style>
  <w:style w:type="paragraph" w:customStyle="1" w:styleId="45">
    <w:name w:val="无间隔1"/>
    <w:uiPriority w:val="99"/>
    <w:rPr>
      <w:rFonts w:ascii="Calibri" w:hAnsi="Calibri" w:eastAsia="宋体" w:cs="Calibri"/>
      <w:sz w:val="22"/>
      <w:szCs w:val="22"/>
      <w:lang w:val="en-US" w:eastAsia="zh-CN" w:bidi="ar-SA"/>
    </w:rPr>
  </w:style>
  <w:style w:type="paragraph" w:customStyle="1" w:styleId="46">
    <w:name w:val="表格文字"/>
    <w:basedOn w:val="1"/>
    <w:link w:val="63"/>
    <w:uiPriority w:val="99"/>
    <w:pPr>
      <w:widowControl w:val="0"/>
      <w:adjustRightInd/>
      <w:snapToGrid/>
      <w:spacing w:line="320" w:lineRule="exact"/>
      <w:jc w:val="both"/>
    </w:pPr>
    <w:rPr>
      <w:rFonts w:ascii="宋体" w:hAnsi="宋体" w:cs="宋体"/>
      <w:b/>
      <w:bCs/>
      <w:kern w:val="2"/>
    </w:rPr>
  </w:style>
  <w:style w:type="paragraph" w:customStyle="1" w:styleId="47">
    <w:name w:val="Char"/>
    <w:basedOn w:val="1"/>
    <w:uiPriority w:val="99"/>
    <w:pPr>
      <w:widowControl w:val="0"/>
      <w:adjustRightInd/>
      <w:ind w:firstLine="529" w:firstLineChars="200"/>
      <w:jc w:val="both"/>
    </w:pPr>
    <w:rPr>
      <w:rFonts w:ascii="宋体" w:hAnsi="宋体" w:cs="宋体"/>
      <w:b/>
      <w:bCs/>
      <w:kern w:val="2"/>
    </w:rPr>
  </w:style>
  <w:style w:type="paragraph" w:customStyle="1" w:styleId="48">
    <w:name w:val="Char1"/>
    <w:basedOn w:val="1"/>
    <w:semiHidden/>
    <w:uiPriority w:val="0"/>
    <w:pPr>
      <w:widowControl w:val="0"/>
      <w:adjustRightInd/>
      <w:snapToGrid/>
      <w:spacing w:line="560" w:lineRule="exact"/>
      <w:ind w:firstLine="560" w:firstLineChars="200"/>
      <w:jc w:val="both"/>
    </w:pPr>
    <w:rPr>
      <w:rFonts w:ascii="Times New Roman" w:hAnsi="Times New Roman" w:cs="Times New Roman"/>
      <w:kern w:val="2"/>
      <w:sz w:val="28"/>
      <w:szCs w:val="20"/>
    </w:rPr>
  </w:style>
  <w:style w:type="paragraph" w:customStyle="1" w:styleId="49">
    <w:name w:val="表文"/>
    <w:basedOn w:val="1"/>
    <w:uiPriority w:val="0"/>
    <w:pPr>
      <w:spacing w:beforeLines="30" w:afterLines="30" w:line="240" w:lineRule="auto"/>
      <w:jc w:val="center"/>
    </w:pPr>
    <w:rPr>
      <w:rFonts w:ascii="Times New Roman" w:hAnsi="Calibri" w:cs="Times New Roman"/>
      <w:szCs w:val="24"/>
    </w:rPr>
  </w:style>
  <w:style w:type="character" w:customStyle="1" w:styleId="50">
    <w:name w:val="标题 1 字符"/>
    <w:link w:val="4"/>
    <w:uiPriority w:val="9"/>
    <w:rPr>
      <w:rFonts w:ascii="Tahoma" w:hAnsi="Tahoma" w:cs="Tahoma"/>
      <w:b/>
      <w:bCs/>
      <w:kern w:val="44"/>
      <w:sz w:val="44"/>
      <w:szCs w:val="44"/>
    </w:rPr>
  </w:style>
  <w:style w:type="character" w:customStyle="1" w:styleId="51">
    <w:name w:val="正文文本 字符"/>
    <w:link w:val="3"/>
    <w:semiHidden/>
    <w:uiPriority w:val="99"/>
    <w:rPr>
      <w:rFonts w:ascii="Tahoma" w:hAnsi="Tahoma" w:cs="Tahoma"/>
      <w:kern w:val="0"/>
      <w:szCs w:val="21"/>
    </w:rPr>
  </w:style>
  <w:style w:type="character" w:customStyle="1" w:styleId="52">
    <w:name w:val="正文文本首行缩进 字符"/>
    <w:link w:val="2"/>
    <w:semiHidden/>
    <w:uiPriority w:val="99"/>
    <w:rPr>
      <w:rFonts w:ascii="Tahoma" w:hAnsi="Tahoma" w:cs="Tahoma"/>
      <w:kern w:val="0"/>
      <w:szCs w:val="21"/>
    </w:rPr>
  </w:style>
  <w:style w:type="character" w:customStyle="1" w:styleId="53">
    <w:name w:val="批注文字 字符"/>
    <w:link w:val="7"/>
    <w:locked/>
    <w:uiPriority w:val="99"/>
    <w:rPr>
      <w:rFonts w:ascii="Tahoma" w:hAnsi="Tahoma" w:eastAsia="微软雅黑" w:cs="Tahoma"/>
      <w:kern w:val="0"/>
      <w:sz w:val="22"/>
      <w:szCs w:val="22"/>
    </w:rPr>
  </w:style>
  <w:style w:type="character" w:customStyle="1" w:styleId="54">
    <w:name w:val="正文文本缩进 字符"/>
    <w:link w:val="10"/>
    <w:locked/>
    <w:uiPriority w:val="99"/>
    <w:rPr>
      <w:rFonts w:ascii="Tahoma" w:hAnsi="Tahoma" w:eastAsia="微软雅黑" w:cs="Tahoma"/>
      <w:sz w:val="24"/>
      <w:szCs w:val="24"/>
    </w:rPr>
  </w:style>
  <w:style w:type="character" w:customStyle="1" w:styleId="55">
    <w:name w:val="纯文本 字符"/>
    <w:link w:val="13"/>
    <w:locked/>
    <w:uiPriority w:val="99"/>
    <w:rPr>
      <w:rFonts w:ascii="宋体" w:hAnsi="Courier New" w:eastAsia="微软雅黑" w:cs="宋体"/>
      <w:sz w:val="22"/>
      <w:szCs w:val="22"/>
    </w:rPr>
  </w:style>
  <w:style w:type="character" w:customStyle="1" w:styleId="56">
    <w:name w:val="批注框文本 字符"/>
    <w:link w:val="15"/>
    <w:semiHidden/>
    <w:locked/>
    <w:uiPriority w:val="99"/>
    <w:rPr>
      <w:rFonts w:ascii="Tahoma" w:hAnsi="Tahoma" w:eastAsia="微软雅黑" w:cs="Tahoma"/>
      <w:sz w:val="18"/>
      <w:szCs w:val="18"/>
    </w:rPr>
  </w:style>
  <w:style w:type="character" w:customStyle="1" w:styleId="57">
    <w:name w:val="页脚 字符"/>
    <w:link w:val="16"/>
    <w:locked/>
    <w:uiPriority w:val="99"/>
    <w:rPr>
      <w:sz w:val="18"/>
      <w:szCs w:val="18"/>
    </w:rPr>
  </w:style>
  <w:style w:type="character" w:customStyle="1" w:styleId="58">
    <w:name w:val="页眉 字符"/>
    <w:link w:val="17"/>
    <w:locked/>
    <w:uiPriority w:val="99"/>
    <w:rPr>
      <w:sz w:val="18"/>
      <w:szCs w:val="18"/>
    </w:rPr>
  </w:style>
  <w:style w:type="character" w:customStyle="1" w:styleId="59">
    <w:name w:val="批注主题 字符"/>
    <w:link w:val="6"/>
    <w:semiHidden/>
    <w:locked/>
    <w:uiPriority w:val="99"/>
    <w:rPr>
      <w:rFonts w:ascii="Times New Roman" w:hAnsi="Times New Roman" w:eastAsia="黑体" w:cs="Times New Roman"/>
      <w:kern w:val="0"/>
      <w:sz w:val="21"/>
      <w:szCs w:val="21"/>
    </w:rPr>
  </w:style>
  <w:style w:type="character" w:customStyle="1" w:styleId="60">
    <w:name w:val="正文缩进 字符"/>
    <w:link w:val="9"/>
    <w:locked/>
    <w:uiPriority w:val="0"/>
    <w:rPr>
      <w:sz w:val="21"/>
      <w:szCs w:val="21"/>
    </w:rPr>
  </w:style>
  <w:style w:type="character" w:customStyle="1" w:styleId="61">
    <w:name w:val="表头 Char"/>
    <w:link w:val="34"/>
    <w:locked/>
    <w:uiPriority w:val="99"/>
    <w:rPr>
      <w:b/>
      <w:bCs/>
      <w:snapToGrid w:val="0"/>
      <w:kern w:val="0"/>
      <w:sz w:val="21"/>
      <w:szCs w:val="21"/>
    </w:rPr>
  </w:style>
  <w:style w:type="character" w:customStyle="1" w:styleId="62">
    <w:name w:val="页码1"/>
    <w:basedOn w:val="23"/>
    <w:uiPriority w:val="99"/>
    <w:rPr/>
  </w:style>
  <w:style w:type="character" w:customStyle="1" w:styleId="63">
    <w:name w:val="表格文字 Char Char"/>
    <w:link w:val="46"/>
    <w:locked/>
    <w:uiPriority w:val="99"/>
    <w:rPr>
      <w:rFonts w:ascii="宋体" w:eastAsia="宋体" w:cs="宋体"/>
      <w:b/>
      <w:bCs/>
      <w:kern w:val="2"/>
      <w:sz w:val="24"/>
      <w:szCs w:val="24"/>
    </w:rPr>
  </w:style>
  <w:style w:type="character" w:customStyle="1" w:styleId="64">
    <w:name w:val="font41"/>
    <w:uiPriority w:val="99"/>
    <w:rPr>
      <w:rFonts w:ascii="Times New Roman" w:hAnsi="Times New Roman" w:cs="Times New Roman"/>
      <w:color w:val="000000"/>
      <w:sz w:val="20"/>
      <w:szCs w:val="20"/>
      <w:u w:val="none"/>
    </w:rPr>
  </w:style>
  <w:style w:type="character" w:customStyle="1" w:styleId="65">
    <w:name w:val="标题 2 字符"/>
    <w:link w:val="5"/>
    <w:uiPriority w:val="0"/>
    <w:rPr>
      <w:rFonts w:ascii="Cambria" w:hAnsi="Cambria" w:eastAsia="宋体" w:cs="Times New Roman"/>
      <w:b/>
      <w:bCs/>
      <w:kern w:val="0"/>
      <w:sz w:val="28"/>
      <w:szCs w:val="32"/>
    </w:rPr>
  </w:style>
  <w:style w:type="character" w:customStyle="1" w:styleId="66">
    <w:name w:val="Unresolved Mentio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2.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image" Target="media/image17.png"/><Relationship Id="rId31" Type="http://schemas.openxmlformats.org/officeDocument/2006/relationships/image" Target="media/image16.jpeg"/><Relationship Id="rId30" Type="http://schemas.openxmlformats.org/officeDocument/2006/relationships/image" Target="media/image15.jpeg"/><Relationship Id="rId3" Type="http://schemas.openxmlformats.org/officeDocument/2006/relationships/settings" Target="settings.xml"/><Relationship Id="rId29" Type="http://schemas.openxmlformats.org/officeDocument/2006/relationships/image" Target="media/image14.jpe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png"/><Relationship Id="rId24" Type="http://schemas.openxmlformats.org/officeDocument/2006/relationships/image" Target="media/image9.jpeg"/><Relationship Id="rId23" Type="http://schemas.openxmlformats.org/officeDocument/2006/relationships/image" Target="media/image8.png"/><Relationship Id="rId22" Type="http://schemas.openxmlformats.org/officeDocument/2006/relationships/image" Target="media/image7.png"/><Relationship Id="rId21" Type="http://schemas.openxmlformats.org/officeDocument/2006/relationships/image" Target="file:///D:\&#25991;&#20214;\&#26032;&#24314;&#25991;&#20214;&#22841;\WXWork\1688850954929718\Cache\Image\2021-09\8252e5e21d95a917ebec1cf672481e2a.jpg" TargetMode="External"/><Relationship Id="rId20" Type="http://schemas.openxmlformats.org/officeDocument/2006/relationships/image" Target="media/image6.jpeg"/><Relationship Id="rId2" Type="http://schemas.openxmlformats.org/officeDocument/2006/relationships/styles" Target="styles.xml"/><Relationship Id="rId19" Type="http://schemas.openxmlformats.org/officeDocument/2006/relationships/image" Target="file:///D:\&#25991;&#20214;\&#26032;&#24314;&#25991;&#20214;&#22841;\WXWork\1688850954929718\Cache\Image\2021-09\2ef4aca076f8c649b1a5afa88f8dc9aa.jpg" TargetMode="External"/><Relationship Id="rId18" Type="http://schemas.openxmlformats.org/officeDocument/2006/relationships/image" Target="media/image5.jpeg"/><Relationship Id="rId17" Type="http://schemas.openxmlformats.org/officeDocument/2006/relationships/image" Target="file:///D:\&#25991;&#20214;\&#26032;&#24314;&#25991;&#20214;&#22841;\WXWork\1688850954929718\Cache\Image\2021-09\540fa1d591266bd66c585f978c1e566d.jpg" TargetMode="External"/><Relationship Id="rId16" Type="http://schemas.openxmlformats.org/officeDocument/2006/relationships/image" Target="media/image4.jpeg"/><Relationship Id="rId15" Type="http://schemas.openxmlformats.org/officeDocument/2006/relationships/image" Target="file:///D:\&#25991;&#20214;\&#26032;&#24314;&#25991;&#20214;&#22841;\WXWork\1688850954929718\Cache\Image\2021-09\1c9f66c92a71af678f36d6da04b3b5ba.jpg" TargetMode="Externa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4033</Words>
  <Characters>22994</Characters>
  <Lines>191</Lines>
  <Paragraphs>53</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2019-09-26T02:21:00Z</dcterms:created>
  <dc:creator>User</dc:creator>
  <cp:lastModifiedBy>TG</cp:lastModifiedBy>
  <cp:lastPrinted>2021-10-27T04:53:00Z</cp:lastPrinted>
  <dcterms:modified xsi:type="dcterms:W3CDTF">2021-10-29T07:00:10Z</dcterms:modified>
  <dc:title>山西太钢不锈钢股份有限公司</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