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rPr>
          <w:rFonts w:hint="eastAsia" w:ascii="Times New Roman" w:hAnsi="Times New Roman" w:cs="Times New Roman"/>
          <w:b/>
          <w:kern w:val="0"/>
          <w:sz w:val="32"/>
          <w:szCs w:val="32"/>
        </w:rPr>
      </w:pPr>
      <w:r>
        <w:rPr>
          <w:rFonts w:hint="eastAsia" w:ascii="Times New Roman" w:hAnsi="Times New Roman" w:cs="Times New Roman"/>
          <w:b/>
          <w:kern w:val="0"/>
          <w:sz w:val="32"/>
          <w:szCs w:val="32"/>
        </w:rPr>
        <w:t>山西太钢不锈钢股份有限公司</w:t>
      </w:r>
    </w:p>
    <w:p>
      <w:pPr>
        <w:jc w:val="center"/>
        <w:rPr>
          <w:rFonts w:ascii="Times New Roman" w:hAnsi="Times New Roman" w:cs="Times New Roman"/>
          <w:b/>
          <w:kern w:val="0"/>
          <w:sz w:val="32"/>
          <w:szCs w:val="32"/>
        </w:rPr>
      </w:pPr>
      <w:r>
        <w:rPr>
          <w:rFonts w:hint="eastAsia" w:ascii="Times New Roman" w:hAnsi="Times New Roman" w:cs="Times New Roman"/>
          <w:b/>
          <w:kern w:val="0"/>
          <w:sz w:val="32"/>
          <w:szCs w:val="32"/>
        </w:rPr>
        <w:t>低参数余热利用项目及烟气余热回收改造工程建设项目</w:t>
      </w:r>
    </w:p>
    <w:p>
      <w:pPr>
        <w:adjustRightInd w:val="0"/>
        <w:snapToGrid w:val="0"/>
        <w:spacing w:line="500" w:lineRule="exact"/>
        <w:jc w:val="center"/>
        <w:rPr>
          <w:rFonts w:ascii="Times New Roman" w:hAnsi="Times New Roman" w:cs="Times New Roman"/>
          <w:b/>
          <w:kern w:val="0"/>
          <w:sz w:val="32"/>
          <w:szCs w:val="32"/>
        </w:rPr>
      </w:pPr>
      <w:r>
        <w:rPr>
          <w:rFonts w:ascii="Times New Roman" w:hAnsi="Times New Roman" w:cs="Times New Roman"/>
          <w:b/>
          <w:kern w:val="0"/>
          <w:sz w:val="32"/>
          <w:szCs w:val="32"/>
        </w:rPr>
        <w:t>竣工环境保护验收意见</w:t>
      </w:r>
    </w:p>
    <w:p>
      <w:pPr>
        <w:widowControl/>
        <w:adjustRightInd w:val="0"/>
        <w:snapToGrid w:val="0"/>
        <w:spacing w:line="500" w:lineRule="exact"/>
        <w:ind w:firstLine="560" w:firstLineChars="200"/>
        <w:rPr>
          <w:rFonts w:ascii="Times New Roman" w:hAnsi="Times New Roman" w:cs="Times New Roman"/>
          <w:kern w:val="0"/>
          <w:sz w:val="28"/>
          <w:szCs w:val="28"/>
        </w:rPr>
      </w:pPr>
      <w:r>
        <w:rPr>
          <w:rFonts w:ascii="Times New Roman" w:hAnsi="Times New Roman" w:cs="Times New Roman"/>
          <w:kern w:val="0"/>
          <w:sz w:val="28"/>
          <w:szCs w:val="28"/>
        </w:rPr>
        <w:t>202</w:t>
      </w:r>
      <w:r>
        <w:rPr>
          <w:rFonts w:hint="eastAsia" w:ascii="Times New Roman" w:hAnsi="Times New Roman" w:cs="Times New Roman"/>
          <w:kern w:val="0"/>
          <w:sz w:val="28"/>
          <w:szCs w:val="28"/>
        </w:rPr>
        <w:t>1</w:t>
      </w:r>
      <w:r>
        <w:rPr>
          <w:rFonts w:ascii="Times New Roman" w:hAnsi="Times New Roman" w:cs="Times New Roman"/>
          <w:kern w:val="0"/>
          <w:sz w:val="28"/>
          <w:szCs w:val="28"/>
        </w:rPr>
        <w:t>年</w:t>
      </w:r>
      <w:r>
        <w:rPr>
          <w:rFonts w:hint="eastAsia" w:ascii="Times New Roman" w:hAnsi="Times New Roman" w:cs="Times New Roman"/>
          <w:kern w:val="0"/>
          <w:sz w:val="28"/>
          <w:szCs w:val="28"/>
        </w:rPr>
        <w:t>9</w:t>
      </w:r>
      <w:r>
        <w:rPr>
          <w:rFonts w:ascii="Times New Roman" w:hAnsi="Times New Roman" w:cs="Times New Roman"/>
          <w:kern w:val="0"/>
          <w:sz w:val="28"/>
          <w:szCs w:val="28"/>
        </w:rPr>
        <w:t>月2</w:t>
      </w:r>
      <w:r>
        <w:rPr>
          <w:rFonts w:hint="eastAsia" w:ascii="Times New Roman" w:hAnsi="Times New Roman" w:cs="Times New Roman"/>
          <w:kern w:val="0"/>
          <w:sz w:val="28"/>
          <w:szCs w:val="28"/>
        </w:rPr>
        <w:t>9</w:t>
      </w:r>
      <w:r>
        <w:rPr>
          <w:rFonts w:ascii="Times New Roman" w:hAnsi="Times New Roman" w:cs="Times New Roman"/>
          <w:kern w:val="0"/>
          <w:sz w:val="28"/>
          <w:szCs w:val="28"/>
        </w:rPr>
        <w:t>日，山西太钢不锈钢股份有限公司根据</w:t>
      </w:r>
      <w:r>
        <w:rPr>
          <w:rFonts w:hint="eastAsia" w:ascii="Times New Roman" w:hAnsi="Times New Roman" w:cs="Times New Roman"/>
          <w:kern w:val="0"/>
          <w:sz w:val="28"/>
          <w:szCs w:val="28"/>
        </w:rPr>
        <w:t>《山西太钢不锈钢股份有限公司低参数余热利用项目及烟气余热回收改造工程建设项目竣工环境保护项目验收监测报告》</w:t>
      </w:r>
      <w:r>
        <w:rPr>
          <w:rFonts w:ascii="Times New Roman" w:hAnsi="Times New Roman" w:cs="Times New Roman"/>
          <w:kern w:val="0"/>
          <w:sz w:val="28"/>
          <w:szCs w:val="28"/>
        </w:rPr>
        <w:t>并对照《建设项目竣工环境保护验收暂行办法》、《山西省环境保护厅关于做好建设项目环境保护管理相关工作的通知》，严格依照国家有关法律法规、建设项目竣工环境保护验收技术规范、本项目环境影响报告表和审批部门审批决定等要求对本项目进行验收。本次验收为建设单位自主验收。</w:t>
      </w:r>
    </w:p>
    <w:p>
      <w:pPr>
        <w:widowControl/>
        <w:adjustRightInd w:val="0"/>
        <w:snapToGrid w:val="0"/>
        <w:spacing w:line="500" w:lineRule="exact"/>
        <w:ind w:firstLine="560" w:firstLineChars="200"/>
        <w:rPr>
          <w:rFonts w:ascii="Times New Roman" w:hAnsi="Times New Roman" w:cs="Times New Roman"/>
          <w:kern w:val="0"/>
          <w:sz w:val="28"/>
          <w:szCs w:val="28"/>
        </w:rPr>
      </w:pPr>
      <w:r>
        <w:rPr>
          <w:rFonts w:ascii="Times New Roman" w:hAnsi="Times New Roman" w:cs="Times New Roman"/>
          <w:kern w:val="0"/>
          <w:sz w:val="28"/>
          <w:szCs w:val="28"/>
        </w:rPr>
        <w:t>参加验收的有</w:t>
      </w:r>
      <w:r>
        <w:rPr>
          <w:rFonts w:hint="eastAsia" w:ascii="Times New Roman" w:hAnsi="Times New Roman" w:cs="Times New Roman"/>
          <w:kern w:val="0"/>
          <w:sz w:val="28"/>
          <w:szCs w:val="28"/>
        </w:rPr>
        <w:t>项目设计单位</w:t>
      </w:r>
      <w:r>
        <w:rPr>
          <w:rFonts w:ascii="Times New Roman" w:hAnsi="Times New Roman" w:cs="Times New Roman"/>
          <w:kern w:val="0"/>
          <w:sz w:val="28"/>
          <w:szCs w:val="28"/>
        </w:rPr>
        <w:t>山西太钢工程技术有限公司</w:t>
      </w:r>
      <w:r>
        <w:rPr>
          <w:rFonts w:hint="eastAsia" w:ascii="Times New Roman" w:hAnsi="Times New Roman" w:cs="Times New Roman"/>
          <w:kern w:val="0"/>
          <w:sz w:val="28"/>
          <w:szCs w:val="28"/>
        </w:rPr>
        <w:t>、</w:t>
      </w:r>
      <w:r>
        <w:rPr>
          <w:rFonts w:ascii="Times New Roman" w:hAnsi="Times New Roman" w:cs="Times New Roman"/>
          <w:kern w:val="0"/>
          <w:sz w:val="28"/>
          <w:szCs w:val="28"/>
        </w:rPr>
        <w:t>山西意迪光华电力勘测设计有限公司</w:t>
      </w:r>
      <w:r>
        <w:rPr>
          <w:rFonts w:hint="eastAsia" w:ascii="Times New Roman" w:hAnsi="Times New Roman" w:cs="Times New Roman"/>
          <w:kern w:val="0"/>
          <w:sz w:val="28"/>
          <w:szCs w:val="28"/>
        </w:rPr>
        <w:t>，施工单位安阳建工（集团）有限责任公司，工程监理单位山西震益工程建设监理公司，环评单位山西清泽阳光环保科技有限公司，验收报告编制单位山西太钢工程技术有限公司，验收</w:t>
      </w:r>
      <w:r>
        <w:rPr>
          <w:rFonts w:ascii="Times New Roman" w:hAnsi="Times New Roman" w:cs="Times New Roman"/>
          <w:kern w:val="0"/>
          <w:sz w:val="28"/>
          <w:szCs w:val="28"/>
        </w:rPr>
        <w:t>监测</w:t>
      </w:r>
      <w:r>
        <w:rPr>
          <w:rFonts w:hint="eastAsia" w:ascii="Times New Roman" w:hAnsi="Times New Roman" w:cs="Times New Roman"/>
          <w:kern w:val="0"/>
          <w:sz w:val="28"/>
          <w:szCs w:val="28"/>
        </w:rPr>
        <w:t>单位山西太钢环境监测有限公司</w:t>
      </w:r>
      <w:r>
        <w:rPr>
          <w:rFonts w:ascii="Times New Roman" w:hAnsi="Times New Roman" w:cs="Times New Roman"/>
          <w:kern w:val="0"/>
          <w:sz w:val="28"/>
          <w:szCs w:val="28"/>
        </w:rPr>
        <w:t>的代表及应邀专家。与会代表检查了项目现场，听取了建设单位对工程建设和环保设施调试的情况介绍以及监测单位对项目竣工验收监测情况的介绍，验收组（名单附后）</w:t>
      </w:r>
      <w:r>
        <w:rPr>
          <w:rFonts w:ascii="Times New Roman" w:hAnsi="Times New Roman" w:cs="Times New Roman"/>
          <w:color w:val="000000"/>
          <w:sz w:val="28"/>
          <w:szCs w:val="28"/>
        </w:rPr>
        <w:t>提出验收意见如下：</w:t>
      </w:r>
    </w:p>
    <w:p>
      <w:pPr>
        <w:pStyle w:val="61"/>
        <w:adjustRightInd w:val="0"/>
        <w:snapToGrid w:val="0"/>
        <w:spacing w:before="0" w:beforeAutospacing="0" w:after="0" w:afterAutospacing="0" w:line="500" w:lineRule="exact"/>
        <w:ind w:firstLine="562" w:firstLineChars="200"/>
        <w:jc w:val="both"/>
        <w:outlineLvl w:val="0"/>
        <w:rPr>
          <w:rFonts w:ascii="Times New Roman" w:hAnsi="Times New Roman" w:cs="Times New Roman"/>
          <w:b/>
          <w:color w:val="000000"/>
          <w:sz w:val="28"/>
          <w:szCs w:val="28"/>
        </w:rPr>
      </w:pPr>
      <w:r>
        <w:rPr>
          <w:rFonts w:ascii="Times New Roman" w:hAnsi="Times New Roman" w:cs="Times New Roman"/>
          <w:b/>
          <w:color w:val="000000"/>
          <w:sz w:val="28"/>
          <w:szCs w:val="28"/>
        </w:rPr>
        <w:t>一、工程建设基本情况</w:t>
      </w:r>
    </w:p>
    <w:p>
      <w:pPr>
        <w:pStyle w:val="61"/>
        <w:adjustRightInd w:val="0"/>
        <w:snapToGrid w:val="0"/>
        <w:spacing w:before="0" w:beforeAutospacing="0" w:after="0" w:afterAutospacing="0" w:line="500" w:lineRule="exact"/>
        <w:ind w:firstLine="560" w:firstLineChars="200"/>
        <w:jc w:val="both"/>
        <w:outlineLvl w:val="1"/>
        <w:rPr>
          <w:rFonts w:ascii="Times New Roman" w:hAnsi="Times New Roman" w:cs="Times New Roman"/>
          <w:color w:val="000000"/>
          <w:sz w:val="28"/>
          <w:szCs w:val="28"/>
        </w:rPr>
      </w:pPr>
      <w:r>
        <w:rPr>
          <w:rFonts w:ascii="Times New Roman" w:hAnsi="Times New Roman" w:cs="Times New Roman"/>
          <w:color w:val="000000"/>
          <w:sz w:val="28"/>
          <w:szCs w:val="28"/>
        </w:rPr>
        <w:t>（一）建设地点、规模、主要建设内容</w:t>
      </w:r>
    </w:p>
    <w:p>
      <w:pPr>
        <w:shd w:val="clear" w:color="auto" w:fill="FFFFFF"/>
        <w:adjustRightInd w:val="0"/>
        <w:snapToGrid w:val="0"/>
        <w:spacing w:line="500" w:lineRule="exact"/>
        <w:ind w:firstLine="560" w:firstLineChars="200"/>
        <w:rPr>
          <w:rFonts w:ascii="Times New Roman" w:hAnsi="Times New Roman" w:cs="Times New Roman"/>
          <w:color w:val="000000"/>
          <w:sz w:val="28"/>
          <w:szCs w:val="28"/>
        </w:rPr>
      </w:pPr>
      <w:r>
        <w:rPr>
          <w:rFonts w:ascii="Times New Roman" w:hAnsi="Times New Roman" w:cs="Times New Roman"/>
          <w:color w:val="000000"/>
          <w:sz w:val="28"/>
          <w:szCs w:val="28"/>
        </w:rPr>
        <w:t>建设地点：山西太钢不锈钢股份有限公司能源动力总厂现有2#机组东侧和5#、6#煤气炉的西侧之间、办公楼的南侧和空压机的北侧之间</w:t>
      </w:r>
    </w:p>
    <w:p>
      <w:pPr>
        <w:shd w:val="clear" w:color="auto" w:fill="FFFFFF"/>
        <w:adjustRightInd w:val="0"/>
        <w:snapToGrid w:val="0"/>
        <w:spacing w:line="500" w:lineRule="exact"/>
        <w:ind w:firstLine="560" w:firstLineChars="200"/>
        <w:rPr>
          <w:rFonts w:ascii="Times New Roman" w:hAnsi="Times New Roman" w:cs="Times New Roman"/>
          <w:color w:val="000000"/>
          <w:sz w:val="28"/>
          <w:szCs w:val="28"/>
        </w:rPr>
      </w:pPr>
      <w:r>
        <w:rPr>
          <w:rFonts w:ascii="Times New Roman" w:hAnsi="Times New Roman" w:cs="Times New Roman"/>
          <w:color w:val="000000"/>
          <w:sz w:val="28"/>
          <w:szCs w:val="28"/>
        </w:rPr>
        <w:t>建设性质：技术改造</w:t>
      </w:r>
    </w:p>
    <w:p>
      <w:pPr>
        <w:pStyle w:val="67"/>
        <w:ind w:firstLine="560" w:firstLineChars="200"/>
        <w:rPr>
          <w:color w:val="000000"/>
        </w:rPr>
      </w:pPr>
      <w:r>
        <w:rPr>
          <w:color w:val="000000"/>
        </w:rPr>
        <w:t>建设规模：本项目为在太钢能源动力总厂新建2×30MW的低参数发电机组，包括工艺系统、控制系统、电气系统、主厂房等。项目实施后，年发电量2.7亿KWh，年供电量2.619亿KWh。</w:t>
      </w:r>
    </w:p>
    <w:p>
      <w:pPr>
        <w:adjustRightInd w:val="0"/>
        <w:snapToGrid w:val="0"/>
        <w:spacing w:line="500" w:lineRule="exact"/>
        <w:ind w:firstLine="560" w:firstLineChars="200"/>
        <w:rPr>
          <w:rFonts w:ascii="Times New Roman" w:hAnsi="Times New Roman" w:cs="Times New Roman"/>
          <w:sz w:val="28"/>
          <w:szCs w:val="28"/>
        </w:rPr>
      </w:pPr>
      <w:r>
        <w:rPr>
          <w:rFonts w:ascii="Times New Roman" w:hAnsi="Times New Roman" w:cs="Times New Roman"/>
          <w:sz w:val="28"/>
          <w:szCs w:val="28"/>
        </w:rPr>
        <w:t>工程组成与建设内容见表1。</w:t>
      </w:r>
    </w:p>
    <w:p>
      <w:pPr>
        <w:adjustRightInd w:val="0"/>
        <w:snapToGrid w:val="0"/>
        <w:spacing w:line="500" w:lineRule="exact"/>
        <w:jc w:val="center"/>
        <w:rPr>
          <w:rFonts w:ascii="Times New Roman" w:hAnsi="Times New Roman" w:cs="Times New Roman"/>
          <w:b/>
          <w:color w:val="000000"/>
          <w:sz w:val="24"/>
        </w:rPr>
      </w:pPr>
      <w:r>
        <w:rPr>
          <w:rFonts w:ascii="Times New Roman" w:hAnsi="Times New Roman" w:cs="Times New Roman"/>
          <w:b/>
          <w:color w:val="000000"/>
          <w:sz w:val="24"/>
        </w:rPr>
        <w:t>表1  项目组成及建设内容表</w:t>
      </w:r>
    </w:p>
    <w:tbl>
      <w:tblPr>
        <w:tblStyle w:val="22"/>
        <w:tblW w:w="87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597"/>
        <w:gridCol w:w="427"/>
        <w:gridCol w:w="937"/>
        <w:gridCol w:w="2838"/>
        <w:gridCol w:w="2838"/>
        <w:gridCol w:w="11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1961" w:type="dxa"/>
            <w:gridSpan w:val="3"/>
            <w:vAlign w:val="center"/>
          </w:tcPr>
          <w:p>
            <w:pPr>
              <w:spacing w:line="276" w:lineRule="auto"/>
              <w:jc w:val="center"/>
              <w:outlineLvl w:val="2"/>
              <w:rPr>
                <w:rFonts w:ascii="Times New Roman" w:hAnsi="Times New Roman" w:cs="Times New Roman"/>
                <w:b/>
                <w:bCs/>
                <w:color w:val="000000"/>
              </w:rPr>
            </w:pPr>
            <w:r>
              <w:rPr>
                <w:rFonts w:ascii="Times New Roman" w:hAnsi="Times New Roman" w:cs="Times New Roman"/>
                <w:b/>
                <w:bCs/>
                <w:color w:val="000000"/>
              </w:rPr>
              <w:t>建设单元</w:t>
            </w:r>
          </w:p>
        </w:tc>
        <w:tc>
          <w:tcPr>
            <w:tcW w:w="2838" w:type="dxa"/>
            <w:vAlign w:val="center"/>
          </w:tcPr>
          <w:p>
            <w:pPr>
              <w:spacing w:line="276" w:lineRule="auto"/>
              <w:jc w:val="center"/>
              <w:outlineLvl w:val="2"/>
              <w:rPr>
                <w:rFonts w:ascii="Times New Roman" w:hAnsi="Times New Roman" w:cs="Times New Roman"/>
                <w:b/>
                <w:bCs/>
                <w:color w:val="000000"/>
              </w:rPr>
            </w:pPr>
            <w:r>
              <w:rPr>
                <w:rFonts w:ascii="Times New Roman" w:hAnsi="Times New Roman" w:cs="Times New Roman"/>
                <w:b/>
                <w:bCs/>
                <w:color w:val="000000"/>
              </w:rPr>
              <w:t>环评建设内容</w:t>
            </w:r>
          </w:p>
        </w:tc>
        <w:tc>
          <w:tcPr>
            <w:tcW w:w="2838" w:type="dxa"/>
            <w:vAlign w:val="center"/>
          </w:tcPr>
          <w:p>
            <w:pPr>
              <w:spacing w:line="276" w:lineRule="auto"/>
              <w:jc w:val="center"/>
              <w:outlineLvl w:val="2"/>
              <w:rPr>
                <w:rFonts w:ascii="Times New Roman" w:hAnsi="Times New Roman" w:cs="Times New Roman"/>
                <w:b/>
                <w:bCs/>
                <w:color w:val="000000"/>
              </w:rPr>
            </w:pPr>
            <w:r>
              <w:rPr>
                <w:rFonts w:ascii="Times New Roman" w:hAnsi="Times New Roman" w:cs="Times New Roman"/>
                <w:b/>
                <w:bCs/>
                <w:color w:val="000000"/>
              </w:rPr>
              <w:t>实际建设内容</w:t>
            </w:r>
          </w:p>
        </w:tc>
        <w:tc>
          <w:tcPr>
            <w:tcW w:w="1133" w:type="dxa"/>
            <w:vAlign w:val="center"/>
          </w:tcPr>
          <w:p>
            <w:pPr>
              <w:spacing w:line="276" w:lineRule="auto"/>
              <w:jc w:val="center"/>
              <w:outlineLvl w:val="2"/>
              <w:rPr>
                <w:rFonts w:ascii="Times New Roman" w:hAnsi="Times New Roman" w:cs="Times New Roman"/>
                <w:b/>
                <w:bCs/>
                <w:color w:val="000000"/>
              </w:rPr>
            </w:pPr>
            <w:r>
              <w:rPr>
                <w:rFonts w:ascii="Times New Roman" w:hAnsi="Times New Roman" w:cs="Times New Roman"/>
                <w:b/>
                <w:bCs/>
                <w:color w:val="000000"/>
              </w:rPr>
              <w:t>与环评一致性说明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97" w:hRule="atLeast"/>
          <w:jc w:val="center"/>
        </w:trPr>
        <w:tc>
          <w:tcPr>
            <w:tcW w:w="597" w:type="dxa"/>
            <w:vAlign w:val="center"/>
          </w:tcPr>
          <w:p>
            <w:pPr>
              <w:spacing w:line="276" w:lineRule="auto"/>
              <w:jc w:val="center"/>
              <w:outlineLvl w:val="2"/>
              <w:rPr>
                <w:rFonts w:ascii="Times New Roman" w:hAnsi="Times New Roman" w:cs="Times New Roman"/>
                <w:color w:val="000000"/>
              </w:rPr>
            </w:pPr>
            <w:r>
              <w:rPr>
                <w:rFonts w:ascii="Times New Roman" w:hAnsi="Times New Roman" w:cs="Times New Roman"/>
                <w:color w:val="000000"/>
              </w:rPr>
              <w:t>主体</w:t>
            </w:r>
          </w:p>
          <w:p>
            <w:pPr>
              <w:spacing w:line="276" w:lineRule="auto"/>
              <w:jc w:val="center"/>
              <w:outlineLvl w:val="2"/>
              <w:rPr>
                <w:rFonts w:ascii="Times New Roman" w:hAnsi="Times New Roman" w:cs="Times New Roman"/>
                <w:color w:val="000000"/>
              </w:rPr>
            </w:pPr>
            <w:r>
              <w:rPr>
                <w:rFonts w:ascii="Times New Roman" w:hAnsi="Times New Roman" w:cs="Times New Roman"/>
                <w:color w:val="000000"/>
              </w:rPr>
              <w:t>工程</w:t>
            </w:r>
          </w:p>
        </w:tc>
        <w:tc>
          <w:tcPr>
            <w:tcW w:w="1364" w:type="dxa"/>
            <w:gridSpan w:val="2"/>
            <w:vAlign w:val="center"/>
          </w:tcPr>
          <w:p>
            <w:pPr>
              <w:spacing w:line="276" w:lineRule="auto"/>
              <w:jc w:val="center"/>
              <w:outlineLvl w:val="2"/>
              <w:rPr>
                <w:rFonts w:ascii="Times New Roman" w:hAnsi="Times New Roman" w:cs="Times New Roman"/>
                <w:color w:val="000000"/>
              </w:rPr>
            </w:pPr>
            <w:r>
              <w:rPr>
                <w:rFonts w:ascii="Times New Roman" w:hAnsi="Times New Roman" w:cs="Times New Roman"/>
                <w:color w:val="000000"/>
                <w:lang w:bidi="en-US"/>
              </w:rPr>
              <w:t>2×30MW低参数余热发电机组</w:t>
            </w:r>
          </w:p>
        </w:tc>
        <w:tc>
          <w:tcPr>
            <w:tcW w:w="2838" w:type="dxa"/>
            <w:vAlign w:val="center"/>
          </w:tcPr>
          <w:p>
            <w:pPr>
              <w:autoSpaceDE w:val="0"/>
              <w:autoSpaceDN w:val="0"/>
              <w:spacing w:line="276" w:lineRule="auto"/>
              <w:rPr>
                <w:rFonts w:ascii="Times New Roman" w:hAnsi="Times New Roman" w:cs="Times New Roman"/>
                <w:color w:val="000000"/>
              </w:rPr>
            </w:pPr>
            <w:r>
              <w:rPr>
                <w:rFonts w:ascii="Times New Roman" w:hAnsi="Times New Roman" w:cs="Times New Roman"/>
                <w:color w:val="000000"/>
              </w:rPr>
              <w:t>建设两台30MW空冷纯凝汽机组，充分发挥现有低压蒸汽富裕能力，使富余低压蒸汽最大限度高效发挥其能力。</w:t>
            </w:r>
          </w:p>
        </w:tc>
        <w:tc>
          <w:tcPr>
            <w:tcW w:w="2838" w:type="dxa"/>
            <w:vAlign w:val="center"/>
          </w:tcPr>
          <w:p>
            <w:pPr>
              <w:spacing w:line="276" w:lineRule="auto"/>
              <w:outlineLvl w:val="2"/>
              <w:rPr>
                <w:rFonts w:ascii="Times New Roman" w:hAnsi="Times New Roman" w:cs="Times New Roman"/>
                <w:color w:val="000000"/>
              </w:rPr>
            </w:pPr>
            <w:r>
              <w:rPr>
                <w:rFonts w:ascii="Times New Roman" w:hAnsi="Times New Roman" w:cs="Times New Roman"/>
                <w:color w:val="000000"/>
              </w:rPr>
              <w:t>建设两台30MW空冷纯凝汽机组。</w:t>
            </w:r>
          </w:p>
        </w:tc>
        <w:tc>
          <w:tcPr>
            <w:tcW w:w="1133" w:type="dxa"/>
            <w:vAlign w:val="center"/>
          </w:tcPr>
          <w:p>
            <w:pPr>
              <w:spacing w:line="276" w:lineRule="auto"/>
              <w:jc w:val="center"/>
              <w:outlineLvl w:val="2"/>
              <w:rPr>
                <w:rFonts w:ascii="Times New Roman" w:hAnsi="Times New Roman" w:cs="Times New Roman"/>
                <w:color w:val="000000"/>
              </w:rPr>
            </w:pPr>
            <w:r>
              <w:rPr>
                <w:rFonts w:hint="eastAsia" w:ascii="Times New Roman" w:hAnsi="Times New Roman" w:cs="Times New Roman"/>
                <w:color w:val="000000"/>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597" w:type="dxa"/>
            <w:vMerge w:val="restart"/>
            <w:vAlign w:val="center"/>
          </w:tcPr>
          <w:p>
            <w:pPr>
              <w:spacing w:line="276" w:lineRule="auto"/>
              <w:jc w:val="center"/>
              <w:outlineLvl w:val="2"/>
              <w:rPr>
                <w:rFonts w:ascii="Times New Roman" w:hAnsi="Times New Roman" w:cs="Times New Roman"/>
                <w:color w:val="000000"/>
              </w:rPr>
            </w:pPr>
            <w:r>
              <w:rPr>
                <w:rFonts w:ascii="Times New Roman" w:hAnsi="Times New Roman" w:cs="Times New Roman"/>
                <w:color w:val="000000"/>
              </w:rPr>
              <w:t>辅助工程</w:t>
            </w:r>
          </w:p>
        </w:tc>
        <w:tc>
          <w:tcPr>
            <w:tcW w:w="1364" w:type="dxa"/>
            <w:gridSpan w:val="2"/>
            <w:vAlign w:val="center"/>
          </w:tcPr>
          <w:p>
            <w:pPr>
              <w:spacing w:line="276" w:lineRule="auto"/>
              <w:jc w:val="center"/>
              <w:outlineLvl w:val="2"/>
              <w:rPr>
                <w:rFonts w:ascii="Times New Roman" w:hAnsi="Times New Roman" w:cs="Times New Roman"/>
                <w:color w:val="000000"/>
              </w:rPr>
            </w:pPr>
            <w:r>
              <w:rPr>
                <w:rFonts w:ascii="Times New Roman" w:hAnsi="Times New Roman" w:cs="Times New Roman"/>
                <w:color w:val="000000"/>
              </w:rPr>
              <w:t>控制系统</w:t>
            </w:r>
          </w:p>
        </w:tc>
        <w:tc>
          <w:tcPr>
            <w:tcW w:w="2838" w:type="dxa"/>
            <w:vAlign w:val="center"/>
          </w:tcPr>
          <w:p>
            <w:pPr>
              <w:autoSpaceDE w:val="0"/>
              <w:autoSpaceDN w:val="0"/>
              <w:spacing w:line="276" w:lineRule="auto"/>
              <w:rPr>
                <w:rFonts w:ascii="Times New Roman" w:hAnsi="Times New Roman" w:cs="Times New Roman"/>
                <w:color w:val="000000"/>
              </w:rPr>
            </w:pPr>
            <w:r>
              <w:rPr>
                <w:rFonts w:ascii="Times New Roman" w:hAnsi="Times New Roman" w:cs="Times New Roman"/>
                <w:color w:val="000000"/>
              </w:rPr>
              <w:t>PLC控制系统采用S7-300，实现系统工艺逻辑控制，完成数据采集、报警状态的显示与设定，电动阀门及泵的远程控制等相关操作。上位机放在中控室，主要完成远程集中操作和监控、实时数据的显示、历史数据查询和报表打印等功能。</w:t>
            </w:r>
          </w:p>
        </w:tc>
        <w:tc>
          <w:tcPr>
            <w:tcW w:w="2838" w:type="dxa"/>
            <w:vAlign w:val="center"/>
          </w:tcPr>
          <w:p>
            <w:pPr>
              <w:spacing w:line="276" w:lineRule="auto"/>
              <w:outlineLvl w:val="2"/>
              <w:rPr>
                <w:rFonts w:ascii="Times New Roman" w:hAnsi="Times New Roman" w:cs="Times New Roman"/>
                <w:color w:val="000000"/>
              </w:rPr>
            </w:pPr>
            <w:r>
              <w:rPr>
                <w:rFonts w:ascii="Times New Roman" w:hAnsi="Times New Roman" w:cs="Times New Roman"/>
                <w:color w:val="000000"/>
              </w:rPr>
              <w:t>PLC控制系统采用S7-300，实现系统工艺逻辑控制，完成数据采集、报警状态的显示与设定，电动阀门及泵的远程控制等相关操作。上位机放在中控室，主要完成远程集中操作和监控、实时数据的显示、历史数据查询和报表打印等功能。</w:t>
            </w:r>
          </w:p>
        </w:tc>
        <w:tc>
          <w:tcPr>
            <w:tcW w:w="1133" w:type="dxa"/>
            <w:vAlign w:val="center"/>
          </w:tcPr>
          <w:p>
            <w:pPr>
              <w:spacing w:line="276" w:lineRule="auto"/>
              <w:jc w:val="center"/>
              <w:outlineLvl w:val="2"/>
              <w:rPr>
                <w:rFonts w:ascii="Times New Roman" w:hAnsi="Times New Roman" w:cs="Times New Roman"/>
                <w:color w:val="000000"/>
              </w:rPr>
            </w:pPr>
            <w:r>
              <w:rPr>
                <w:rFonts w:hint="eastAsia" w:ascii="Times New Roman" w:hAnsi="Times New Roman" w:cs="Times New Roman"/>
                <w:color w:val="000000"/>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597" w:type="dxa"/>
            <w:vMerge w:val="continue"/>
            <w:vAlign w:val="center"/>
          </w:tcPr>
          <w:p>
            <w:pPr>
              <w:spacing w:line="276" w:lineRule="auto"/>
              <w:jc w:val="center"/>
              <w:outlineLvl w:val="2"/>
              <w:rPr>
                <w:rFonts w:ascii="Times New Roman" w:hAnsi="Times New Roman" w:cs="Times New Roman"/>
                <w:color w:val="000000"/>
              </w:rPr>
            </w:pPr>
          </w:p>
        </w:tc>
        <w:tc>
          <w:tcPr>
            <w:tcW w:w="1364" w:type="dxa"/>
            <w:gridSpan w:val="2"/>
            <w:vAlign w:val="center"/>
          </w:tcPr>
          <w:p>
            <w:pPr>
              <w:spacing w:line="276" w:lineRule="auto"/>
              <w:jc w:val="center"/>
              <w:outlineLvl w:val="2"/>
              <w:rPr>
                <w:rFonts w:ascii="Times New Roman" w:hAnsi="Times New Roman" w:cs="Times New Roman"/>
                <w:color w:val="000000"/>
              </w:rPr>
            </w:pPr>
            <w:r>
              <w:rPr>
                <w:rFonts w:ascii="Times New Roman" w:hAnsi="Times New Roman" w:cs="Times New Roman"/>
                <w:color w:val="000000"/>
              </w:rPr>
              <w:t>办公</w:t>
            </w:r>
          </w:p>
        </w:tc>
        <w:tc>
          <w:tcPr>
            <w:tcW w:w="2838" w:type="dxa"/>
            <w:vAlign w:val="center"/>
          </w:tcPr>
          <w:p>
            <w:pPr>
              <w:autoSpaceDE w:val="0"/>
              <w:autoSpaceDN w:val="0"/>
              <w:spacing w:line="276" w:lineRule="auto"/>
              <w:rPr>
                <w:rFonts w:ascii="Times New Roman" w:hAnsi="Times New Roman" w:cs="Times New Roman"/>
                <w:color w:val="000000"/>
              </w:rPr>
            </w:pPr>
            <w:r>
              <w:rPr>
                <w:rFonts w:ascii="Times New Roman" w:hAnsi="Times New Roman" w:cs="Times New Roman"/>
                <w:color w:val="000000"/>
              </w:rPr>
              <w:t>办公场所依托太钢能源动力厂现有办公楼</w:t>
            </w:r>
          </w:p>
        </w:tc>
        <w:tc>
          <w:tcPr>
            <w:tcW w:w="2838" w:type="dxa"/>
            <w:vAlign w:val="center"/>
          </w:tcPr>
          <w:p>
            <w:pPr>
              <w:spacing w:line="276" w:lineRule="auto"/>
              <w:outlineLvl w:val="2"/>
              <w:rPr>
                <w:rFonts w:ascii="Times New Roman" w:hAnsi="Times New Roman" w:cs="Times New Roman"/>
                <w:color w:val="000000"/>
              </w:rPr>
            </w:pPr>
            <w:r>
              <w:rPr>
                <w:rFonts w:ascii="Times New Roman" w:hAnsi="Times New Roman" w:cs="Times New Roman"/>
                <w:color w:val="000000"/>
              </w:rPr>
              <w:t>办公场所依托太钢能源动力厂现有办公楼</w:t>
            </w:r>
          </w:p>
        </w:tc>
        <w:tc>
          <w:tcPr>
            <w:tcW w:w="1133" w:type="dxa"/>
            <w:vAlign w:val="center"/>
          </w:tcPr>
          <w:p>
            <w:pPr>
              <w:spacing w:line="276" w:lineRule="auto"/>
              <w:jc w:val="center"/>
              <w:outlineLvl w:val="2"/>
              <w:rPr>
                <w:rFonts w:ascii="Times New Roman" w:hAnsi="Times New Roman" w:cs="Times New Roman"/>
                <w:color w:val="000000"/>
              </w:rPr>
            </w:pPr>
            <w:r>
              <w:rPr>
                <w:rFonts w:hint="eastAsia" w:ascii="Times New Roman" w:hAnsi="Times New Roman" w:cs="Times New Roman"/>
                <w:color w:val="000000"/>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597" w:type="dxa"/>
            <w:vMerge w:val="restart"/>
            <w:vAlign w:val="center"/>
          </w:tcPr>
          <w:p>
            <w:pPr>
              <w:spacing w:line="276" w:lineRule="auto"/>
              <w:jc w:val="center"/>
              <w:outlineLvl w:val="2"/>
              <w:rPr>
                <w:rFonts w:ascii="Times New Roman" w:hAnsi="Times New Roman" w:cs="Times New Roman"/>
                <w:color w:val="000000"/>
              </w:rPr>
            </w:pPr>
            <w:r>
              <w:rPr>
                <w:rFonts w:ascii="Times New Roman" w:hAnsi="Times New Roman" w:cs="Times New Roman"/>
                <w:color w:val="000000"/>
              </w:rPr>
              <w:t>环保</w:t>
            </w:r>
          </w:p>
          <w:p>
            <w:pPr>
              <w:spacing w:line="276" w:lineRule="auto"/>
              <w:jc w:val="center"/>
              <w:outlineLvl w:val="2"/>
              <w:rPr>
                <w:rFonts w:ascii="Times New Roman" w:hAnsi="Times New Roman" w:cs="Times New Roman"/>
                <w:color w:val="000000"/>
              </w:rPr>
            </w:pPr>
            <w:r>
              <w:rPr>
                <w:rFonts w:ascii="Times New Roman" w:hAnsi="Times New Roman" w:cs="Times New Roman"/>
                <w:color w:val="000000"/>
              </w:rPr>
              <w:t>工程</w:t>
            </w:r>
          </w:p>
        </w:tc>
        <w:tc>
          <w:tcPr>
            <w:tcW w:w="427" w:type="dxa"/>
            <w:vMerge w:val="restart"/>
            <w:vAlign w:val="center"/>
          </w:tcPr>
          <w:p>
            <w:pPr>
              <w:spacing w:line="276" w:lineRule="auto"/>
              <w:jc w:val="center"/>
              <w:outlineLvl w:val="2"/>
              <w:rPr>
                <w:rFonts w:ascii="Times New Roman" w:hAnsi="Times New Roman" w:cs="Times New Roman"/>
                <w:color w:val="000000"/>
              </w:rPr>
            </w:pPr>
            <w:r>
              <w:rPr>
                <w:rFonts w:ascii="Times New Roman" w:hAnsi="Times New Roman" w:cs="Times New Roman"/>
                <w:color w:val="000000"/>
              </w:rPr>
              <w:t>废水</w:t>
            </w:r>
          </w:p>
        </w:tc>
        <w:tc>
          <w:tcPr>
            <w:tcW w:w="937" w:type="dxa"/>
            <w:vAlign w:val="center"/>
          </w:tcPr>
          <w:p>
            <w:pPr>
              <w:spacing w:line="276" w:lineRule="auto"/>
              <w:jc w:val="center"/>
              <w:outlineLvl w:val="2"/>
              <w:rPr>
                <w:rFonts w:ascii="Times New Roman" w:hAnsi="Times New Roman" w:cs="Times New Roman"/>
                <w:color w:val="000000"/>
              </w:rPr>
            </w:pPr>
            <w:r>
              <w:rPr>
                <w:rFonts w:ascii="Times New Roman" w:hAnsi="Times New Roman" w:cs="Times New Roman"/>
                <w:color w:val="000000"/>
              </w:rPr>
              <w:t>汽轮机凝结水</w:t>
            </w:r>
          </w:p>
        </w:tc>
        <w:tc>
          <w:tcPr>
            <w:tcW w:w="2838" w:type="dxa"/>
            <w:vAlign w:val="center"/>
          </w:tcPr>
          <w:p>
            <w:pPr>
              <w:autoSpaceDE w:val="0"/>
              <w:autoSpaceDN w:val="0"/>
              <w:spacing w:line="276" w:lineRule="auto"/>
              <w:rPr>
                <w:rFonts w:ascii="Times New Roman" w:hAnsi="Times New Roman" w:cs="Times New Roman"/>
                <w:color w:val="000000"/>
                <w:lang w:bidi="en-US"/>
              </w:rPr>
            </w:pPr>
            <w:r>
              <w:rPr>
                <w:rFonts w:ascii="Times New Roman" w:hAnsi="Times New Roman" w:cs="Times New Roman"/>
                <w:color w:val="000000"/>
                <w:lang w:bidi="en-US"/>
              </w:rPr>
              <w:t>从汽轮机凝结水全部收集于下部凝结水箱经凝结泵送入现有凝结水处理装置循环利用，不外排。</w:t>
            </w:r>
          </w:p>
        </w:tc>
        <w:tc>
          <w:tcPr>
            <w:tcW w:w="2838" w:type="dxa"/>
            <w:vAlign w:val="center"/>
          </w:tcPr>
          <w:p>
            <w:pPr>
              <w:autoSpaceDE w:val="0"/>
              <w:autoSpaceDN w:val="0"/>
              <w:spacing w:line="276" w:lineRule="auto"/>
              <w:rPr>
                <w:rFonts w:ascii="Times New Roman" w:hAnsi="Times New Roman" w:cs="Times New Roman"/>
                <w:color w:val="000000"/>
              </w:rPr>
            </w:pPr>
            <w:r>
              <w:rPr>
                <w:rFonts w:ascii="Times New Roman" w:hAnsi="Times New Roman" w:cs="Times New Roman"/>
                <w:color w:val="000000"/>
                <w:lang w:bidi="en-US"/>
              </w:rPr>
              <w:t>从汽轮机凝结水全部收集于下部凝结水箱经凝结泵送入现有凝结水处理装置循环利用，不外排。</w:t>
            </w:r>
          </w:p>
        </w:tc>
        <w:tc>
          <w:tcPr>
            <w:tcW w:w="1133" w:type="dxa"/>
            <w:vAlign w:val="center"/>
          </w:tcPr>
          <w:p>
            <w:pPr>
              <w:autoSpaceDE w:val="0"/>
              <w:autoSpaceDN w:val="0"/>
              <w:spacing w:line="276" w:lineRule="auto"/>
              <w:jc w:val="center"/>
              <w:rPr>
                <w:rFonts w:ascii="Times New Roman" w:hAnsi="Times New Roman" w:cs="Times New Roman"/>
                <w:color w:val="000000"/>
              </w:rPr>
            </w:pPr>
            <w:r>
              <w:rPr>
                <w:rFonts w:hint="eastAsia" w:ascii="Times New Roman" w:hAnsi="Times New Roman" w:cs="Times New Roman"/>
                <w:color w:val="000000"/>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597" w:type="dxa"/>
            <w:vMerge w:val="continue"/>
            <w:vAlign w:val="center"/>
          </w:tcPr>
          <w:p>
            <w:pPr>
              <w:spacing w:line="276" w:lineRule="auto"/>
              <w:jc w:val="center"/>
              <w:outlineLvl w:val="2"/>
              <w:rPr>
                <w:rFonts w:ascii="Times New Roman" w:hAnsi="Times New Roman" w:cs="Times New Roman"/>
                <w:color w:val="000000"/>
              </w:rPr>
            </w:pPr>
          </w:p>
        </w:tc>
        <w:tc>
          <w:tcPr>
            <w:tcW w:w="427" w:type="dxa"/>
            <w:vMerge w:val="continue"/>
            <w:vAlign w:val="center"/>
          </w:tcPr>
          <w:p>
            <w:pPr>
              <w:spacing w:line="276" w:lineRule="auto"/>
              <w:jc w:val="center"/>
              <w:outlineLvl w:val="2"/>
              <w:rPr>
                <w:rFonts w:ascii="Times New Roman" w:hAnsi="Times New Roman" w:cs="Times New Roman"/>
                <w:color w:val="000000"/>
              </w:rPr>
            </w:pPr>
          </w:p>
        </w:tc>
        <w:tc>
          <w:tcPr>
            <w:tcW w:w="937" w:type="dxa"/>
            <w:vAlign w:val="center"/>
          </w:tcPr>
          <w:p>
            <w:pPr>
              <w:spacing w:line="276" w:lineRule="auto"/>
              <w:jc w:val="center"/>
              <w:outlineLvl w:val="2"/>
              <w:rPr>
                <w:rFonts w:ascii="Times New Roman" w:hAnsi="Times New Roman" w:cs="Times New Roman"/>
                <w:color w:val="000000"/>
              </w:rPr>
            </w:pPr>
            <w:r>
              <w:rPr>
                <w:rFonts w:ascii="Times New Roman" w:hAnsi="Times New Roman" w:cs="Times New Roman"/>
                <w:color w:val="000000"/>
              </w:rPr>
              <w:t>生活污水</w:t>
            </w:r>
          </w:p>
        </w:tc>
        <w:tc>
          <w:tcPr>
            <w:tcW w:w="2838" w:type="dxa"/>
            <w:vAlign w:val="center"/>
          </w:tcPr>
          <w:p>
            <w:pPr>
              <w:spacing w:line="276" w:lineRule="auto"/>
              <w:outlineLvl w:val="2"/>
              <w:rPr>
                <w:rFonts w:ascii="Times New Roman" w:hAnsi="Times New Roman" w:cs="Times New Roman"/>
                <w:color w:val="000000"/>
              </w:rPr>
            </w:pPr>
            <w:r>
              <w:rPr>
                <w:rFonts w:ascii="Times New Roman" w:hAnsi="Times New Roman" w:cs="Times New Roman"/>
                <w:color w:val="000000"/>
              </w:rPr>
              <w:t>依托太钢厂区现有生活污水排水管网，最终进入太钢赵庄污水处理厂处理后回用，不外排</w:t>
            </w:r>
            <w:r>
              <w:rPr>
                <w:rFonts w:hint="eastAsia" w:ascii="Times New Roman" w:hAnsi="Times New Roman" w:cs="Times New Roman"/>
                <w:color w:val="000000"/>
              </w:rPr>
              <w:t>。</w:t>
            </w:r>
          </w:p>
        </w:tc>
        <w:tc>
          <w:tcPr>
            <w:tcW w:w="2838" w:type="dxa"/>
            <w:vAlign w:val="center"/>
          </w:tcPr>
          <w:p>
            <w:pPr>
              <w:spacing w:line="276" w:lineRule="auto"/>
              <w:outlineLvl w:val="2"/>
              <w:rPr>
                <w:rFonts w:ascii="Times New Roman" w:hAnsi="Times New Roman" w:cs="Times New Roman"/>
                <w:color w:val="000000"/>
              </w:rPr>
            </w:pPr>
            <w:r>
              <w:rPr>
                <w:rFonts w:ascii="Times New Roman" w:hAnsi="Times New Roman" w:cs="Times New Roman"/>
                <w:color w:val="000000"/>
              </w:rPr>
              <w:t>依托太钢厂区现有生活污水排水管网，最终进入太钢赵庄污水处理厂处理后回用，不外排</w:t>
            </w:r>
            <w:r>
              <w:rPr>
                <w:rFonts w:hint="eastAsia" w:ascii="Times New Roman" w:hAnsi="Times New Roman" w:cs="Times New Roman"/>
                <w:color w:val="000000"/>
              </w:rPr>
              <w:t>。</w:t>
            </w:r>
          </w:p>
        </w:tc>
        <w:tc>
          <w:tcPr>
            <w:tcW w:w="1133" w:type="dxa"/>
            <w:vAlign w:val="center"/>
          </w:tcPr>
          <w:p>
            <w:pPr>
              <w:spacing w:line="276" w:lineRule="auto"/>
              <w:jc w:val="center"/>
              <w:outlineLvl w:val="2"/>
              <w:rPr>
                <w:rFonts w:ascii="Times New Roman" w:hAnsi="Times New Roman" w:cs="Times New Roman"/>
                <w:color w:val="000000"/>
              </w:rPr>
            </w:pPr>
            <w:r>
              <w:rPr>
                <w:rFonts w:hint="eastAsia" w:ascii="Times New Roman" w:hAnsi="Times New Roman" w:cs="Times New Roman"/>
                <w:color w:val="000000"/>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597" w:type="dxa"/>
            <w:vMerge w:val="continue"/>
            <w:vAlign w:val="center"/>
          </w:tcPr>
          <w:p>
            <w:pPr>
              <w:spacing w:line="276" w:lineRule="auto"/>
              <w:jc w:val="center"/>
              <w:outlineLvl w:val="2"/>
              <w:rPr>
                <w:rFonts w:ascii="Times New Roman" w:hAnsi="Times New Roman" w:cs="Times New Roman"/>
                <w:color w:val="000000"/>
              </w:rPr>
            </w:pPr>
          </w:p>
        </w:tc>
        <w:tc>
          <w:tcPr>
            <w:tcW w:w="1364" w:type="dxa"/>
            <w:gridSpan w:val="2"/>
            <w:vAlign w:val="center"/>
          </w:tcPr>
          <w:p>
            <w:pPr>
              <w:spacing w:line="276" w:lineRule="auto"/>
              <w:jc w:val="center"/>
              <w:outlineLvl w:val="2"/>
              <w:rPr>
                <w:rFonts w:ascii="Times New Roman" w:hAnsi="Times New Roman" w:cs="Times New Roman"/>
                <w:color w:val="000000"/>
              </w:rPr>
            </w:pPr>
            <w:r>
              <w:rPr>
                <w:rFonts w:ascii="Times New Roman" w:hAnsi="Times New Roman" w:cs="Times New Roman"/>
                <w:color w:val="000000"/>
              </w:rPr>
              <w:t>噪声</w:t>
            </w:r>
          </w:p>
        </w:tc>
        <w:tc>
          <w:tcPr>
            <w:tcW w:w="2838" w:type="dxa"/>
            <w:vAlign w:val="center"/>
          </w:tcPr>
          <w:p>
            <w:pPr>
              <w:spacing w:line="276" w:lineRule="auto"/>
              <w:outlineLvl w:val="2"/>
              <w:rPr>
                <w:rFonts w:ascii="Times New Roman" w:hAnsi="Times New Roman" w:cs="Times New Roman"/>
                <w:color w:val="000000"/>
              </w:rPr>
            </w:pPr>
            <w:r>
              <w:rPr>
                <w:rFonts w:ascii="Times New Roman" w:hAnsi="Times New Roman" w:cs="Times New Roman"/>
                <w:color w:val="000000"/>
              </w:rPr>
              <w:t>基础减振、密闭厂房隔音、重视绿化，尽可能增加绿化面积</w:t>
            </w:r>
            <w:r>
              <w:rPr>
                <w:rFonts w:hint="eastAsia" w:ascii="Times New Roman" w:hAnsi="Times New Roman" w:cs="Times New Roman"/>
                <w:color w:val="000000"/>
              </w:rPr>
              <w:t>。</w:t>
            </w:r>
          </w:p>
        </w:tc>
        <w:tc>
          <w:tcPr>
            <w:tcW w:w="2838" w:type="dxa"/>
            <w:vAlign w:val="center"/>
          </w:tcPr>
          <w:p>
            <w:pPr>
              <w:spacing w:line="276" w:lineRule="auto"/>
              <w:outlineLvl w:val="2"/>
              <w:rPr>
                <w:rFonts w:ascii="Times New Roman" w:hAnsi="Times New Roman" w:cs="Times New Roman"/>
                <w:color w:val="000000"/>
              </w:rPr>
            </w:pPr>
            <w:r>
              <w:rPr>
                <w:rFonts w:ascii="Times New Roman" w:hAnsi="Times New Roman" w:cs="Times New Roman"/>
                <w:color w:val="000000"/>
              </w:rPr>
              <w:t>基础减振、密闭厂房隔音、绿化</w:t>
            </w:r>
            <w:r>
              <w:rPr>
                <w:rFonts w:hint="eastAsia" w:ascii="Times New Roman" w:hAnsi="Times New Roman" w:cs="Times New Roman"/>
                <w:color w:val="auto"/>
                <w:lang w:eastAsia="zh-CN"/>
              </w:rPr>
              <w:t>隔声</w:t>
            </w:r>
            <w:r>
              <w:rPr>
                <w:rFonts w:hint="eastAsia" w:ascii="Times New Roman" w:hAnsi="Times New Roman" w:cs="Times New Roman"/>
                <w:color w:val="auto"/>
              </w:rPr>
              <w:t>。</w:t>
            </w:r>
          </w:p>
        </w:tc>
        <w:tc>
          <w:tcPr>
            <w:tcW w:w="1133" w:type="dxa"/>
            <w:vAlign w:val="center"/>
          </w:tcPr>
          <w:p>
            <w:pPr>
              <w:spacing w:line="276" w:lineRule="auto"/>
              <w:jc w:val="center"/>
              <w:outlineLvl w:val="2"/>
              <w:rPr>
                <w:rFonts w:ascii="Times New Roman" w:hAnsi="Times New Roman" w:cs="Times New Roman"/>
                <w:color w:val="000000"/>
              </w:rPr>
            </w:pPr>
            <w:r>
              <w:rPr>
                <w:rFonts w:hint="eastAsia" w:ascii="Times New Roman" w:hAnsi="Times New Roman" w:cs="Times New Roman"/>
                <w:color w:val="000000"/>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597" w:type="dxa"/>
            <w:vMerge w:val="continue"/>
            <w:vAlign w:val="center"/>
          </w:tcPr>
          <w:p>
            <w:pPr>
              <w:spacing w:line="276" w:lineRule="auto"/>
              <w:jc w:val="center"/>
              <w:outlineLvl w:val="2"/>
              <w:rPr>
                <w:rFonts w:ascii="Times New Roman" w:hAnsi="Times New Roman" w:cs="Times New Roman"/>
                <w:color w:val="000000"/>
              </w:rPr>
            </w:pPr>
          </w:p>
        </w:tc>
        <w:tc>
          <w:tcPr>
            <w:tcW w:w="1364" w:type="dxa"/>
            <w:gridSpan w:val="2"/>
            <w:vAlign w:val="center"/>
          </w:tcPr>
          <w:p>
            <w:pPr>
              <w:spacing w:line="276" w:lineRule="auto"/>
              <w:jc w:val="center"/>
              <w:outlineLvl w:val="2"/>
              <w:rPr>
                <w:rFonts w:ascii="Times New Roman" w:hAnsi="Times New Roman" w:cs="Times New Roman"/>
                <w:color w:val="000000"/>
              </w:rPr>
            </w:pPr>
            <w:r>
              <w:rPr>
                <w:rFonts w:ascii="Times New Roman" w:hAnsi="Times New Roman" w:cs="Times New Roman"/>
                <w:color w:val="000000"/>
              </w:rPr>
              <w:t>固废</w:t>
            </w:r>
          </w:p>
        </w:tc>
        <w:tc>
          <w:tcPr>
            <w:tcW w:w="2838" w:type="dxa"/>
            <w:vAlign w:val="center"/>
          </w:tcPr>
          <w:p>
            <w:pPr>
              <w:spacing w:line="276" w:lineRule="auto"/>
              <w:outlineLvl w:val="2"/>
              <w:rPr>
                <w:rFonts w:ascii="Times New Roman" w:hAnsi="Times New Roman" w:cs="Times New Roman"/>
                <w:color w:val="000000"/>
              </w:rPr>
            </w:pPr>
            <w:r>
              <w:rPr>
                <w:rFonts w:ascii="Times New Roman" w:hAnsi="Times New Roman" w:cs="Times New Roman"/>
                <w:color w:val="000000"/>
              </w:rPr>
              <w:t>少量生活垃圾经厂区垃圾筒收集后由环卫部门统一清运处置</w:t>
            </w:r>
            <w:r>
              <w:rPr>
                <w:rFonts w:hint="eastAsia" w:ascii="Times New Roman" w:hAnsi="Times New Roman" w:cs="Times New Roman"/>
                <w:color w:val="000000"/>
              </w:rPr>
              <w:t>。</w:t>
            </w:r>
          </w:p>
        </w:tc>
        <w:tc>
          <w:tcPr>
            <w:tcW w:w="2838" w:type="dxa"/>
            <w:vAlign w:val="center"/>
          </w:tcPr>
          <w:p>
            <w:pPr>
              <w:spacing w:line="276" w:lineRule="auto"/>
              <w:outlineLvl w:val="2"/>
              <w:rPr>
                <w:rFonts w:ascii="Times New Roman" w:hAnsi="Times New Roman" w:cs="Times New Roman"/>
                <w:color w:val="000000"/>
              </w:rPr>
            </w:pPr>
            <w:r>
              <w:rPr>
                <w:rFonts w:ascii="Times New Roman" w:hAnsi="Times New Roman" w:cs="Times New Roman"/>
                <w:color w:val="000000"/>
              </w:rPr>
              <w:t>少量生活垃圾经厂区垃圾筒收集后由环卫部门统一清运处置</w:t>
            </w:r>
            <w:r>
              <w:rPr>
                <w:rFonts w:hint="eastAsia" w:ascii="Times New Roman" w:hAnsi="Times New Roman" w:cs="Times New Roman"/>
                <w:color w:val="000000"/>
              </w:rPr>
              <w:t>。</w:t>
            </w:r>
          </w:p>
        </w:tc>
        <w:tc>
          <w:tcPr>
            <w:tcW w:w="1133" w:type="dxa"/>
            <w:vAlign w:val="center"/>
          </w:tcPr>
          <w:p>
            <w:pPr>
              <w:spacing w:line="276" w:lineRule="auto"/>
              <w:jc w:val="center"/>
              <w:outlineLvl w:val="2"/>
              <w:rPr>
                <w:rFonts w:ascii="Times New Roman" w:hAnsi="Times New Roman" w:cs="Times New Roman"/>
                <w:color w:val="000000"/>
              </w:rPr>
            </w:pPr>
            <w:r>
              <w:rPr>
                <w:rFonts w:hint="eastAsia" w:ascii="Times New Roman" w:hAnsi="Times New Roman" w:cs="Times New Roman"/>
                <w:color w:val="000000"/>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597" w:type="dxa"/>
            <w:vMerge w:val="continue"/>
            <w:vAlign w:val="center"/>
          </w:tcPr>
          <w:p>
            <w:pPr>
              <w:spacing w:line="276" w:lineRule="auto"/>
              <w:jc w:val="center"/>
              <w:outlineLvl w:val="2"/>
              <w:rPr>
                <w:rFonts w:ascii="Times New Roman" w:hAnsi="Times New Roman" w:cs="Times New Roman"/>
                <w:color w:val="000000"/>
              </w:rPr>
            </w:pPr>
          </w:p>
        </w:tc>
        <w:tc>
          <w:tcPr>
            <w:tcW w:w="1364" w:type="dxa"/>
            <w:gridSpan w:val="2"/>
            <w:vAlign w:val="center"/>
          </w:tcPr>
          <w:p>
            <w:pPr>
              <w:spacing w:line="276" w:lineRule="auto"/>
              <w:jc w:val="center"/>
              <w:outlineLvl w:val="2"/>
              <w:rPr>
                <w:rFonts w:ascii="Times New Roman" w:hAnsi="Times New Roman" w:cs="Times New Roman"/>
                <w:color w:val="000000"/>
              </w:rPr>
            </w:pPr>
            <w:r>
              <w:rPr>
                <w:rFonts w:ascii="Times New Roman" w:hAnsi="Times New Roman" w:cs="Times New Roman"/>
                <w:color w:val="000000"/>
              </w:rPr>
              <w:t>绿化</w:t>
            </w:r>
          </w:p>
        </w:tc>
        <w:tc>
          <w:tcPr>
            <w:tcW w:w="2838" w:type="dxa"/>
            <w:vAlign w:val="center"/>
          </w:tcPr>
          <w:p>
            <w:pPr>
              <w:autoSpaceDE w:val="0"/>
              <w:autoSpaceDN w:val="0"/>
              <w:spacing w:line="276" w:lineRule="auto"/>
              <w:rPr>
                <w:rFonts w:ascii="Times New Roman" w:hAnsi="Times New Roman" w:cs="Times New Roman"/>
                <w:color w:val="000000"/>
              </w:rPr>
            </w:pPr>
            <w:r>
              <w:rPr>
                <w:rFonts w:ascii="Times New Roman" w:hAnsi="Times New Roman" w:cs="Times New Roman"/>
                <w:color w:val="000000"/>
              </w:rPr>
              <w:t>在发电机房周围及其它地面硬化以外的零散空地种植花草树木进行绿化</w:t>
            </w:r>
            <w:r>
              <w:rPr>
                <w:rFonts w:hint="eastAsia" w:ascii="Times New Roman" w:hAnsi="Times New Roman" w:cs="Times New Roman"/>
                <w:color w:val="000000"/>
              </w:rPr>
              <w:t>。</w:t>
            </w:r>
          </w:p>
        </w:tc>
        <w:tc>
          <w:tcPr>
            <w:tcW w:w="2838" w:type="dxa"/>
            <w:vAlign w:val="center"/>
          </w:tcPr>
          <w:p>
            <w:pPr>
              <w:autoSpaceDE w:val="0"/>
              <w:autoSpaceDN w:val="0"/>
              <w:spacing w:line="276" w:lineRule="auto"/>
              <w:rPr>
                <w:rFonts w:ascii="Times New Roman" w:hAnsi="Times New Roman" w:cs="Times New Roman"/>
                <w:color w:val="000000"/>
              </w:rPr>
            </w:pPr>
            <w:r>
              <w:rPr>
                <w:rFonts w:ascii="Times New Roman" w:hAnsi="Times New Roman" w:cs="Times New Roman"/>
                <w:color w:val="000000"/>
              </w:rPr>
              <w:t>在发电机房周围及其它地面硬化以外的零散空地种植花草树木进行绿化</w:t>
            </w:r>
            <w:r>
              <w:rPr>
                <w:rFonts w:hint="eastAsia" w:ascii="Times New Roman" w:hAnsi="Times New Roman" w:cs="Times New Roman"/>
                <w:color w:val="000000"/>
              </w:rPr>
              <w:t>。</w:t>
            </w:r>
          </w:p>
        </w:tc>
        <w:tc>
          <w:tcPr>
            <w:tcW w:w="1133" w:type="dxa"/>
            <w:vAlign w:val="center"/>
          </w:tcPr>
          <w:p>
            <w:pPr>
              <w:autoSpaceDE w:val="0"/>
              <w:autoSpaceDN w:val="0"/>
              <w:spacing w:line="276" w:lineRule="auto"/>
              <w:jc w:val="center"/>
              <w:rPr>
                <w:rFonts w:ascii="Times New Roman" w:hAnsi="Times New Roman" w:cs="Times New Roman"/>
                <w:color w:val="000000"/>
              </w:rPr>
            </w:pPr>
            <w:r>
              <w:rPr>
                <w:rFonts w:hint="eastAsia" w:ascii="Times New Roman" w:hAnsi="Times New Roman" w:cs="Times New Roman"/>
                <w:color w:val="000000"/>
              </w:rPr>
              <w:t>一致</w:t>
            </w:r>
          </w:p>
        </w:tc>
      </w:tr>
    </w:tbl>
    <w:p>
      <w:pPr>
        <w:pStyle w:val="61"/>
        <w:snapToGrid w:val="0"/>
        <w:spacing w:before="0" w:beforeAutospacing="0" w:after="0" w:afterAutospacing="0" w:line="500" w:lineRule="exact"/>
        <w:ind w:firstLine="560" w:firstLineChars="200"/>
        <w:jc w:val="both"/>
        <w:outlineLvl w:val="1"/>
        <w:rPr>
          <w:rFonts w:ascii="Times New Roman" w:hAnsi="Times New Roman" w:cs="Times New Roman"/>
          <w:color w:val="000000"/>
          <w:sz w:val="28"/>
          <w:szCs w:val="28"/>
        </w:rPr>
      </w:pPr>
      <w:r>
        <w:rPr>
          <w:rFonts w:ascii="Times New Roman" w:hAnsi="Times New Roman" w:cs="Times New Roman"/>
          <w:color w:val="000000"/>
          <w:sz w:val="28"/>
          <w:szCs w:val="28"/>
        </w:rPr>
        <w:t>（二）建设过程及环保审批情况</w:t>
      </w:r>
    </w:p>
    <w:p>
      <w:pPr>
        <w:shd w:val="clear" w:color="auto" w:fill="FFFFFF"/>
        <w:snapToGrid w:val="0"/>
        <w:spacing w:line="500" w:lineRule="exact"/>
        <w:ind w:firstLine="560" w:firstLineChars="200"/>
        <w:rPr>
          <w:rFonts w:ascii="Times New Roman" w:hAnsi="Times New Roman" w:cs="Times New Roman"/>
          <w:color w:val="000000"/>
          <w:sz w:val="28"/>
          <w:szCs w:val="28"/>
        </w:rPr>
      </w:pPr>
      <w:r>
        <w:rPr>
          <w:rFonts w:ascii="Times New Roman" w:hAnsi="Times New Roman" w:cs="Times New Roman"/>
          <w:color w:val="000000"/>
          <w:sz w:val="28"/>
          <w:szCs w:val="28"/>
        </w:rPr>
        <w:t>1、项目环境影响报告表编制与审批情况</w:t>
      </w:r>
    </w:p>
    <w:p>
      <w:pPr>
        <w:autoSpaceDE w:val="0"/>
        <w:autoSpaceDN w:val="0"/>
        <w:snapToGrid w:val="0"/>
        <w:spacing w:line="500" w:lineRule="exact"/>
        <w:ind w:firstLine="560" w:firstLineChars="200"/>
        <w:rPr>
          <w:rFonts w:ascii="Times New Roman" w:hAnsi="Times New Roman" w:cs="Times New Roman"/>
          <w:sz w:val="28"/>
          <w:szCs w:val="28"/>
        </w:rPr>
      </w:pPr>
      <w:r>
        <w:rPr>
          <w:rFonts w:ascii="Times New Roman" w:hAnsi="Times New Roman" w:cs="Times New Roman"/>
          <w:sz w:val="28"/>
          <w:szCs w:val="28"/>
        </w:rPr>
        <w:t>山西</w:t>
      </w:r>
      <w:r>
        <w:rPr>
          <w:rFonts w:hint="eastAsia" w:ascii="Times New Roman" w:hAnsi="Times New Roman" w:cs="Times New Roman"/>
          <w:sz w:val="28"/>
          <w:szCs w:val="28"/>
        </w:rPr>
        <w:t>清泽阳光环保科技</w:t>
      </w:r>
      <w:r>
        <w:rPr>
          <w:rFonts w:ascii="Times New Roman" w:hAnsi="Times New Roman" w:cs="Times New Roman"/>
          <w:sz w:val="28"/>
          <w:szCs w:val="28"/>
        </w:rPr>
        <w:t>有限公司于2016</w:t>
      </w:r>
      <w:r>
        <w:rPr>
          <w:rFonts w:hint="eastAsia" w:ascii="Times New Roman" w:hAnsi="Times New Roman" w:cs="Times New Roman"/>
          <w:sz w:val="28"/>
          <w:szCs w:val="28"/>
        </w:rPr>
        <w:t>年7月</w:t>
      </w:r>
      <w:r>
        <w:rPr>
          <w:rFonts w:ascii="Times New Roman" w:hAnsi="Times New Roman" w:cs="Times New Roman"/>
          <w:sz w:val="28"/>
          <w:szCs w:val="28"/>
        </w:rPr>
        <w:t>编制完成了《</w:t>
      </w:r>
      <w:r>
        <w:rPr>
          <w:rFonts w:hint="eastAsia" w:ascii="Times New Roman" w:hAnsi="Times New Roman" w:cs="Times New Roman"/>
          <w:sz w:val="28"/>
          <w:szCs w:val="28"/>
        </w:rPr>
        <w:t>山西太钢不锈钢股份有限公司低参数余热利用项目</w:t>
      </w:r>
      <w:r>
        <w:rPr>
          <w:rFonts w:ascii="Times New Roman" w:hAnsi="Times New Roman" w:cs="Times New Roman"/>
          <w:sz w:val="28"/>
          <w:szCs w:val="28"/>
        </w:rPr>
        <w:t>环境影响报告表》。</w:t>
      </w:r>
      <w:r>
        <w:rPr>
          <w:rFonts w:hint="eastAsia" w:ascii="Times New Roman" w:hAnsi="Times New Roman" w:cs="Times New Roman"/>
          <w:sz w:val="28"/>
          <w:szCs w:val="28"/>
        </w:rPr>
        <w:t>太原市环境保护局尖草坪分局</w:t>
      </w:r>
      <w:r>
        <w:rPr>
          <w:rFonts w:ascii="Times New Roman" w:hAnsi="Times New Roman" w:cs="Times New Roman"/>
          <w:sz w:val="28"/>
          <w:szCs w:val="28"/>
        </w:rPr>
        <w:t>于201</w:t>
      </w:r>
      <w:r>
        <w:rPr>
          <w:rFonts w:hint="eastAsia" w:ascii="Times New Roman" w:hAnsi="Times New Roman" w:cs="Times New Roman"/>
          <w:sz w:val="28"/>
          <w:szCs w:val="28"/>
        </w:rPr>
        <w:t>6</w:t>
      </w:r>
      <w:r>
        <w:rPr>
          <w:rFonts w:ascii="Times New Roman" w:hAnsi="Times New Roman" w:cs="Times New Roman"/>
          <w:sz w:val="28"/>
          <w:szCs w:val="28"/>
        </w:rPr>
        <w:t>年</w:t>
      </w:r>
      <w:r>
        <w:rPr>
          <w:rFonts w:hint="eastAsia" w:ascii="Times New Roman" w:hAnsi="Times New Roman" w:cs="Times New Roman"/>
          <w:sz w:val="28"/>
          <w:szCs w:val="28"/>
          <w:lang w:val="en-US" w:eastAsia="zh-CN"/>
        </w:rPr>
        <w:t>9</w:t>
      </w:r>
      <w:r>
        <w:rPr>
          <w:rFonts w:ascii="Times New Roman" w:hAnsi="Times New Roman" w:cs="Times New Roman"/>
          <w:sz w:val="28"/>
          <w:szCs w:val="28"/>
        </w:rPr>
        <w:t>月</w:t>
      </w:r>
      <w:r>
        <w:rPr>
          <w:rFonts w:hint="eastAsia" w:ascii="Times New Roman" w:hAnsi="Times New Roman" w:cs="Times New Roman"/>
          <w:sz w:val="28"/>
          <w:szCs w:val="28"/>
          <w:lang w:val="en-US" w:eastAsia="zh-CN"/>
        </w:rPr>
        <w:t>5</w:t>
      </w:r>
      <w:r>
        <w:rPr>
          <w:rFonts w:ascii="Times New Roman" w:hAnsi="Times New Roman" w:cs="Times New Roman"/>
          <w:sz w:val="28"/>
          <w:szCs w:val="28"/>
        </w:rPr>
        <w:t>日以</w:t>
      </w:r>
      <w:r>
        <w:rPr>
          <w:rFonts w:hint="eastAsia" w:ascii="Times New Roman" w:hAnsi="Times New Roman" w:cs="Times New Roman"/>
          <w:sz w:val="28"/>
          <w:szCs w:val="28"/>
        </w:rPr>
        <w:t>并环尖审批</w:t>
      </w:r>
      <w:r>
        <w:rPr>
          <w:rFonts w:ascii="Times New Roman" w:hAnsi="Times New Roman" w:cs="Times New Roman"/>
          <w:sz w:val="28"/>
          <w:szCs w:val="28"/>
        </w:rPr>
        <w:t>审批〔201</w:t>
      </w:r>
      <w:r>
        <w:rPr>
          <w:rFonts w:hint="eastAsia" w:ascii="Times New Roman" w:hAnsi="Times New Roman" w:cs="Times New Roman"/>
          <w:sz w:val="28"/>
          <w:szCs w:val="28"/>
        </w:rPr>
        <w:t>6</w:t>
      </w:r>
      <w:r>
        <w:rPr>
          <w:rFonts w:ascii="Times New Roman" w:hAnsi="Times New Roman" w:cs="Times New Roman"/>
          <w:sz w:val="28"/>
          <w:szCs w:val="28"/>
        </w:rPr>
        <w:t>〕第</w:t>
      </w:r>
      <w:r>
        <w:rPr>
          <w:rFonts w:hint="eastAsia" w:ascii="Times New Roman" w:hAnsi="Times New Roman" w:cs="Times New Roman"/>
          <w:sz w:val="28"/>
          <w:szCs w:val="28"/>
        </w:rPr>
        <w:t>33</w:t>
      </w:r>
      <w:r>
        <w:rPr>
          <w:rFonts w:ascii="Times New Roman" w:hAnsi="Times New Roman" w:cs="Times New Roman"/>
          <w:sz w:val="28"/>
          <w:szCs w:val="28"/>
        </w:rPr>
        <w:t>号文对该项目环境影响报告表进行了批复。</w:t>
      </w:r>
    </w:p>
    <w:p>
      <w:pPr>
        <w:shd w:val="clear" w:color="auto" w:fill="FFFFFF"/>
        <w:snapToGrid w:val="0"/>
        <w:spacing w:line="500" w:lineRule="exact"/>
        <w:ind w:firstLine="560" w:firstLineChars="200"/>
        <w:rPr>
          <w:rFonts w:ascii="Times New Roman" w:hAnsi="Times New Roman" w:cs="Times New Roman"/>
          <w:sz w:val="28"/>
          <w:szCs w:val="28"/>
        </w:rPr>
      </w:pPr>
      <w:r>
        <w:rPr>
          <w:rFonts w:ascii="Times New Roman" w:hAnsi="Times New Roman" w:cs="Times New Roman"/>
          <w:sz w:val="28"/>
          <w:szCs w:val="28"/>
        </w:rPr>
        <w:t>2、开工与竣工时间、调试运行时间</w:t>
      </w:r>
    </w:p>
    <w:p>
      <w:pPr>
        <w:shd w:val="clear" w:color="auto" w:fill="FFFFFF"/>
        <w:snapToGrid w:val="0"/>
        <w:spacing w:line="500" w:lineRule="exact"/>
        <w:ind w:firstLine="560" w:firstLineChars="200"/>
        <w:rPr>
          <w:rFonts w:ascii="Times New Roman" w:hAnsi="Times New Roman" w:cs="Times New Roman"/>
          <w:sz w:val="28"/>
          <w:szCs w:val="28"/>
        </w:rPr>
      </w:pPr>
      <w:r>
        <w:rPr>
          <w:rFonts w:ascii="Times New Roman" w:hAnsi="Times New Roman" w:cs="Times New Roman"/>
          <w:sz w:val="28"/>
          <w:szCs w:val="28"/>
        </w:rPr>
        <w:t>项目于</w:t>
      </w:r>
      <w:r>
        <w:rPr>
          <w:rFonts w:hint="eastAsia" w:ascii="Times New Roman" w:hAnsi="Times New Roman" w:cs="Times New Roman"/>
          <w:sz w:val="28"/>
          <w:szCs w:val="28"/>
        </w:rPr>
        <w:t>2018年4月</w:t>
      </w:r>
      <w:r>
        <w:rPr>
          <w:rFonts w:ascii="Times New Roman" w:hAnsi="Times New Roman" w:cs="Times New Roman"/>
          <w:sz w:val="28"/>
          <w:szCs w:val="28"/>
        </w:rPr>
        <w:t>开工建设，于</w:t>
      </w:r>
      <w:r>
        <w:rPr>
          <w:rFonts w:hint="eastAsia" w:ascii="Times New Roman" w:hAnsi="Times New Roman" w:cs="Times New Roman"/>
          <w:sz w:val="28"/>
          <w:szCs w:val="28"/>
          <w:lang w:val="en-US" w:eastAsia="zh-CN"/>
        </w:rPr>
        <w:t>2020</w:t>
      </w:r>
      <w:r>
        <w:rPr>
          <w:rFonts w:ascii="Times New Roman" w:hAnsi="Times New Roman" w:cs="Times New Roman"/>
          <w:sz w:val="28"/>
          <w:szCs w:val="28"/>
        </w:rPr>
        <w:t>年</w:t>
      </w:r>
      <w:r>
        <w:rPr>
          <w:rFonts w:hint="eastAsia" w:ascii="Times New Roman" w:hAnsi="Times New Roman" w:cs="Times New Roman"/>
          <w:sz w:val="28"/>
          <w:szCs w:val="28"/>
          <w:lang w:val="en-US" w:eastAsia="zh-CN"/>
        </w:rPr>
        <w:t>6</w:t>
      </w:r>
      <w:r>
        <w:rPr>
          <w:rFonts w:ascii="Times New Roman" w:hAnsi="Times New Roman" w:cs="Times New Roman"/>
          <w:sz w:val="28"/>
          <w:szCs w:val="28"/>
        </w:rPr>
        <w:t>月竣工，</w:t>
      </w:r>
      <w:r>
        <w:rPr>
          <w:rFonts w:hint="eastAsia" w:ascii="Times New Roman" w:hAnsi="Times New Roman" w:cs="Times New Roman"/>
          <w:sz w:val="28"/>
          <w:szCs w:val="28"/>
        </w:rPr>
        <w:t>2021</w:t>
      </w:r>
      <w:r>
        <w:rPr>
          <w:rFonts w:ascii="Times New Roman" w:hAnsi="Times New Roman" w:cs="Times New Roman"/>
          <w:sz w:val="28"/>
          <w:szCs w:val="28"/>
        </w:rPr>
        <w:t>年</w:t>
      </w:r>
      <w:r>
        <w:rPr>
          <w:rFonts w:hint="eastAsia" w:ascii="Times New Roman" w:hAnsi="Times New Roman" w:cs="Times New Roman"/>
          <w:sz w:val="28"/>
          <w:szCs w:val="28"/>
        </w:rPr>
        <w:t>3</w:t>
      </w:r>
      <w:r>
        <w:rPr>
          <w:rFonts w:ascii="Times New Roman" w:hAnsi="Times New Roman" w:cs="Times New Roman"/>
          <w:sz w:val="28"/>
          <w:szCs w:val="28"/>
        </w:rPr>
        <w:t>月至</w:t>
      </w:r>
      <w:r>
        <w:rPr>
          <w:rFonts w:hint="eastAsia" w:ascii="Times New Roman" w:hAnsi="Times New Roman" w:cs="Times New Roman"/>
          <w:sz w:val="28"/>
          <w:szCs w:val="28"/>
        </w:rPr>
        <w:t>2021</w:t>
      </w:r>
      <w:r>
        <w:rPr>
          <w:rFonts w:ascii="Times New Roman" w:hAnsi="Times New Roman" w:cs="Times New Roman"/>
          <w:sz w:val="28"/>
          <w:szCs w:val="28"/>
        </w:rPr>
        <w:t>年</w:t>
      </w:r>
      <w:r>
        <w:rPr>
          <w:rFonts w:hint="eastAsia" w:ascii="Times New Roman" w:hAnsi="Times New Roman" w:cs="Times New Roman"/>
          <w:sz w:val="28"/>
          <w:szCs w:val="28"/>
        </w:rPr>
        <w:t>8</w:t>
      </w:r>
      <w:r>
        <w:rPr>
          <w:rFonts w:ascii="Times New Roman" w:hAnsi="Times New Roman" w:cs="Times New Roman"/>
          <w:sz w:val="28"/>
          <w:szCs w:val="28"/>
        </w:rPr>
        <w:t>月进行</w:t>
      </w:r>
      <w:r>
        <w:rPr>
          <w:rFonts w:hint="eastAsia" w:ascii="Times New Roman" w:hAnsi="Times New Roman" w:cs="Times New Roman"/>
          <w:sz w:val="28"/>
          <w:szCs w:val="28"/>
        </w:rPr>
        <w:t>试生产并进行环保设施调试。调试期间，委托山西太钢环境监测有限公司于2021</w:t>
      </w:r>
      <w:r>
        <w:rPr>
          <w:rFonts w:ascii="Times New Roman" w:hAnsi="Times New Roman" w:cs="Times New Roman"/>
          <w:sz w:val="28"/>
          <w:szCs w:val="28"/>
        </w:rPr>
        <w:t>年</w:t>
      </w:r>
      <w:r>
        <w:rPr>
          <w:rFonts w:hint="eastAsia" w:ascii="Times New Roman" w:hAnsi="Times New Roman" w:cs="Times New Roman"/>
          <w:sz w:val="28"/>
          <w:szCs w:val="28"/>
        </w:rPr>
        <w:t>8</w:t>
      </w:r>
      <w:r>
        <w:rPr>
          <w:rFonts w:ascii="Times New Roman" w:hAnsi="Times New Roman" w:cs="Times New Roman"/>
          <w:sz w:val="28"/>
          <w:szCs w:val="28"/>
        </w:rPr>
        <w:t>月</w:t>
      </w:r>
      <w:r>
        <w:rPr>
          <w:rFonts w:hint="eastAsia" w:ascii="Times New Roman" w:hAnsi="Times New Roman" w:cs="Times New Roman"/>
          <w:sz w:val="28"/>
          <w:szCs w:val="28"/>
        </w:rPr>
        <w:t>9</w:t>
      </w:r>
      <w:r>
        <w:rPr>
          <w:rFonts w:ascii="Times New Roman" w:hAnsi="Times New Roman" w:cs="Times New Roman"/>
          <w:sz w:val="28"/>
          <w:szCs w:val="28"/>
        </w:rPr>
        <w:t>日至</w:t>
      </w:r>
      <w:r>
        <w:rPr>
          <w:rFonts w:hint="eastAsia" w:ascii="Times New Roman" w:hAnsi="Times New Roman" w:cs="Times New Roman"/>
          <w:sz w:val="28"/>
          <w:szCs w:val="28"/>
        </w:rPr>
        <w:t>8</w:t>
      </w:r>
      <w:r>
        <w:rPr>
          <w:rFonts w:ascii="Times New Roman" w:hAnsi="Times New Roman" w:cs="Times New Roman"/>
          <w:sz w:val="28"/>
          <w:szCs w:val="28"/>
        </w:rPr>
        <w:t>月</w:t>
      </w:r>
      <w:r>
        <w:rPr>
          <w:rFonts w:hint="eastAsia" w:ascii="Times New Roman" w:hAnsi="Times New Roman" w:cs="Times New Roman"/>
          <w:sz w:val="28"/>
          <w:szCs w:val="28"/>
        </w:rPr>
        <w:t>10</w:t>
      </w:r>
      <w:r>
        <w:rPr>
          <w:rFonts w:ascii="Times New Roman" w:hAnsi="Times New Roman" w:cs="Times New Roman"/>
          <w:sz w:val="28"/>
          <w:szCs w:val="28"/>
        </w:rPr>
        <w:t>日按照验收监测方案开展了验收监测和环境管理检查。</w:t>
      </w:r>
    </w:p>
    <w:p>
      <w:pPr>
        <w:shd w:val="clear" w:color="auto" w:fill="FFFFFF"/>
        <w:snapToGrid w:val="0"/>
        <w:spacing w:line="500" w:lineRule="exact"/>
        <w:ind w:firstLine="560" w:firstLineChars="200"/>
        <w:rPr>
          <w:rFonts w:ascii="Times New Roman" w:hAnsi="Times New Roman" w:cs="Times New Roman"/>
          <w:color w:val="000000"/>
          <w:sz w:val="28"/>
          <w:szCs w:val="28"/>
        </w:rPr>
      </w:pPr>
      <w:r>
        <w:rPr>
          <w:rFonts w:hint="eastAsia" w:ascii="Times New Roman" w:hAnsi="Times New Roman" w:cs="Times New Roman"/>
          <w:color w:val="000000"/>
          <w:sz w:val="28"/>
          <w:szCs w:val="28"/>
        </w:rPr>
        <w:t>3</w:t>
      </w:r>
      <w:r>
        <w:rPr>
          <w:rFonts w:ascii="Times New Roman" w:hAnsi="Times New Roman" w:cs="Times New Roman"/>
          <w:color w:val="000000"/>
          <w:sz w:val="28"/>
          <w:szCs w:val="28"/>
        </w:rPr>
        <w:t>、项目从立项至调试过程中无环境投诉、违法或处罚记录等。</w:t>
      </w:r>
    </w:p>
    <w:p>
      <w:pPr>
        <w:pStyle w:val="61"/>
        <w:snapToGrid w:val="0"/>
        <w:spacing w:before="0" w:beforeAutospacing="0" w:after="0" w:afterAutospacing="0" w:line="500" w:lineRule="exact"/>
        <w:ind w:firstLine="560" w:firstLineChars="200"/>
        <w:jc w:val="both"/>
        <w:outlineLvl w:val="1"/>
        <w:rPr>
          <w:rFonts w:ascii="Times New Roman" w:hAnsi="Times New Roman" w:cs="Times New Roman"/>
          <w:color w:val="000000"/>
          <w:sz w:val="28"/>
          <w:szCs w:val="28"/>
        </w:rPr>
      </w:pPr>
      <w:r>
        <w:rPr>
          <w:rFonts w:ascii="Times New Roman" w:hAnsi="Times New Roman" w:cs="Times New Roman"/>
          <w:color w:val="000000"/>
          <w:sz w:val="28"/>
          <w:szCs w:val="28"/>
        </w:rPr>
        <w:t>（三）投资情况</w:t>
      </w:r>
    </w:p>
    <w:p>
      <w:pPr>
        <w:ind w:firstLine="560" w:firstLineChars="200"/>
        <w:rPr>
          <w:rFonts w:ascii="Times New Roman" w:hAnsi="Times New Roman" w:cs="Times New Roman"/>
          <w:sz w:val="28"/>
          <w:szCs w:val="28"/>
        </w:rPr>
      </w:pPr>
      <w:r>
        <w:rPr>
          <w:rFonts w:ascii="Times New Roman" w:hAnsi="Times New Roman" w:cs="Times New Roman"/>
          <w:sz w:val="28"/>
          <w:szCs w:val="28"/>
        </w:rPr>
        <w:t>项目实际</w:t>
      </w:r>
      <w:r>
        <w:rPr>
          <w:rFonts w:ascii="Times New Roman" w:hAnsi="Times New Roman" w:cs="Times New Roman"/>
          <w:color w:val="000000"/>
          <w:sz w:val="28"/>
          <w:szCs w:val="28"/>
        </w:rPr>
        <w:t>总投资</w:t>
      </w:r>
      <w:r>
        <w:rPr>
          <w:rFonts w:hint="eastAsia" w:ascii="Times New Roman" w:hAnsi="Times New Roman" w:cs="Times New Roman"/>
          <w:sz w:val="28"/>
          <w:szCs w:val="28"/>
        </w:rPr>
        <w:t>12232.63</w:t>
      </w:r>
      <w:r>
        <w:rPr>
          <w:rFonts w:ascii="Times New Roman" w:hAnsi="Times New Roman" w:cs="Times New Roman"/>
          <w:sz w:val="28"/>
          <w:szCs w:val="28"/>
        </w:rPr>
        <w:t>万元，其中环保投资196万元，占总投资的1.6%。</w:t>
      </w:r>
    </w:p>
    <w:p>
      <w:pPr>
        <w:pStyle w:val="61"/>
        <w:snapToGrid w:val="0"/>
        <w:spacing w:before="0" w:beforeAutospacing="0" w:after="0" w:afterAutospacing="0" w:line="500" w:lineRule="exact"/>
        <w:ind w:firstLine="560" w:firstLineChars="200"/>
        <w:jc w:val="both"/>
        <w:outlineLvl w:val="1"/>
        <w:rPr>
          <w:rFonts w:ascii="Times New Roman" w:hAnsi="Times New Roman" w:cs="Times New Roman"/>
          <w:color w:val="000000"/>
          <w:sz w:val="28"/>
          <w:szCs w:val="28"/>
        </w:rPr>
      </w:pPr>
      <w:r>
        <w:rPr>
          <w:rFonts w:ascii="Times New Roman" w:hAnsi="Times New Roman" w:cs="Times New Roman"/>
          <w:color w:val="000000"/>
          <w:sz w:val="28"/>
          <w:szCs w:val="28"/>
        </w:rPr>
        <w:t>（四）验收范围</w:t>
      </w:r>
    </w:p>
    <w:p>
      <w:pPr>
        <w:overflowPunct w:val="0"/>
        <w:snapToGrid w:val="0"/>
        <w:spacing w:line="500" w:lineRule="exact"/>
        <w:ind w:firstLine="560" w:firstLineChars="200"/>
        <w:jc w:val="left"/>
        <w:rPr>
          <w:rFonts w:ascii="Times New Roman" w:hAnsi="Times New Roman" w:cs="Times New Roman"/>
          <w:sz w:val="28"/>
          <w:szCs w:val="28"/>
        </w:rPr>
      </w:pPr>
      <w:r>
        <w:rPr>
          <w:rFonts w:ascii="Times New Roman" w:hAnsi="Times New Roman" w:cs="Times New Roman"/>
          <w:color w:val="000000"/>
          <w:sz w:val="28"/>
          <w:szCs w:val="28"/>
        </w:rPr>
        <w:t>本次竣工环</w:t>
      </w:r>
      <w:r>
        <w:rPr>
          <w:rFonts w:ascii="Times New Roman" w:hAnsi="Times New Roman" w:cs="Times New Roman"/>
          <w:sz w:val="28"/>
          <w:szCs w:val="28"/>
        </w:rPr>
        <w:t>境</w:t>
      </w:r>
      <w:r>
        <w:rPr>
          <w:rFonts w:ascii="Times New Roman" w:hAnsi="Times New Roman" w:cs="Times New Roman"/>
          <w:color w:val="000000"/>
          <w:sz w:val="28"/>
          <w:szCs w:val="28"/>
        </w:rPr>
        <w:t>保护验收</w:t>
      </w:r>
      <w:r>
        <w:rPr>
          <w:rFonts w:hint="eastAsia" w:ascii="Times New Roman" w:hAnsi="Times New Roman" w:cs="Times New Roman"/>
          <w:color w:val="000000"/>
          <w:sz w:val="28"/>
          <w:szCs w:val="28"/>
        </w:rPr>
        <w:t>山西太钢不锈钢股份有限公司</w:t>
      </w:r>
      <w:r>
        <w:rPr>
          <w:rFonts w:hint="eastAsia" w:ascii="Times New Roman" w:hAnsi="Times New Roman" w:cs="Times New Roman"/>
          <w:sz w:val="28"/>
          <w:szCs w:val="28"/>
        </w:rPr>
        <w:t>低参数余热利用项目</w:t>
      </w:r>
      <w:r>
        <w:rPr>
          <w:rFonts w:ascii="Times New Roman" w:hAnsi="Times New Roman" w:cs="Times New Roman"/>
          <w:color w:val="000000"/>
          <w:sz w:val="28"/>
          <w:szCs w:val="28"/>
        </w:rPr>
        <w:t>的主体工程、</w:t>
      </w:r>
      <w:r>
        <w:rPr>
          <w:rFonts w:hint="eastAsia" w:ascii="Times New Roman" w:hAnsi="Times New Roman" w:cs="Times New Roman"/>
          <w:color w:val="000000"/>
          <w:sz w:val="28"/>
          <w:szCs w:val="28"/>
        </w:rPr>
        <w:t>辅助工程</w:t>
      </w:r>
      <w:r>
        <w:rPr>
          <w:rFonts w:ascii="Times New Roman" w:hAnsi="Times New Roman" w:cs="Times New Roman"/>
          <w:color w:val="000000"/>
          <w:sz w:val="28"/>
          <w:szCs w:val="28"/>
        </w:rPr>
        <w:t>、</w:t>
      </w:r>
      <w:r>
        <w:rPr>
          <w:rFonts w:hint="eastAsia" w:ascii="Times New Roman" w:hAnsi="Times New Roman" w:cs="Times New Roman"/>
          <w:color w:val="000000"/>
          <w:sz w:val="28"/>
          <w:szCs w:val="28"/>
        </w:rPr>
        <w:t>环保工程</w:t>
      </w:r>
      <w:r>
        <w:rPr>
          <w:rFonts w:ascii="Times New Roman" w:hAnsi="Times New Roman" w:cs="Times New Roman"/>
          <w:color w:val="000000"/>
          <w:sz w:val="28"/>
          <w:szCs w:val="28"/>
        </w:rPr>
        <w:t>等</w:t>
      </w:r>
      <w:r>
        <w:rPr>
          <w:rFonts w:hint="eastAsia" w:ascii="Times New Roman" w:hAnsi="Times New Roman" w:cs="Times New Roman"/>
          <w:color w:val="000000"/>
          <w:sz w:val="28"/>
          <w:szCs w:val="28"/>
        </w:rPr>
        <w:t>。</w:t>
      </w:r>
    </w:p>
    <w:p>
      <w:pPr>
        <w:pStyle w:val="61"/>
        <w:snapToGrid w:val="0"/>
        <w:spacing w:before="0" w:beforeAutospacing="0" w:after="0" w:afterAutospacing="0" w:line="500" w:lineRule="exact"/>
        <w:ind w:firstLine="562" w:firstLineChars="200"/>
        <w:jc w:val="both"/>
        <w:outlineLvl w:val="0"/>
        <w:rPr>
          <w:rFonts w:ascii="Times New Roman" w:hAnsi="Times New Roman" w:cs="Times New Roman"/>
          <w:b/>
          <w:bCs/>
          <w:kern w:val="2"/>
          <w:sz w:val="28"/>
          <w:szCs w:val="28"/>
        </w:rPr>
      </w:pPr>
      <w:r>
        <w:rPr>
          <w:rFonts w:ascii="Times New Roman" w:hAnsi="Times New Roman" w:cs="Times New Roman"/>
          <w:b/>
          <w:bCs/>
          <w:kern w:val="2"/>
          <w:sz w:val="28"/>
          <w:szCs w:val="28"/>
        </w:rPr>
        <w:t>二、工程变动情况</w:t>
      </w:r>
    </w:p>
    <w:p>
      <w:pPr>
        <w:autoSpaceDE w:val="0"/>
        <w:autoSpaceDN w:val="0"/>
        <w:snapToGrid w:val="0"/>
        <w:spacing w:line="500" w:lineRule="exact"/>
        <w:ind w:firstLine="560" w:firstLineChars="200"/>
        <w:rPr>
          <w:rFonts w:ascii="Times New Roman" w:hAnsi="Times New Roman" w:cs="Times New Roman"/>
          <w:color w:val="000000"/>
          <w:sz w:val="28"/>
          <w:szCs w:val="28"/>
        </w:rPr>
      </w:pPr>
      <w:r>
        <w:rPr>
          <w:rFonts w:ascii="Times New Roman" w:hAnsi="Times New Roman" w:cs="Times New Roman"/>
          <w:color w:val="000000"/>
          <w:sz w:val="28"/>
          <w:szCs w:val="28"/>
        </w:rPr>
        <w:t>经核实，本项目实际建设规模、建设内容</w:t>
      </w:r>
      <w:r>
        <w:rPr>
          <w:rFonts w:hint="eastAsia" w:ascii="Times New Roman" w:hAnsi="Times New Roman" w:cs="Times New Roman"/>
          <w:color w:val="000000"/>
          <w:sz w:val="28"/>
          <w:szCs w:val="28"/>
        </w:rPr>
        <w:t>、建构筑物及设备</w:t>
      </w:r>
      <w:r>
        <w:rPr>
          <w:rFonts w:ascii="Times New Roman" w:hAnsi="Times New Roman" w:cs="Times New Roman"/>
          <w:color w:val="000000"/>
          <w:sz w:val="28"/>
          <w:szCs w:val="28"/>
        </w:rPr>
        <w:t>与环境影响评价中描述相一致，无变动内容。</w:t>
      </w:r>
    </w:p>
    <w:p>
      <w:pPr>
        <w:autoSpaceDE w:val="0"/>
        <w:autoSpaceDN w:val="0"/>
        <w:snapToGrid w:val="0"/>
        <w:spacing w:line="500" w:lineRule="exact"/>
        <w:ind w:firstLine="562" w:firstLineChars="200"/>
        <w:rPr>
          <w:rFonts w:ascii="Times New Roman" w:hAnsi="Times New Roman" w:cs="Times New Roman"/>
          <w:b/>
          <w:color w:val="000000"/>
          <w:sz w:val="28"/>
          <w:szCs w:val="28"/>
        </w:rPr>
      </w:pPr>
      <w:r>
        <w:rPr>
          <w:rFonts w:ascii="Times New Roman" w:hAnsi="Times New Roman" w:cs="Times New Roman"/>
          <w:b/>
          <w:color w:val="000000"/>
          <w:sz w:val="28"/>
          <w:szCs w:val="28"/>
        </w:rPr>
        <w:t>三、环境保护设施建设情况</w:t>
      </w:r>
    </w:p>
    <w:p>
      <w:pPr>
        <w:pStyle w:val="61"/>
        <w:snapToGrid w:val="0"/>
        <w:spacing w:before="0" w:beforeAutospacing="0" w:after="0" w:afterAutospacing="0" w:line="500" w:lineRule="exact"/>
        <w:ind w:firstLine="560" w:firstLineChars="200"/>
        <w:jc w:val="both"/>
        <w:outlineLvl w:val="1"/>
        <w:rPr>
          <w:rFonts w:ascii="Times New Roman" w:hAnsi="Times New Roman" w:cs="Times New Roman"/>
          <w:color w:val="000000"/>
          <w:sz w:val="28"/>
          <w:szCs w:val="28"/>
        </w:rPr>
      </w:pPr>
      <w:r>
        <w:rPr>
          <w:rFonts w:ascii="Times New Roman" w:hAnsi="Times New Roman" w:cs="Times New Roman"/>
          <w:color w:val="000000"/>
          <w:sz w:val="28"/>
          <w:szCs w:val="28"/>
        </w:rPr>
        <w:t>（一）废气产生及治理设施</w:t>
      </w:r>
    </w:p>
    <w:p>
      <w:pPr>
        <w:pStyle w:val="67"/>
        <w:ind w:firstLine="560" w:firstLineChars="200"/>
        <w:rPr>
          <w:color w:val="000000"/>
          <w:sz w:val="24"/>
          <w:szCs w:val="24"/>
        </w:rPr>
      </w:pPr>
      <w:r>
        <w:rPr>
          <w:rFonts w:hint="eastAsia"/>
        </w:rPr>
        <w:t>本项目运营期间</w:t>
      </w:r>
      <w:r>
        <w:t>无废气产生。</w:t>
      </w:r>
    </w:p>
    <w:p>
      <w:pPr>
        <w:pStyle w:val="10"/>
        <w:snapToGrid w:val="0"/>
        <w:spacing w:line="500" w:lineRule="exact"/>
        <w:ind w:firstLine="560" w:firstLineChars="200"/>
        <w:rPr>
          <w:bCs/>
          <w:color w:val="000000"/>
          <w:sz w:val="28"/>
          <w:szCs w:val="28"/>
        </w:rPr>
      </w:pPr>
      <w:r>
        <w:rPr>
          <w:bCs/>
          <w:color w:val="000000"/>
          <w:sz w:val="28"/>
          <w:szCs w:val="28"/>
        </w:rPr>
        <w:t>（二）废水产生及治理设施</w:t>
      </w:r>
    </w:p>
    <w:p>
      <w:pPr>
        <w:spacing w:line="480" w:lineRule="exact"/>
        <w:ind w:firstLine="482"/>
        <w:rPr>
          <w:rFonts w:ascii="Times New Roman" w:hAnsi="Times New Roman" w:cs="Times New Roman"/>
          <w:color w:val="000000"/>
          <w:kern w:val="0"/>
          <w:sz w:val="28"/>
          <w:szCs w:val="28"/>
        </w:rPr>
      </w:pPr>
      <w:r>
        <w:rPr>
          <w:rFonts w:ascii="Times New Roman" w:hAnsi="Times New Roman" w:cs="Times New Roman"/>
          <w:color w:val="000000"/>
          <w:kern w:val="0"/>
          <w:sz w:val="28"/>
          <w:szCs w:val="28"/>
        </w:rPr>
        <w:t>本</w:t>
      </w:r>
      <w:r>
        <w:rPr>
          <w:rFonts w:hint="eastAsia" w:ascii="Times New Roman" w:hAnsi="Times New Roman" w:cs="Times New Roman"/>
          <w:color w:val="000000"/>
          <w:kern w:val="0"/>
          <w:sz w:val="28"/>
          <w:szCs w:val="28"/>
        </w:rPr>
        <w:t>项目</w:t>
      </w:r>
      <w:r>
        <w:rPr>
          <w:rFonts w:ascii="Times New Roman" w:hAnsi="Times New Roman" w:cs="Times New Roman"/>
          <w:color w:val="000000"/>
          <w:kern w:val="0"/>
          <w:sz w:val="28"/>
          <w:szCs w:val="28"/>
        </w:rPr>
        <w:t>运营期产生的废水包括</w:t>
      </w:r>
      <w:r>
        <w:rPr>
          <w:rFonts w:hint="eastAsia" w:ascii="Times New Roman" w:hAnsi="Times New Roman" w:cs="Times New Roman"/>
          <w:color w:val="000000"/>
          <w:kern w:val="0"/>
          <w:sz w:val="28"/>
          <w:szCs w:val="28"/>
        </w:rPr>
        <w:t>汽轮机</w:t>
      </w:r>
      <w:r>
        <w:rPr>
          <w:rFonts w:ascii="Times New Roman" w:hAnsi="Times New Roman" w:cs="Times New Roman"/>
          <w:color w:val="000000"/>
          <w:kern w:val="0"/>
          <w:sz w:val="28"/>
          <w:szCs w:val="28"/>
        </w:rPr>
        <w:t>冷凝水</w:t>
      </w:r>
      <w:r>
        <w:rPr>
          <w:rFonts w:hint="eastAsia" w:ascii="Times New Roman" w:hAnsi="Times New Roman" w:cs="Times New Roman"/>
          <w:color w:val="000000"/>
          <w:kern w:val="0"/>
          <w:sz w:val="28"/>
          <w:szCs w:val="28"/>
        </w:rPr>
        <w:t>、</w:t>
      </w:r>
      <w:r>
        <w:rPr>
          <w:rFonts w:ascii="Times New Roman" w:hAnsi="Times New Roman" w:cs="Times New Roman"/>
          <w:color w:val="000000"/>
          <w:kern w:val="0"/>
          <w:sz w:val="28"/>
          <w:szCs w:val="28"/>
        </w:rPr>
        <w:t>新增人员生活污水</w:t>
      </w:r>
      <w:r>
        <w:rPr>
          <w:rFonts w:hint="eastAsia" w:ascii="Times New Roman" w:hAnsi="Times New Roman" w:cs="Times New Roman"/>
          <w:color w:val="000000"/>
          <w:kern w:val="0"/>
          <w:sz w:val="28"/>
          <w:szCs w:val="28"/>
        </w:rPr>
        <w:t>。</w:t>
      </w:r>
    </w:p>
    <w:p>
      <w:pPr>
        <w:spacing w:line="480" w:lineRule="exact"/>
        <w:ind w:firstLine="482"/>
        <w:rPr>
          <w:rFonts w:ascii="Times New Roman" w:hAnsi="Times New Roman" w:cs="Times New Roman"/>
          <w:color w:val="000000"/>
          <w:kern w:val="0"/>
          <w:sz w:val="28"/>
          <w:szCs w:val="28"/>
        </w:rPr>
      </w:pPr>
      <w:r>
        <w:rPr>
          <w:rFonts w:hint="eastAsia" w:ascii="Times New Roman" w:hAnsi="Times New Roman" w:cs="Times New Roman"/>
          <w:color w:val="000000"/>
          <w:kern w:val="0"/>
          <w:sz w:val="28"/>
          <w:szCs w:val="28"/>
        </w:rPr>
        <w:t>汽轮机冷凝水全部收集于下部凝结水箱经凝结泵送入现有凝结水处理装置，不外排。</w:t>
      </w:r>
    </w:p>
    <w:p>
      <w:pPr>
        <w:spacing w:line="480" w:lineRule="exact"/>
        <w:ind w:firstLine="482"/>
        <w:rPr>
          <w:rFonts w:ascii="Times New Roman" w:hAnsi="Times New Roman" w:cs="Times New Roman"/>
          <w:color w:val="000000"/>
          <w:kern w:val="0"/>
          <w:sz w:val="28"/>
          <w:szCs w:val="28"/>
        </w:rPr>
      </w:pPr>
      <w:r>
        <w:rPr>
          <w:rFonts w:ascii="Times New Roman" w:hAnsi="Times New Roman" w:cs="Times New Roman"/>
          <w:color w:val="000000"/>
          <w:kern w:val="0"/>
          <w:sz w:val="28"/>
          <w:szCs w:val="28"/>
        </w:rPr>
        <w:t>人员产生的日常生活污水经化粪池处理后就近排入太钢生活污水管网，最终进入赵庄污水处理厂集中处理后回用。</w:t>
      </w:r>
    </w:p>
    <w:p>
      <w:pPr>
        <w:pStyle w:val="61"/>
        <w:snapToGrid w:val="0"/>
        <w:spacing w:before="0" w:beforeAutospacing="0" w:after="0" w:afterAutospacing="0" w:line="500" w:lineRule="exact"/>
        <w:ind w:firstLine="560" w:firstLineChars="200"/>
        <w:jc w:val="both"/>
        <w:outlineLvl w:val="1"/>
        <w:rPr>
          <w:rFonts w:ascii="Times New Roman" w:hAnsi="Times New Roman" w:cs="Times New Roman"/>
          <w:color w:val="000000"/>
          <w:sz w:val="28"/>
          <w:szCs w:val="28"/>
        </w:rPr>
      </w:pPr>
      <w:bookmarkStart w:id="0" w:name="_Toc5029893"/>
      <w:r>
        <w:rPr>
          <w:rFonts w:ascii="Times New Roman" w:hAnsi="Times New Roman" w:cs="Times New Roman"/>
          <w:color w:val="000000"/>
          <w:sz w:val="28"/>
          <w:szCs w:val="28"/>
        </w:rPr>
        <w:t>（三）固体废物</w:t>
      </w:r>
      <w:bookmarkEnd w:id="0"/>
    </w:p>
    <w:p>
      <w:pPr>
        <w:spacing w:line="480" w:lineRule="exact"/>
        <w:ind w:firstLine="482"/>
        <w:rPr>
          <w:rFonts w:ascii="Times New Roman" w:hAnsi="Times New Roman" w:cs="Times New Roman"/>
          <w:color w:val="000000"/>
          <w:kern w:val="0"/>
          <w:sz w:val="28"/>
          <w:szCs w:val="28"/>
        </w:rPr>
      </w:pPr>
      <w:bookmarkStart w:id="1" w:name="_Toc5029894"/>
      <w:r>
        <w:rPr>
          <w:rFonts w:ascii="Times New Roman" w:hAnsi="Times New Roman" w:cs="Times New Roman"/>
          <w:color w:val="000000"/>
          <w:kern w:val="0"/>
          <w:sz w:val="28"/>
          <w:szCs w:val="28"/>
        </w:rPr>
        <w:t>本</w:t>
      </w:r>
      <w:r>
        <w:rPr>
          <w:rFonts w:hint="eastAsia" w:ascii="Times New Roman" w:hAnsi="Times New Roman" w:cs="Times New Roman"/>
          <w:color w:val="000000"/>
          <w:kern w:val="0"/>
          <w:sz w:val="28"/>
          <w:szCs w:val="28"/>
        </w:rPr>
        <w:t>项目</w:t>
      </w:r>
      <w:r>
        <w:rPr>
          <w:rFonts w:ascii="Times New Roman" w:hAnsi="Times New Roman" w:cs="Times New Roman"/>
          <w:color w:val="000000"/>
          <w:kern w:val="0"/>
          <w:sz w:val="28"/>
          <w:szCs w:val="28"/>
        </w:rPr>
        <w:t>固废主要为新增人员产生的生活垃圾</w:t>
      </w:r>
      <w:r>
        <w:rPr>
          <w:rFonts w:hint="eastAsia" w:ascii="Times New Roman" w:hAnsi="Times New Roman" w:cs="Times New Roman"/>
          <w:color w:val="000000"/>
          <w:kern w:val="0"/>
          <w:sz w:val="28"/>
          <w:szCs w:val="28"/>
        </w:rPr>
        <w:t>，</w:t>
      </w:r>
      <w:r>
        <w:rPr>
          <w:rFonts w:ascii="Times New Roman" w:hAnsi="Times New Roman" w:cs="Times New Roman"/>
          <w:color w:val="000000"/>
          <w:kern w:val="0"/>
          <w:sz w:val="28"/>
          <w:szCs w:val="28"/>
        </w:rPr>
        <w:t>依托太钢厂区内现有环卫设施收集后，定期由环卫部门统一处理。</w:t>
      </w:r>
    </w:p>
    <w:p>
      <w:pPr>
        <w:pStyle w:val="61"/>
        <w:snapToGrid w:val="0"/>
        <w:spacing w:before="0" w:beforeAutospacing="0" w:after="0" w:afterAutospacing="0" w:line="500" w:lineRule="exact"/>
        <w:ind w:firstLine="560" w:firstLineChars="200"/>
        <w:jc w:val="both"/>
        <w:outlineLvl w:val="1"/>
        <w:rPr>
          <w:rFonts w:ascii="Times New Roman" w:hAnsi="Times New Roman" w:cs="Times New Roman"/>
          <w:color w:val="000000"/>
          <w:sz w:val="28"/>
          <w:szCs w:val="28"/>
        </w:rPr>
      </w:pPr>
      <w:r>
        <w:rPr>
          <w:rFonts w:ascii="Times New Roman" w:hAnsi="Times New Roman" w:cs="Times New Roman"/>
          <w:color w:val="000000"/>
          <w:sz w:val="28"/>
          <w:szCs w:val="28"/>
        </w:rPr>
        <w:t>（四）噪声</w:t>
      </w:r>
      <w:bookmarkEnd w:id="1"/>
    </w:p>
    <w:p>
      <w:pPr>
        <w:pStyle w:val="67"/>
        <w:ind w:firstLine="560" w:firstLineChars="200"/>
        <w:rPr>
          <w:color w:val="000000"/>
          <w:kern w:val="0"/>
        </w:rPr>
      </w:pPr>
      <w:bookmarkStart w:id="2" w:name="_Hlk62821965"/>
      <w:r>
        <w:rPr>
          <w:color w:val="000000"/>
          <w:kern w:val="0"/>
        </w:rPr>
        <w:t>本项目噪声主要为</w:t>
      </w:r>
      <w:r>
        <w:rPr>
          <w:rFonts w:hint="eastAsia"/>
          <w:color w:val="000000"/>
          <w:kern w:val="0"/>
        </w:rPr>
        <w:t>发电机组、各类风机、水</w:t>
      </w:r>
      <w:r>
        <w:rPr>
          <w:color w:val="000000"/>
          <w:kern w:val="0"/>
        </w:rPr>
        <w:t>泵运行过程中产生。</w:t>
      </w:r>
    </w:p>
    <w:p>
      <w:pPr>
        <w:pStyle w:val="67"/>
        <w:ind w:firstLine="560" w:firstLineChars="200"/>
        <w:rPr>
          <w:color w:val="000000"/>
          <w:kern w:val="0"/>
        </w:rPr>
      </w:pPr>
      <w:r>
        <w:rPr>
          <w:color w:val="000000"/>
          <w:kern w:val="0"/>
        </w:rPr>
        <w:t>本项目</w:t>
      </w:r>
      <w:r>
        <w:rPr>
          <w:rFonts w:hint="eastAsia"/>
          <w:color w:val="000000"/>
          <w:kern w:val="0"/>
        </w:rPr>
        <w:t>选用低噪声设备，声源大多设在室内，采取减振、隔声措施，</w:t>
      </w:r>
      <w:r>
        <w:rPr>
          <w:color w:val="000000"/>
          <w:kern w:val="0"/>
        </w:rPr>
        <w:t>在发电机房周围及其它地面硬化以外的零散空地种植花草树木进行绿化</w:t>
      </w:r>
      <w:r>
        <w:rPr>
          <w:rFonts w:hint="eastAsia"/>
          <w:color w:val="000000"/>
          <w:kern w:val="0"/>
        </w:rPr>
        <w:t>，削减噪声产生的影响。</w:t>
      </w:r>
    </w:p>
    <w:bookmarkEnd w:id="2"/>
    <w:p>
      <w:pPr>
        <w:pStyle w:val="61"/>
        <w:snapToGrid w:val="0"/>
        <w:spacing w:before="0" w:beforeAutospacing="0" w:after="0" w:afterAutospacing="0" w:line="500" w:lineRule="exact"/>
        <w:ind w:firstLine="560" w:firstLineChars="200"/>
        <w:jc w:val="both"/>
        <w:outlineLvl w:val="1"/>
        <w:rPr>
          <w:rFonts w:ascii="Times New Roman" w:hAnsi="Times New Roman" w:cs="Times New Roman"/>
          <w:color w:val="000000"/>
          <w:sz w:val="28"/>
          <w:szCs w:val="28"/>
        </w:rPr>
      </w:pPr>
      <w:r>
        <w:rPr>
          <w:rFonts w:ascii="Times New Roman" w:hAnsi="Times New Roman" w:cs="Times New Roman"/>
          <w:color w:val="000000"/>
          <w:sz w:val="28"/>
          <w:szCs w:val="28"/>
        </w:rPr>
        <w:t>（</w:t>
      </w:r>
      <w:r>
        <w:rPr>
          <w:rFonts w:hint="eastAsia" w:ascii="Times New Roman" w:hAnsi="Times New Roman" w:cs="Times New Roman"/>
          <w:color w:val="000000"/>
          <w:sz w:val="28"/>
          <w:szCs w:val="28"/>
        </w:rPr>
        <w:t>五</w:t>
      </w:r>
      <w:r>
        <w:rPr>
          <w:rFonts w:ascii="Times New Roman" w:hAnsi="Times New Roman" w:cs="Times New Roman"/>
          <w:color w:val="000000"/>
          <w:sz w:val="28"/>
          <w:szCs w:val="28"/>
        </w:rPr>
        <w:t>）环保设施建设情况与环评报告及批复对照</w:t>
      </w:r>
    </w:p>
    <w:p>
      <w:pPr>
        <w:pStyle w:val="61"/>
        <w:snapToGrid w:val="0"/>
        <w:spacing w:before="0" w:beforeAutospacing="0" w:after="0" w:afterAutospacing="0" w:line="500" w:lineRule="exact"/>
        <w:ind w:firstLine="560" w:firstLineChars="200"/>
        <w:jc w:val="both"/>
        <w:rPr>
          <w:rFonts w:ascii="Times New Roman" w:hAnsi="Times New Roman" w:cs="Times New Roman"/>
          <w:color w:val="000000"/>
          <w:sz w:val="28"/>
          <w:szCs w:val="28"/>
        </w:rPr>
      </w:pPr>
      <w:r>
        <w:rPr>
          <w:rFonts w:ascii="Times New Roman" w:hAnsi="Times New Roman" w:cs="Times New Roman"/>
          <w:color w:val="000000"/>
          <w:sz w:val="28"/>
          <w:szCs w:val="28"/>
        </w:rPr>
        <w:t>环保设施建设情况与环评报告要求对照见表2。</w:t>
      </w:r>
    </w:p>
    <w:p>
      <w:pPr>
        <w:adjustRightInd w:val="0"/>
        <w:snapToGrid w:val="0"/>
        <w:spacing w:line="500" w:lineRule="exact"/>
        <w:jc w:val="center"/>
        <w:rPr>
          <w:rFonts w:ascii="Times New Roman" w:hAnsi="Times New Roman" w:cs="Times New Roman"/>
          <w:b/>
          <w:color w:val="000000"/>
          <w:sz w:val="24"/>
        </w:rPr>
      </w:pPr>
      <w:r>
        <w:rPr>
          <w:rFonts w:ascii="Times New Roman" w:hAnsi="Times New Roman" w:cs="Times New Roman"/>
          <w:b/>
          <w:color w:val="000000"/>
          <w:sz w:val="24"/>
        </w:rPr>
        <w:t>表2  环保设施建设情况与环评报告对照表</w:t>
      </w:r>
    </w:p>
    <w:tbl>
      <w:tblPr>
        <w:tblStyle w:val="22"/>
        <w:tblW w:w="88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469"/>
        <w:gridCol w:w="1269"/>
        <w:gridCol w:w="870"/>
        <w:gridCol w:w="2696"/>
        <w:gridCol w:w="35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437" w:hRule="atLeast"/>
          <w:tblHeader/>
        </w:trPr>
        <w:tc>
          <w:tcPr>
            <w:tcW w:w="469" w:type="dxa"/>
            <w:vAlign w:val="center"/>
          </w:tcPr>
          <w:p>
            <w:pPr>
              <w:jc w:val="center"/>
              <w:rPr>
                <w:rFonts w:ascii="Times New Roman" w:hAnsi="Times New Roman" w:eastAsia="宋体" w:cs="Times New Roman"/>
                <w:b/>
                <w:szCs w:val="21"/>
              </w:rPr>
            </w:pPr>
            <w:r>
              <w:rPr>
                <w:rFonts w:ascii="Times New Roman" w:hAnsi="Times New Roman" w:eastAsia="宋体" w:cs="Times New Roman"/>
                <w:b/>
                <w:szCs w:val="21"/>
              </w:rPr>
              <w:t>类别</w:t>
            </w:r>
          </w:p>
        </w:tc>
        <w:tc>
          <w:tcPr>
            <w:tcW w:w="1269" w:type="dxa"/>
            <w:vAlign w:val="center"/>
          </w:tcPr>
          <w:p>
            <w:pPr>
              <w:jc w:val="center"/>
              <w:rPr>
                <w:rFonts w:ascii="Times New Roman" w:hAnsi="Times New Roman" w:eastAsia="宋体" w:cs="Times New Roman"/>
                <w:b/>
                <w:szCs w:val="21"/>
              </w:rPr>
            </w:pPr>
            <w:r>
              <w:rPr>
                <w:rFonts w:ascii="Times New Roman" w:hAnsi="Times New Roman" w:eastAsia="宋体" w:cs="Times New Roman"/>
                <w:b/>
                <w:szCs w:val="21"/>
              </w:rPr>
              <w:t>污染源</w:t>
            </w:r>
          </w:p>
        </w:tc>
        <w:tc>
          <w:tcPr>
            <w:tcW w:w="870" w:type="dxa"/>
            <w:vAlign w:val="center"/>
          </w:tcPr>
          <w:p>
            <w:pPr>
              <w:jc w:val="center"/>
              <w:rPr>
                <w:rFonts w:ascii="Times New Roman" w:hAnsi="Times New Roman" w:eastAsia="宋体" w:cs="Times New Roman"/>
                <w:b/>
                <w:szCs w:val="21"/>
              </w:rPr>
            </w:pPr>
            <w:r>
              <w:rPr>
                <w:rFonts w:ascii="Times New Roman" w:hAnsi="Times New Roman" w:eastAsia="宋体" w:cs="Times New Roman"/>
                <w:b/>
                <w:szCs w:val="21"/>
              </w:rPr>
              <w:t>污染物</w:t>
            </w:r>
          </w:p>
        </w:tc>
        <w:tc>
          <w:tcPr>
            <w:tcW w:w="2696" w:type="dxa"/>
            <w:vAlign w:val="center"/>
          </w:tcPr>
          <w:p>
            <w:pPr>
              <w:jc w:val="center"/>
              <w:rPr>
                <w:rFonts w:ascii="Times New Roman" w:hAnsi="Times New Roman" w:eastAsia="宋体" w:cs="Times New Roman"/>
                <w:b/>
                <w:szCs w:val="21"/>
              </w:rPr>
            </w:pPr>
            <w:r>
              <w:rPr>
                <w:rFonts w:ascii="Times New Roman" w:hAnsi="Times New Roman" w:eastAsia="宋体" w:cs="Times New Roman"/>
                <w:b/>
                <w:szCs w:val="21"/>
              </w:rPr>
              <w:t>环评要求</w:t>
            </w:r>
          </w:p>
        </w:tc>
        <w:tc>
          <w:tcPr>
            <w:tcW w:w="3530" w:type="dxa"/>
            <w:vAlign w:val="center"/>
          </w:tcPr>
          <w:p>
            <w:pPr>
              <w:jc w:val="center"/>
              <w:rPr>
                <w:rFonts w:ascii="Times New Roman" w:hAnsi="Times New Roman" w:eastAsia="宋体" w:cs="Times New Roman"/>
                <w:b/>
                <w:szCs w:val="21"/>
              </w:rPr>
            </w:pPr>
            <w:r>
              <w:rPr>
                <w:rFonts w:ascii="Times New Roman" w:hAnsi="Times New Roman" w:eastAsia="宋体" w:cs="Times New Roman"/>
                <w:b/>
                <w:szCs w:val="21"/>
              </w:rPr>
              <w:t>实际建设情况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1201" w:hRule="atLeast"/>
        </w:trPr>
        <w:tc>
          <w:tcPr>
            <w:tcW w:w="469" w:type="dxa"/>
            <w:vMerge w:val="restart"/>
            <w:vAlign w:val="center"/>
          </w:tcPr>
          <w:p>
            <w:pPr>
              <w:contextualSpacing/>
              <w:jc w:val="center"/>
              <w:rPr>
                <w:rFonts w:ascii="Times New Roman" w:hAnsi="Times New Roman" w:eastAsia="宋体" w:cs="Times New Roman"/>
                <w:szCs w:val="21"/>
              </w:rPr>
            </w:pPr>
            <w:r>
              <w:rPr>
                <w:rFonts w:hint="eastAsia" w:ascii="Times New Roman" w:hAnsi="Times New Roman" w:eastAsia="宋体" w:cs="Times New Roman"/>
                <w:szCs w:val="21"/>
              </w:rPr>
              <w:t>废水</w:t>
            </w:r>
          </w:p>
        </w:tc>
        <w:tc>
          <w:tcPr>
            <w:tcW w:w="1269" w:type="dxa"/>
            <w:vAlign w:val="center"/>
          </w:tcPr>
          <w:p>
            <w:pPr>
              <w:spacing w:line="276" w:lineRule="auto"/>
              <w:ind w:left="-57" w:right="-57"/>
              <w:jc w:val="center"/>
              <w:rPr>
                <w:rFonts w:ascii="Times New Roman" w:hAnsi="Times New Roman" w:cs="Times New Roman"/>
                <w:color w:val="000000"/>
              </w:rPr>
            </w:pPr>
            <w:r>
              <w:rPr>
                <w:rFonts w:ascii="Times New Roman" w:hAnsi="Times New Roman" w:cs="Times New Roman"/>
                <w:color w:val="000000"/>
              </w:rPr>
              <w:t>汽轮机冷凝水</w:t>
            </w:r>
          </w:p>
        </w:tc>
        <w:tc>
          <w:tcPr>
            <w:tcW w:w="870" w:type="dxa"/>
            <w:vAlign w:val="center"/>
          </w:tcPr>
          <w:p>
            <w:pPr>
              <w:spacing w:line="276" w:lineRule="auto"/>
              <w:jc w:val="center"/>
              <w:rPr>
                <w:rFonts w:ascii="Times New Roman" w:hAnsi="Times New Roman" w:cs="Times New Roman"/>
                <w:color w:val="000000"/>
              </w:rPr>
            </w:pPr>
            <w:r>
              <w:rPr>
                <w:rFonts w:ascii="Times New Roman" w:hAnsi="Times New Roman" w:cs="Times New Roman"/>
                <w:color w:val="000000"/>
              </w:rPr>
              <w:t>清洁水</w:t>
            </w:r>
          </w:p>
        </w:tc>
        <w:tc>
          <w:tcPr>
            <w:tcW w:w="2696" w:type="dxa"/>
            <w:vAlign w:val="center"/>
          </w:tcPr>
          <w:p>
            <w:pPr>
              <w:spacing w:line="276" w:lineRule="auto"/>
              <w:jc w:val="center"/>
              <w:rPr>
                <w:rFonts w:ascii="Times New Roman" w:hAnsi="Times New Roman" w:cs="Times New Roman"/>
                <w:color w:val="000000"/>
              </w:rPr>
            </w:pPr>
            <w:r>
              <w:rPr>
                <w:rFonts w:ascii="Times New Roman" w:hAnsi="Times New Roman" w:cs="Times New Roman"/>
                <w:color w:val="000000"/>
                <w:lang w:bidi="en-US"/>
              </w:rPr>
              <w:t>全部收集于下部凝结水箱经凝结泵送入现有凝结水处理装置，不外排。</w:t>
            </w:r>
          </w:p>
        </w:tc>
        <w:tc>
          <w:tcPr>
            <w:tcW w:w="3530" w:type="dxa"/>
            <w:vAlign w:val="center"/>
          </w:tcPr>
          <w:p>
            <w:pPr>
              <w:spacing w:line="276" w:lineRule="auto"/>
              <w:jc w:val="center"/>
              <w:rPr>
                <w:rFonts w:ascii="Times New Roman" w:hAnsi="Times New Roman" w:cs="Times New Roman"/>
                <w:color w:val="000000"/>
              </w:rPr>
            </w:pPr>
            <w:r>
              <w:rPr>
                <w:rFonts w:ascii="Times New Roman" w:hAnsi="Times New Roman" w:cs="Times New Roman"/>
                <w:color w:val="000000"/>
                <w:lang w:bidi="en-US"/>
              </w:rPr>
              <w:t>全部收集于下部凝结水箱经凝结泵送入现有凝结水处理装置，不外排。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630" w:hRule="atLeast"/>
        </w:trPr>
        <w:tc>
          <w:tcPr>
            <w:tcW w:w="469" w:type="dxa"/>
            <w:vMerge w:val="continue"/>
            <w:vAlign w:val="center"/>
          </w:tcPr>
          <w:p>
            <w:pPr>
              <w:contextualSpacing/>
              <w:jc w:val="center"/>
              <w:rPr>
                <w:rFonts w:ascii="Times New Roman" w:hAnsi="Times New Roman" w:eastAsia="宋体" w:cs="Times New Roman"/>
                <w:szCs w:val="21"/>
              </w:rPr>
            </w:pPr>
          </w:p>
        </w:tc>
        <w:tc>
          <w:tcPr>
            <w:tcW w:w="1269" w:type="dxa"/>
            <w:vAlign w:val="center"/>
          </w:tcPr>
          <w:p>
            <w:pPr>
              <w:spacing w:line="276" w:lineRule="auto"/>
              <w:jc w:val="center"/>
              <w:rPr>
                <w:rFonts w:ascii="Times New Roman" w:hAnsi="Times New Roman" w:cs="Times New Roman"/>
                <w:color w:val="000000"/>
              </w:rPr>
            </w:pPr>
            <w:r>
              <w:rPr>
                <w:rFonts w:ascii="Times New Roman" w:hAnsi="Times New Roman" w:cs="Times New Roman"/>
                <w:color w:val="000000"/>
              </w:rPr>
              <w:t>生活污水</w:t>
            </w:r>
          </w:p>
        </w:tc>
        <w:tc>
          <w:tcPr>
            <w:tcW w:w="870" w:type="dxa"/>
            <w:vAlign w:val="center"/>
          </w:tcPr>
          <w:p>
            <w:pPr>
              <w:spacing w:line="276" w:lineRule="auto"/>
              <w:jc w:val="center"/>
              <w:rPr>
                <w:rFonts w:ascii="Times New Roman" w:hAnsi="Times New Roman" w:cs="Times New Roman"/>
                <w:color w:val="000000"/>
              </w:rPr>
            </w:pPr>
            <w:r>
              <w:rPr>
                <w:rFonts w:ascii="Times New Roman" w:hAnsi="Times New Roman" w:cs="Times New Roman"/>
                <w:color w:val="000000"/>
              </w:rPr>
              <w:t>BOD、COD、氨氮等</w:t>
            </w:r>
          </w:p>
        </w:tc>
        <w:tc>
          <w:tcPr>
            <w:tcW w:w="2696" w:type="dxa"/>
            <w:vAlign w:val="center"/>
          </w:tcPr>
          <w:p>
            <w:pPr>
              <w:spacing w:line="276" w:lineRule="auto"/>
              <w:jc w:val="center"/>
              <w:rPr>
                <w:rFonts w:ascii="Times New Roman" w:hAnsi="Times New Roman" w:cs="Times New Roman"/>
                <w:color w:val="000000"/>
              </w:rPr>
            </w:pPr>
            <w:r>
              <w:rPr>
                <w:rFonts w:ascii="Times New Roman" w:hAnsi="Times New Roman" w:cs="Times New Roman"/>
                <w:color w:val="000000"/>
              </w:rPr>
              <w:t>经化粪池处理后就近排入太钢生活污水管网，最终进入赵庄污水处理厂集中处理后回用。</w:t>
            </w:r>
          </w:p>
        </w:tc>
        <w:tc>
          <w:tcPr>
            <w:tcW w:w="3530" w:type="dxa"/>
            <w:vAlign w:val="center"/>
          </w:tcPr>
          <w:p>
            <w:pPr>
              <w:spacing w:line="276" w:lineRule="auto"/>
              <w:jc w:val="center"/>
              <w:rPr>
                <w:rFonts w:ascii="Times New Roman" w:hAnsi="Times New Roman" w:cs="Times New Roman"/>
                <w:color w:val="000000"/>
              </w:rPr>
            </w:pPr>
            <w:r>
              <w:rPr>
                <w:rFonts w:ascii="Times New Roman" w:hAnsi="Times New Roman" w:cs="Times New Roman"/>
                <w:color w:val="000000"/>
              </w:rPr>
              <w:t>经化粪池处理后就近排入太钢生活污水管网，最终进入赵庄污水处理厂集中处理后回用。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630" w:hRule="atLeast"/>
        </w:trPr>
        <w:tc>
          <w:tcPr>
            <w:tcW w:w="469" w:type="dxa"/>
            <w:vAlign w:val="center"/>
          </w:tcPr>
          <w:p>
            <w:pPr>
              <w:contextualSpacing/>
              <w:jc w:val="center"/>
              <w:rPr>
                <w:rFonts w:ascii="Times New Roman" w:hAnsi="Times New Roman" w:eastAsia="宋体" w:cs="Times New Roman"/>
                <w:szCs w:val="21"/>
              </w:rPr>
            </w:pPr>
            <w:r>
              <w:rPr>
                <w:rFonts w:ascii="Times New Roman" w:hAnsi="Times New Roman" w:eastAsia="宋体" w:cs="Times New Roman"/>
                <w:szCs w:val="21"/>
              </w:rPr>
              <w:t>噪声</w:t>
            </w:r>
          </w:p>
        </w:tc>
        <w:tc>
          <w:tcPr>
            <w:tcW w:w="1269" w:type="dxa"/>
            <w:vAlign w:val="center"/>
          </w:tcPr>
          <w:p>
            <w:pPr>
              <w:spacing w:line="276" w:lineRule="auto"/>
              <w:jc w:val="center"/>
              <w:rPr>
                <w:rFonts w:ascii="Times New Roman" w:hAnsi="Times New Roman" w:cs="Times New Roman"/>
                <w:color w:val="000000"/>
              </w:rPr>
            </w:pPr>
            <w:r>
              <w:rPr>
                <w:rFonts w:ascii="Times New Roman" w:hAnsi="Times New Roman" w:cs="Times New Roman"/>
                <w:color w:val="000000"/>
              </w:rPr>
              <w:t>各类设备</w:t>
            </w:r>
          </w:p>
        </w:tc>
        <w:tc>
          <w:tcPr>
            <w:tcW w:w="870" w:type="dxa"/>
            <w:vAlign w:val="center"/>
          </w:tcPr>
          <w:p>
            <w:pPr>
              <w:spacing w:line="276" w:lineRule="auto"/>
              <w:jc w:val="center"/>
              <w:rPr>
                <w:rFonts w:ascii="Times New Roman" w:hAnsi="Times New Roman" w:cs="Times New Roman"/>
                <w:color w:val="000000"/>
              </w:rPr>
            </w:pPr>
            <w:r>
              <w:rPr>
                <w:rFonts w:ascii="Times New Roman" w:hAnsi="Times New Roman" w:cs="Times New Roman"/>
                <w:color w:val="000000"/>
              </w:rPr>
              <w:t>噪声</w:t>
            </w:r>
          </w:p>
        </w:tc>
        <w:tc>
          <w:tcPr>
            <w:tcW w:w="2696" w:type="dxa"/>
            <w:vAlign w:val="center"/>
          </w:tcPr>
          <w:p>
            <w:pPr>
              <w:jc w:val="left"/>
              <w:rPr>
                <w:rFonts w:ascii="宋体" w:hAnsi="宋体" w:cs="宋体"/>
                <w:color w:val="000000"/>
              </w:rPr>
            </w:pPr>
            <w:r>
              <w:rPr>
                <w:rFonts w:ascii="Times New Roman" w:hAnsi="Times New Roman" w:cs="Times New Roman"/>
                <w:color w:val="000000"/>
              </w:rPr>
              <w:t>采用低噪设备、基础减振、隔声吸声、室内布置</w:t>
            </w:r>
          </w:p>
        </w:tc>
        <w:tc>
          <w:tcPr>
            <w:tcW w:w="3530" w:type="dxa"/>
            <w:vAlign w:val="center"/>
          </w:tcPr>
          <w:p>
            <w:pPr>
              <w:jc w:val="left"/>
              <w:rPr>
                <w:rFonts w:ascii="宋体" w:hAnsi="宋体" w:cs="宋体"/>
                <w:color w:val="000000"/>
              </w:rPr>
            </w:pPr>
            <w:r>
              <w:rPr>
                <w:rFonts w:ascii="Times New Roman" w:hAnsi="Times New Roman" w:cs="Times New Roman"/>
                <w:color w:val="000000"/>
              </w:rPr>
              <w:t>采用低噪设备、基础减振、隔声吸声、室内布置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1310" w:hRule="atLeast"/>
        </w:trPr>
        <w:tc>
          <w:tcPr>
            <w:tcW w:w="469" w:type="dxa"/>
            <w:vAlign w:val="center"/>
          </w:tcPr>
          <w:p>
            <w:pPr>
              <w:contextualSpacing/>
              <w:jc w:val="center"/>
              <w:rPr>
                <w:rFonts w:ascii="Times New Roman" w:hAnsi="Times New Roman" w:eastAsia="宋体" w:cs="Times New Roman"/>
                <w:szCs w:val="21"/>
              </w:rPr>
            </w:pPr>
            <w:r>
              <w:rPr>
                <w:rFonts w:hint="eastAsia" w:ascii="Times New Roman" w:hAnsi="Times New Roman" w:eastAsia="宋体" w:cs="Times New Roman"/>
                <w:szCs w:val="21"/>
              </w:rPr>
              <w:t>固废</w:t>
            </w:r>
          </w:p>
        </w:tc>
        <w:tc>
          <w:tcPr>
            <w:tcW w:w="1269" w:type="dxa"/>
            <w:vAlign w:val="center"/>
          </w:tcPr>
          <w:p>
            <w:pPr>
              <w:spacing w:line="276" w:lineRule="auto"/>
              <w:jc w:val="center"/>
              <w:rPr>
                <w:rFonts w:ascii="Times New Roman" w:hAnsi="Times New Roman" w:cs="Times New Roman"/>
                <w:color w:val="000000"/>
              </w:rPr>
            </w:pPr>
            <w:r>
              <w:rPr>
                <w:rFonts w:ascii="Times New Roman" w:hAnsi="Times New Roman" w:cs="Times New Roman"/>
                <w:color w:val="000000"/>
              </w:rPr>
              <w:t>职工</w:t>
            </w:r>
          </w:p>
        </w:tc>
        <w:tc>
          <w:tcPr>
            <w:tcW w:w="870" w:type="dxa"/>
            <w:vAlign w:val="center"/>
          </w:tcPr>
          <w:p>
            <w:pPr>
              <w:spacing w:line="276" w:lineRule="auto"/>
              <w:jc w:val="center"/>
              <w:rPr>
                <w:rFonts w:ascii="Times New Roman" w:hAnsi="Times New Roman" w:cs="Times New Roman"/>
                <w:color w:val="000000"/>
              </w:rPr>
            </w:pPr>
            <w:r>
              <w:rPr>
                <w:rFonts w:ascii="Times New Roman" w:hAnsi="Times New Roman" w:cs="Times New Roman"/>
                <w:color w:val="000000"/>
              </w:rPr>
              <w:t>生活垃圾</w:t>
            </w:r>
          </w:p>
        </w:tc>
        <w:tc>
          <w:tcPr>
            <w:tcW w:w="2696" w:type="dxa"/>
            <w:vAlign w:val="center"/>
          </w:tcPr>
          <w:p>
            <w:pPr>
              <w:jc w:val="left"/>
              <w:rPr>
                <w:rFonts w:ascii="宋体" w:hAnsi="宋体" w:cs="宋体"/>
                <w:color w:val="000000"/>
              </w:rPr>
            </w:pPr>
            <w:r>
              <w:rPr>
                <w:rFonts w:ascii="Times New Roman" w:hAnsi="Times New Roman" w:cs="Times New Roman"/>
                <w:color w:val="000000"/>
              </w:rPr>
              <w:t>厂区设封闭垃圾箱，定期交环卫部门统一处理</w:t>
            </w:r>
          </w:p>
        </w:tc>
        <w:tc>
          <w:tcPr>
            <w:tcW w:w="3530" w:type="dxa"/>
            <w:vAlign w:val="center"/>
          </w:tcPr>
          <w:p>
            <w:pPr>
              <w:jc w:val="left"/>
              <w:rPr>
                <w:rFonts w:ascii="宋体" w:hAnsi="宋体" w:cs="宋体"/>
                <w:color w:val="000000"/>
              </w:rPr>
            </w:pPr>
            <w:r>
              <w:rPr>
                <w:rFonts w:ascii="Times New Roman" w:hAnsi="Times New Roman" w:cs="Times New Roman"/>
                <w:color w:val="000000"/>
              </w:rPr>
              <w:t>厂区设封闭垃圾箱，定期交环卫部门统一处理</w:t>
            </w:r>
          </w:p>
        </w:tc>
      </w:tr>
    </w:tbl>
    <w:p>
      <w:pPr>
        <w:pStyle w:val="61"/>
        <w:snapToGrid w:val="0"/>
        <w:spacing w:before="0" w:beforeAutospacing="0" w:after="0" w:afterAutospacing="0" w:line="500" w:lineRule="exact"/>
        <w:ind w:firstLine="560" w:firstLineChars="200"/>
        <w:jc w:val="both"/>
        <w:rPr>
          <w:rFonts w:hint="eastAsia" w:ascii="Times New Roman" w:hAnsi="Times New Roman" w:cs="Times New Roman"/>
          <w:bCs/>
          <w:color w:val="000000"/>
        </w:rPr>
      </w:pPr>
      <w:r>
        <w:rPr>
          <w:rFonts w:ascii="Times New Roman" w:hAnsi="Times New Roman" w:cs="Times New Roman"/>
          <w:color w:val="000000"/>
          <w:sz w:val="28"/>
          <w:szCs w:val="28"/>
        </w:rPr>
        <w:t>环保设施实际建设情况与环评批复要求对照见表</w:t>
      </w:r>
      <w:r>
        <w:rPr>
          <w:rFonts w:hint="eastAsia" w:ascii="Times New Roman" w:hAnsi="Times New Roman" w:cs="Times New Roman"/>
          <w:color w:val="000000"/>
          <w:sz w:val="28"/>
          <w:szCs w:val="28"/>
        </w:rPr>
        <w:t>3</w:t>
      </w:r>
      <w:r>
        <w:rPr>
          <w:rFonts w:ascii="Times New Roman" w:hAnsi="Times New Roman" w:cs="Times New Roman"/>
          <w:color w:val="000000"/>
          <w:sz w:val="28"/>
          <w:szCs w:val="28"/>
        </w:rPr>
        <w:t>。</w:t>
      </w:r>
    </w:p>
    <w:p>
      <w:pPr>
        <w:pStyle w:val="61"/>
        <w:snapToGrid w:val="0"/>
        <w:spacing w:before="0" w:beforeAutospacing="0" w:after="0" w:afterAutospacing="0" w:line="500" w:lineRule="exact"/>
        <w:ind w:firstLine="480" w:firstLineChars="200"/>
        <w:jc w:val="both"/>
        <w:rPr>
          <w:rFonts w:hint="eastAsia" w:ascii="Times New Roman" w:hAnsi="Times New Roman" w:cs="Times New Roman"/>
          <w:bCs/>
          <w:color w:val="000000"/>
        </w:rPr>
      </w:pPr>
    </w:p>
    <w:p>
      <w:pPr>
        <w:pStyle w:val="61"/>
        <w:snapToGrid w:val="0"/>
        <w:spacing w:before="0" w:beforeAutospacing="0" w:after="0" w:afterAutospacing="0" w:line="500" w:lineRule="exact"/>
        <w:ind w:firstLine="482" w:firstLineChars="200"/>
        <w:jc w:val="center"/>
        <w:rPr>
          <w:rFonts w:ascii="Times New Roman" w:hAnsi="Times New Roman" w:cs="Times New Roman"/>
          <w:b/>
          <w:color w:val="000000"/>
        </w:rPr>
      </w:pPr>
      <w:r>
        <w:rPr>
          <w:rFonts w:ascii="Times New Roman" w:hAnsi="Times New Roman" w:cs="Times New Roman"/>
          <w:b/>
          <w:color w:val="000000"/>
        </w:rPr>
        <w:t>表</w:t>
      </w:r>
      <w:r>
        <w:rPr>
          <w:rFonts w:hint="eastAsia" w:ascii="Times New Roman" w:hAnsi="Times New Roman" w:cs="Times New Roman"/>
          <w:b/>
          <w:color w:val="000000"/>
        </w:rPr>
        <w:t>3</w:t>
      </w:r>
      <w:r>
        <w:rPr>
          <w:rFonts w:ascii="Times New Roman" w:hAnsi="Times New Roman" w:cs="Times New Roman"/>
          <w:b/>
          <w:color w:val="000000"/>
        </w:rPr>
        <w:t xml:space="preserve">  环保设施实际建设情况与环评批复要求对照表</w:t>
      </w:r>
    </w:p>
    <w:tbl>
      <w:tblPr>
        <w:tblStyle w:val="23"/>
        <w:tblW w:w="88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05"/>
        <w:gridCol w:w="4012"/>
        <w:gridCol w:w="42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blHeader/>
        </w:trPr>
        <w:tc>
          <w:tcPr>
            <w:tcW w:w="605" w:type="dxa"/>
            <w:vAlign w:val="center"/>
          </w:tcPr>
          <w:p>
            <w:pPr>
              <w:snapToGrid w:val="0"/>
              <w:jc w:val="center"/>
              <w:rPr>
                <w:rFonts w:ascii="Times New Roman" w:hAnsi="Times New Roman" w:eastAsia="宋体" w:cs="Times New Roman"/>
                <w:b/>
                <w:szCs w:val="21"/>
              </w:rPr>
            </w:pPr>
            <w:r>
              <w:rPr>
                <w:rFonts w:ascii="Times New Roman" w:hAnsi="Times New Roman" w:eastAsia="宋体" w:cs="Times New Roman"/>
                <w:b/>
                <w:szCs w:val="21"/>
              </w:rPr>
              <w:t>序号</w:t>
            </w:r>
          </w:p>
        </w:tc>
        <w:tc>
          <w:tcPr>
            <w:tcW w:w="4012" w:type="dxa"/>
            <w:vAlign w:val="center"/>
          </w:tcPr>
          <w:p>
            <w:pPr>
              <w:snapToGrid w:val="0"/>
              <w:jc w:val="center"/>
              <w:rPr>
                <w:rFonts w:ascii="Times New Roman" w:hAnsi="Times New Roman" w:eastAsia="宋体" w:cs="Times New Roman"/>
                <w:b/>
                <w:szCs w:val="21"/>
              </w:rPr>
            </w:pPr>
            <w:r>
              <w:rPr>
                <w:rFonts w:ascii="Times New Roman" w:hAnsi="Times New Roman" w:eastAsia="宋体" w:cs="Times New Roman"/>
                <w:b/>
                <w:szCs w:val="21"/>
              </w:rPr>
              <w:t>环评批复要求措施</w:t>
            </w:r>
          </w:p>
        </w:tc>
        <w:tc>
          <w:tcPr>
            <w:tcW w:w="4217" w:type="dxa"/>
            <w:vAlign w:val="center"/>
          </w:tcPr>
          <w:p>
            <w:pPr>
              <w:snapToGrid w:val="0"/>
              <w:jc w:val="center"/>
              <w:rPr>
                <w:rFonts w:ascii="Times New Roman" w:hAnsi="Times New Roman" w:eastAsia="宋体" w:cs="Times New Roman"/>
                <w:b/>
                <w:szCs w:val="21"/>
              </w:rPr>
            </w:pPr>
            <w:r>
              <w:rPr>
                <w:rFonts w:ascii="Times New Roman" w:hAnsi="Times New Roman" w:eastAsia="宋体" w:cs="Times New Roman"/>
                <w:b/>
                <w:szCs w:val="21"/>
              </w:rPr>
              <w:t>实际建设情况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5" w:hRule="atLeast"/>
        </w:trPr>
        <w:tc>
          <w:tcPr>
            <w:tcW w:w="605" w:type="dxa"/>
            <w:vAlign w:val="center"/>
          </w:tcPr>
          <w:p>
            <w:pPr>
              <w:snapToGrid w:val="0"/>
              <w:jc w:val="center"/>
              <w:rPr>
                <w:rFonts w:ascii="Times New Roman" w:hAnsi="Times New Roman" w:eastAsia="宋体" w:cs="Times New Roman"/>
                <w:szCs w:val="21"/>
              </w:rPr>
            </w:pPr>
            <w:r>
              <w:rPr>
                <w:rFonts w:ascii="Times New Roman" w:hAnsi="Times New Roman" w:eastAsia="宋体" w:cs="Times New Roman"/>
                <w:szCs w:val="21"/>
              </w:rPr>
              <w:t>1</w:t>
            </w:r>
          </w:p>
        </w:tc>
        <w:tc>
          <w:tcPr>
            <w:tcW w:w="4012" w:type="dxa"/>
            <w:vAlign w:val="center"/>
          </w:tcPr>
          <w:p>
            <w:pPr>
              <w:snapToGrid w:val="0"/>
              <w:rPr>
                <w:rFonts w:ascii="Times New Roman" w:hAnsi="Times New Roman" w:eastAsia="宋体" w:cs="Times New Roman"/>
                <w:szCs w:val="21"/>
              </w:rPr>
            </w:pPr>
            <w:r>
              <w:rPr>
                <w:rFonts w:hint="eastAsia" w:ascii="宋体" w:hAnsi="宋体" w:cs="宋体"/>
                <w:color w:val="000000"/>
                <w:spacing w:val="4"/>
              </w:rPr>
              <w:t>该项目位于太原市尖草坪区尖草坪街2号，占地面积2400</w:t>
            </w:r>
            <w:r>
              <w:rPr>
                <w:rFonts w:ascii="宋体" w:hAnsi="宋体" w:cs="宋体"/>
                <w:color w:val="000000"/>
                <w:spacing w:val="4"/>
              </w:rPr>
              <w:t>m²</w:t>
            </w:r>
            <w:r>
              <w:rPr>
                <w:rFonts w:hint="eastAsia" w:ascii="宋体" w:hAnsi="宋体" w:cs="宋体"/>
                <w:color w:val="000000"/>
                <w:spacing w:val="4"/>
              </w:rPr>
              <w:t>，总投资为13739.25万元（其中环保投资为210万元）。主要建设内容为太钢能源动力总厂低参数余热利用项目及烟气余热回收改造工程项目，主体工程为建设两台30</w:t>
            </w:r>
            <w:r>
              <w:rPr>
                <w:rFonts w:ascii="宋体" w:hAnsi="宋体" w:cs="宋体"/>
                <w:color w:val="000000"/>
                <w:spacing w:val="4"/>
              </w:rPr>
              <w:t>MW</w:t>
            </w:r>
            <w:r>
              <w:rPr>
                <w:rFonts w:hint="eastAsia" w:ascii="宋体" w:hAnsi="宋体" w:cs="宋体"/>
                <w:color w:val="000000"/>
                <w:spacing w:val="4"/>
              </w:rPr>
              <w:t>空冷纯凝汽机组，充分发挥现有低压蒸汽富余能力，使富余低压蒸汽最大限度高效发挥其能力；公用工程为供水、供电；环保工程为生活污水、汽轮机凝结水、噪声；依托工程为固废、办公、供水、供电、生活污水、汽轮机凝结水、固废。</w:t>
            </w:r>
          </w:p>
        </w:tc>
        <w:tc>
          <w:tcPr>
            <w:tcW w:w="4217" w:type="dxa"/>
            <w:vAlign w:val="center"/>
          </w:tcPr>
          <w:p>
            <w:pPr>
              <w:snapToGrid w:val="0"/>
              <w:rPr>
                <w:rFonts w:ascii="Times New Roman" w:hAnsi="Times New Roman" w:eastAsia="宋体" w:cs="Times New Roman"/>
                <w:szCs w:val="21"/>
              </w:rPr>
            </w:pPr>
            <w:r>
              <w:rPr>
                <w:rFonts w:hint="eastAsia" w:ascii="宋体" w:hAnsi="宋体" w:cs="宋体"/>
                <w:color w:val="000000"/>
                <w:spacing w:val="4"/>
              </w:rPr>
              <w:t>该项目位于太原市尖草坪区尖草坪街2号，占地面积2400</w:t>
            </w:r>
            <w:r>
              <w:rPr>
                <w:rFonts w:ascii="宋体" w:hAnsi="宋体" w:cs="宋体"/>
                <w:color w:val="000000"/>
                <w:spacing w:val="4"/>
              </w:rPr>
              <w:t>m²</w:t>
            </w:r>
            <w:r>
              <w:rPr>
                <w:rFonts w:hint="eastAsia" w:ascii="宋体" w:hAnsi="宋体" w:cs="宋体"/>
                <w:color w:val="000000"/>
                <w:spacing w:val="4"/>
              </w:rPr>
              <w:t>，总投资为12232.63万元（其中环保投资为196万元）。主要建设内容为太钢能源动力总厂低参数余热利用项目及烟气余热回收改造工程项目，主体工程为建设两台30</w:t>
            </w:r>
            <w:r>
              <w:rPr>
                <w:rFonts w:ascii="宋体" w:hAnsi="宋体" w:cs="宋体"/>
                <w:color w:val="000000"/>
                <w:spacing w:val="4"/>
              </w:rPr>
              <w:t>MW</w:t>
            </w:r>
            <w:r>
              <w:rPr>
                <w:rFonts w:hint="eastAsia" w:ascii="宋体" w:hAnsi="宋体" w:cs="宋体"/>
                <w:color w:val="000000"/>
                <w:spacing w:val="4"/>
              </w:rPr>
              <w:t>空冷纯凝汽机组，充分发挥现有低压蒸汽富余能力，使富余低压蒸汽最大限度高效发挥其能力；公用工程为供水、供电；环保工程为生活污水、汽轮机凝结水、噪声；依托工程为固废、办公、供水、供电、生活污水、汽轮机凝结水、固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5" w:hRule="atLeast"/>
        </w:trPr>
        <w:tc>
          <w:tcPr>
            <w:tcW w:w="605" w:type="dxa"/>
            <w:vAlign w:val="center"/>
          </w:tcPr>
          <w:p>
            <w:pPr>
              <w:snapToGrid w:val="0"/>
              <w:jc w:val="center"/>
              <w:rPr>
                <w:rFonts w:ascii="Times New Roman" w:hAnsi="Times New Roman" w:eastAsia="宋体" w:cs="Times New Roman"/>
                <w:szCs w:val="21"/>
              </w:rPr>
            </w:pPr>
            <w:r>
              <w:rPr>
                <w:rFonts w:ascii="Times New Roman" w:hAnsi="Times New Roman" w:eastAsia="宋体" w:cs="Times New Roman"/>
                <w:szCs w:val="21"/>
              </w:rPr>
              <w:t>2</w:t>
            </w:r>
          </w:p>
        </w:tc>
        <w:tc>
          <w:tcPr>
            <w:tcW w:w="4012" w:type="dxa"/>
            <w:vAlign w:val="center"/>
          </w:tcPr>
          <w:p>
            <w:pPr>
              <w:snapToGrid w:val="0"/>
              <w:rPr>
                <w:rFonts w:ascii="Times New Roman" w:hAnsi="Times New Roman" w:eastAsia="宋体" w:cs="Times New Roman"/>
                <w:szCs w:val="21"/>
              </w:rPr>
            </w:pPr>
            <w:r>
              <w:rPr>
                <w:rFonts w:hint="eastAsia" w:ascii="宋体" w:hAnsi="宋体" w:cs="宋体"/>
                <w:color w:val="000000"/>
                <w:spacing w:val="4"/>
              </w:rPr>
              <w:t>汽轮机冷凝水全部收集于下部凝结泵送入现的凝结水处理装置，不外排，采暖前期管道试水就近排入公司的渣水系统进行水渣淬冷，循环使用不外排，生活污水经化粪池处理后就近排入太钢生活污水管网，最终进入赵庄污水处理厂集中处理后回用；软水站排水回用于厂区降尘。</w:t>
            </w:r>
          </w:p>
        </w:tc>
        <w:tc>
          <w:tcPr>
            <w:tcW w:w="4217" w:type="dxa"/>
            <w:vAlign w:val="center"/>
          </w:tcPr>
          <w:p>
            <w:pPr>
              <w:pStyle w:val="66"/>
              <w:spacing w:before="93" w:after="93"/>
              <w:jc w:val="both"/>
              <w:rPr>
                <w:rFonts w:ascii="等线" w:eastAsia="等线"/>
                <w:color w:val="000000"/>
                <w:kern w:val="2"/>
                <w:szCs w:val="21"/>
              </w:rPr>
            </w:pPr>
            <w:r>
              <w:rPr>
                <w:rFonts w:hint="eastAsia" w:ascii="宋体" w:hAnsi="宋体" w:cs="宋体"/>
                <w:color w:val="000000"/>
                <w:spacing w:val="4"/>
              </w:rPr>
              <w:t>汽轮机冷凝水全部收集于下部凝结泵送入现的凝结水处理装置，不外排，采暖前期管道试水就近排入公司的渣水系统进行水渣淬冷，循环使用不外排，生活污水经化粪池处理后就近排入太钢生活污水管网，最终进入赵庄污水处理厂集中处理后回用；软水站排水回用于厂区降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5" w:hRule="atLeast"/>
        </w:trPr>
        <w:tc>
          <w:tcPr>
            <w:tcW w:w="605" w:type="dxa"/>
            <w:vAlign w:val="center"/>
          </w:tcPr>
          <w:p>
            <w:pPr>
              <w:snapToGrid w:val="0"/>
              <w:jc w:val="center"/>
              <w:rPr>
                <w:rFonts w:ascii="Times New Roman" w:hAnsi="Times New Roman" w:eastAsia="宋体" w:cs="Times New Roman"/>
                <w:szCs w:val="21"/>
              </w:rPr>
            </w:pPr>
            <w:r>
              <w:rPr>
                <w:rFonts w:ascii="Times New Roman" w:hAnsi="Times New Roman" w:eastAsia="宋体" w:cs="Times New Roman"/>
                <w:szCs w:val="21"/>
              </w:rPr>
              <w:t>3</w:t>
            </w:r>
          </w:p>
        </w:tc>
        <w:tc>
          <w:tcPr>
            <w:tcW w:w="4012" w:type="dxa"/>
            <w:vAlign w:val="center"/>
          </w:tcPr>
          <w:p>
            <w:pPr>
              <w:snapToGrid w:val="0"/>
              <w:rPr>
                <w:rFonts w:ascii="Times New Roman" w:hAnsi="Times New Roman" w:eastAsia="宋体" w:cs="Times New Roman"/>
                <w:szCs w:val="21"/>
              </w:rPr>
            </w:pPr>
            <w:r>
              <w:rPr>
                <w:rFonts w:hint="eastAsia" w:ascii="宋体" w:hAnsi="宋体" w:cs="宋体"/>
                <w:color w:val="000000"/>
                <w:spacing w:val="4"/>
              </w:rPr>
              <w:t>各类产噪设备，采取室内屏蔽、隔声吸声、安装减振垫等措施，选用立式水泵，设于地下。污染物排放标准执行《工业企业厂界环境噪声排放标准》（G</w:t>
            </w:r>
            <w:r>
              <w:rPr>
                <w:rFonts w:ascii="宋体" w:hAnsi="宋体" w:cs="宋体"/>
                <w:color w:val="000000"/>
                <w:spacing w:val="4"/>
              </w:rPr>
              <w:t>B</w:t>
            </w:r>
            <w:r>
              <w:rPr>
                <w:rFonts w:hint="eastAsia" w:ascii="宋体" w:hAnsi="宋体" w:cs="宋体"/>
                <w:color w:val="000000"/>
                <w:spacing w:val="4"/>
              </w:rPr>
              <w:t>12348-2008）中3类标准。</w:t>
            </w:r>
          </w:p>
        </w:tc>
        <w:tc>
          <w:tcPr>
            <w:tcW w:w="4217" w:type="dxa"/>
            <w:vAlign w:val="center"/>
          </w:tcPr>
          <w:p>
            <w:pPr>
              <w:snapToGrid w:val="0"/>
              <w:rPr>
                <w:rFonts w:ascii="Times New Roman" w:hAnsi="Times New Roman" w:eastAsia="宋体" w:cs="Times New Roman"/>
                <w:szCs w:val="21"/>
              </w:rPr>
            </w:pPr>
            <w:r>
              <w:rPr>
                <w:rFonts w:hint="eastAsia" w:ascii="宋体" w:hAnsi="宋体" w:cs="宋体"/>
                <w:color w:val="000000"/>
                <w:spacing w:val="4"/>
              </w:rPr>
              <w:t>各类产噪设备，采取室内屏蔽、隔声吸声、安装减振垫等措施，选用立式水泵，设于地下。污染物排放标准执行《工业企业厂界环境噪声排放标准》（G</w:t>
            </w:r>
            <w:r>
              <w:rPr>
                <w:rFonts w:ascii="宋体" w:hAnsi="宋体" w:cs="宋体"/>
                <w:color w:val="000000"/>
                <w:spacing w:val="4"/>
              </w:rPr>
              <w:t>B</w:t>
            </w:r>
            <w:r>
              <w:rPr>
                <w:rFonts w:hint="eastAsia" w:ascii="宋体" w:hAnsi="宋体" w:cs="宋体"/>
                <w:color w:val="000000"/>
                <w:spacing w:val="4"/>
              </w:rPr>
              <w:t>12348-2008）中3类标准。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5" w:hRule="atLeast"/>
        </w:trPr>
        <w:tc>
          <w:tcPr>
            <w:tcW w:w="605" w:type="dxa"/>
            <w:vAlign w:val="center"/>
          </w:tcPr>
          <w:p>
            <w:pPr>
              <w:snapToGrid w:val="0"/>
              <w:jc w:val="center"/>
              <w:rPr>
                <w:rFonts w:ascii="Times New Roman" w:hAnsi="Times New Roman" w:eastAsia="宋体" w:cs="Times New Roman"/>
                <w:szCs w:val="21"/>
              </w:rPr>
            </w:pPr>
            <w:r>
              <w:rPr>
                <w:rFonts w:hint="eastAsia" w:ascii="Times New Roman" w:hAnsi="Times New Roman" w:eastAsia="宋体" w:cs="Times New Roman"/>
                <w:szCs w:val="21"/>
              </w:rPr>
              <w:t>4</w:t>
            </w:r>
          </w:p>
        </w:tc>
        <w:tc>
          <w:tcPr>
            <w:tcW w:w="4012" w:type="dxa"/>
            <w:vAlign w:val="center"/>
          </w:tcPr>
          <w:p>
            <w:pPr>
              <w:snapToGrid w:val="0"/>
              <w:rPr>
                <w:rFonts w:ascii="宋体" w:hAnsi="宋体" w:cs="宋体"/>
                <w:color w:val="000000"/>
                <w:spacing w:val="4"/>
              </w:rPr>
            </w:pPr>
            <w:r>
              <w:rPr>
                <w:rFonts w:hint="eastAsia"/>
                <w:color w:val="000000"/>
                <w:sz w:val="24"/>
              </w:rPr>
              <w:t>生活垃圾统一收集后由环卫部门统一处理</w:t>
            </w:r>
          </w:p>
        </w:tc>
        <w:tc>
          <w:tcPr>
            <w:tcW w:w="4217" w:type="dxa"/>
            <w:vAlign w:val="center"/>
          </w:tcPr>
          <w:p>
            <w:pPr>
              <w:snapToGrid w:val="0"/>
              <w:rPr>
                <w:rFonts w:ascii="Times New Roman" w:hAnsi="Times New Roman" w:eastAsia="宋体" w:cs="Times New Roman"/>
                <w:szCs w:val="21"/>
              </w:rPr>
            </w:pPr>
            <w:r>
              <w:rPr>
                <w:rFonts w:ascii="Times New Roman" w:hAnsi="Times New Roman" w:cs="Times New Roman"/>
                <w:color w:val="000000"/>
              </w:rPr>
              <w:t>厂区设封闭垃圾箱，生活垃圾统一收集后定期交环卫部门统一处理。</w:t>
            </w:r>
          </w:p>
        </w:tc>
      </w:tr>
    </w:tbl>
    <w:p>
      <w:pPr>
        <w:pStyle w:val="61"/>
        <w:snapToGrid w:val="0"/>
        <w:spacing w:before="0" w:beforeAutospacing="0" w:after="0" w:afterAutospacing="0" w:line="500" w:lineRule="exact"/>
        <w:ind w:firstLine="562" w:firstLineChars="200"/>
        <w:jc w:val="both"/>
        <w:outlineLvl w:val="0"/>
        <w:rPr>
          <w:rFonts w:ascii="Times New Roman" w:hAnsi="Times New Roman" w:cs="Times New Roman"/>
          <w:b/>
          <w:color w:val="000000"/>
          <w:sz w:val="28"/>
          <w:szCs w:val="28"/>
        </w:rPr>
      </w:pPr>
      <w:r>
        <w:rPr>
          <w:rFonts w:ascii="Times New Roman" w:hAnsi="Times New Roman" w:cs="Times New Roman"/>
          <w:b/>
          <w:color w:val="000000"/>
          <w:sz w:val="28"/>
          <w:szCs w:val="28"/>
        </w:rPr>
        <w:t>四、环境保护设施调试效果</w:t>
      </w:r>
    </w:p>
    <w:p>
      <w:pPr>
        <w:pStyle w:val="61"/>
        <w:snapToGrid w:val="0"/>
        <w:spacing w:before="0" w:beforeAutospacing="0" w:after="0" w:afterAutospacing="0" w:line="500" w:lineRule="exact"/>
        <w:ind w:firstLine="560" w:firstLineChars="200"/>
        <w:jc w:val="both"/>
        <w:outlineLvl w:val="1"/>
        <w:rPr>
          <w:rFonts w:ascii="Times New Roman" w:hAnsi="Times New Roman" w:cs="Times New Roman"/>
          <w:bCs/>
          <w:color w:val="000000"/>
          <w:kern w:val="2"/>
          <w:sz w:val="28"/>
          <w:szCs w:val="28"/>
        </w:rPr>
      </w:pPr>
      <w:r>
        <w:rPr>
          <w:rFonts w:ascii="Times New Roman" w:hAnsi="Times New Roman" w:cs="Times New Roman"/>
          <w:bCs/>
          <w:color w:val="000000"/>
          <w:kern w:val="2"/>
          <w:sz w:val="28"/>
          <w:szCs w:val="28"/>
        </w:rPr>
        <w:t>（一）环保设施处理效率</w:t>
      </w:r>
    </w:p>
    <w:p>
      <w:pPr>
        <w:adjustRightInd w:val="0"/>
        <w:snapToGrid w:val="0"/>
        <w:spacing w:line="500" w:lineRule="exact"/>
        <w:ind w:firstLine="560" w:firstLineChars="200"/>
        <w:rPr>
          <w:rFonts w:ascii="Times New Roman" w:hAnsi="Times New Roman" w:cs="Times New Roman"/>
          <w:bCs/>
          <w:color w:val="000000"/>
          <w:sz w:val="28"/>
          <w:szCs w:val="28"/>
        </w:rPr>
      </w:pPr>
      <w:r>
        <w:rPr>
          <w:rFonts w:ascii="Times New Roman" w:hAnsi="Times New Roman" w:cs="Times New Roman"/>
          <w:bCs/>
          <w:color w:val="000000"/>
          <w:sz w:val="28"/>
          <w:szCs w:val="28"/>
        </w:rPr>
        <w:t>项目调试运行期间，各项环保设施均运行正常，环保设施运行符合环境影响报告表及其环评批复的要求。</w:t>
      </w:r>
    </w:p>
    <w:p>
      <w:pPr>
        <w:pStyle w:val="61"/>
        <w:snapToGrid w:val="0"/>
        <w:spacing w:before="0" w:beforeAutospacing="0" w:after="0" w:afterAutospacing="0" w:line="500" w:lineRule="exact"/>
        <w:ind w:firstLine="560" w:firstLineChars="200"/>
        <w:jc w:val="both"/>
        <w:outlineLvl w:val="1"/>
        <w:rPr>
          <w:rFonts w:ascii="Times New Roman" w:hAnsi="Times New Roman" w:cs="Times New Roman"/>
          <w:bCs/>
          <w:color w:val="000000"/>
          <w:kern w:val="2"/>
          <w:sz w:val="28"/>
          <w:szCs w:val="28"/>
        </w:rPr>
      </w:pPr>
      <w:r>
        <w:rPr>
          <w:rFonts w:ascii="Times New Roman" w:hAnsi="Times New Roman" w:cs="Times New Roman"/>
          <w:bCs/>
          <w:color w:val="000000"/>
          <w:kern w:val="2"/>
          <w:sz w:val="28"/>
          <w:szCs w:val="28"/>
        </w:rPr>
        <w:t>（二）污染物排放情况</w:t>
      </w:r>
    </w:p>
    <w:p>
      <w:pPr>
        <w:pStyle w:val="10"/>
        <w:snapToGrid w:val="0"/>
        <w:spacing w:line="500" w:lineRule="exact"/>
        <w:ind w:firstLine="560" w:firstLineChars="200"/>
        <w:rPr>
          <w:bCs/>
          <w:color w:val="000000"/>
          <w:sz w:val="28"/>
          <w:szCs w:val="28"/>
        </w:rPr>
      </w:pPr>
      <w:r>
        <w:rPr>
          <w:bCs/>
          <w:color w:val="000000"/>
          <w:sz w:val="28"/>
          <w:szCs w:val="28"/>
        </w:rPr>
        <w:t>厂界噪声验收监测结果表明：监测期间，厂界噪声昼间监测值范围为</w:t>
      </w:r>
      <w:r>
        <w:rPr>
          <w:rFonts w:hint="eastAsia"/>
          <w:bCs/>
          <w:color w:val="000000"/>
          <w:sz w:val="28"/>
          <w:szCs w:val="28"/>
          <w:lang w:val="zh-CN"/>
        </w:rPr>
        <w:t>厂界噪声范围为昼间：</w:t>
      </w:r>
      <w:r>
        <w:rPr>
          <w:bCs/>
          <w:color w:val="000000"/>
          <w:sz w:val="28"/>
          <w:szCs w:val="28"/>
          <w:lang w:val="zh-CN"/>
        </w:rPr>
        <w:t>60.1-64.7dB（A），夜间：50.2-54.8dB（A），</w:t>
      </w:r>
      <w:r>
        <w:rPr>
          <w:bCs/>
          <w:color w:val="000000"/>
          <w:sz w:val="28"/>
          <w:szCs w:val="28"/>
        </w:rPr>
        <w:t>均满足《工业企业厂界环境噪声排放标准》（GB12348-2008）中3类标准要求</w:t>
      </w:r>
      <w:r>
        <w:rPr>
          <w:rFonts w:hint="eastAsia"/>
          <w:bCs/>
          <w:color w:val="000000"/>
          <w:sz w:val="28"/>
          <w:szCs w:val="28"/>
        </w:rPr>
        <w:t>（昼间65</w:t>
      </w:r>
      <w:r>
        <w:rPr>
          <w:bCs/>
          <w:color w:val="000000"/>
          <w:sz w:val="28"/>
          <w:szCs w:val="28"/>
        </w:rPr>
        <w:t xml:space="preserve"> dB</w:t>
      </w:r>
      <w:r>
        <w:rPr>
          <w:rFonts w:hint="eastAsia"/>
          <w:bCs/>
          <w:color w:val="000000"/>
          <w:sz w:val="28"/>
          <w:szCs w:val="28"/>
        </w:rPr>
        <w:t>（</w:t>
      </w:r>
      <w:r>
        <w:rPr>
          <w:bCs/>
          <w:color w:val="000000"/>
          <w:sz w:val="28"/>
          <w:szCs w:val="28"/>
        </w:rPr>
        <w:t>A</w:t>
      </w:r>
      <w:r>
        <w:rPr>
          <w:rFonts w:hint="eastAsia"/>
          <w:bCs/>
          <w:color w:val="000000"/>
          <w:sz w:val="28"/>
          <w:szCs w:val="28"/>
        </w:rPr>
        <w:t>），夜间55</w:t>
      </w:r>
      <w:r>
        <w:rPr>
          <w:bCs/>
          <w:color w:val="000000"/>
          <w:sz w:val="28"/>
          <w:szCs w:val="28"/>
        </w:rPr>
        <w:t xml:space="preserve"> dB</w:t>
      </w:r>
      <w:r>
        <w:rPr>
          <w:rFonts w:hint="eastAsia"/>
          <w:bCs/>
          <w:color w:val="000000"/>
          <w:sz w:val="28"/>
          <w:szCs w:val="28"/>
        </w:rPr>
        <w:t>（</w:t>
      </w:r>
      <w:r>
        <w:rPr>
          <w:bCs/>
          <w:color w:val="000000"/>
          <w:sz w:val="28"/>
          <w:szCs w:val="28"/>
        </w:rPr>
        <w:t>A</w:t>
      </w:r>
      <w:r>
        <w:rPr>
          <w:rFonts w:hint="eastAsia"/>
          <w:bCs/>
          <w:color w:val="000000"/>
          <w:sz w:val="28"/>
          <w:szCs w:val="28"/>
        </w:rPr>
        <w:t>）)</w:t>
      </w:r>
      <w:r>
        <w:rPr>
          <w:bCs/>
          <w:color w:val="000000"/>
          <w:sz w:val="28"/>
          <w:szCs w:val="28"/>
        </w:rPr>
        <w:t>。</w:t>
      </w:r>
    </w:p>
    <w:p>
      <w:pPr>
        <w:pStyle w:val="61"/>
        <w:snapToGrid w:val="0"/>
        <w:spacing w:before="0" w:beforeAutospacing="0" w:after="0" w:afterAutospacing="0" w:line="500" w:lineRule="exact"/>
        <w:ind w:firstLine="562" w:firstLineChars="200"/>
        <w:jc w:val="both"/>
        <w:outlineLvl w:val="0"/>
        <w:rPr>
          <w:rFonts w:hint="eastAsia" w:ascii="Times New Roman" w:hAnsi="Times New Roman" w:cs="Times New Roman"/>
          <w:b/>
          <w:color w:val="000000"/>
          <w:sz w:val="28"/>
          <w:szCs w:val="28"/>
        </w:rPr>
      </w:pPr>
    </w:p>
    <w:p>
      <w:pPr>
        <w:pStyle w:val="61"/>
        <w:snapToGrid w:val="0"/>
        <w:spacing w:before="0" w:beforeAutospacing="0" w:after="0" w:afterAutospacing="0" w:line="500" w:lineRule="exact"/>
        <w:ind w:firstLine="562" w:firstLineChars="200"/>
        <w:jc w:val="both"/>
        <w:outlineLvl w:val="0"/>
        <w:rPr>
          <w:rFonts w:ascii="Times New Roman" w:hAnsi="Times New Roman" w:cs="Times New Roman"/>
          <w:b/>
          <w:color w:val="000000"/>
          <w:sz w:val="28"/>
          <w:szCs w:val="28"/>
        </w:rPr>
      </w:pPr>
      <w:r>
        <w:rPr>
          <w:rFonts w:ascii="Times New Roman" w:hAnsi="Times New Roman" w:cs="Times New Roman"/>
          <w:b/>
          <w:color w:val="000000"/>
          <w:sz w:val="28"/>
          <w:szCs w:val="28"/>
        </w:rPr>
        <w:t>六、工程建设对环境的影响</w:t>
      </w:r>
    </w:p>
    <w:p>
      <w:pPr>
        <w:pStyle w:val="61"/>
        <w:snapToGrid w:val="0"/>
        <w:spacing w:before="0" w:beforeAutospacing="0" w:after="0" w:afterAutospacing="0" w:line="500" w:lineRule="exact"/>
        <w:ind w:firstLine="560" w:firstLineChars="200"/>
        <w:rPr>
          <w:rFonts w:ascii="Times New Roman" w:hAnsi="Times New Roman" w:cs="Times New Roman"/>
          <w:color w:val="000000"/>
          <w:sz w:val="28"/>
          <w:szCs w:val="28"/>
        </w:rPr>
      </w:pPr>
      <w:r>
        <w:rPr>
          <w:rFonts w:hint="eastAsia" w:ascii="Times New Roman" w:hAnsi="Times New Roman" w:cs="Times New Roman"/>
          <w:color w:val="000000"/>
          <w:sz w:val="28"/>
          <w:szCs w:val="28"/>
        </w:rPr>
        <w:t>山西太钢不锈钢股份有限公司</w:t>
      </w:r>
      <w:r>
        <w:rPr>
          <w:rFonts w:hint="eastAsia" w:ascii="Times New Roman" w:hAnsi="Times New Roman" w:cs="Times New Roman"/>
          <w:sz w:val="28"/>
          <w:szCs w:val="28"/>
        </w:rPr>
        <w:t>低参数余热利用项目</w:t>
      </w:r>
      <w:r>
        <w:rPr>
          <w:rFonts w:hint="eastAsia" w:ascii="Times New Roman" w:hAnsi="Times New Roman" w:cs="Times New Roman"/>
          <w:color w:val="000000"/>
          <w:sz w:val="28"/>
          <w:szCs w:val="28"/>
        </w:rPr>
        <w:t>符合国家产业政策要求，</w:t>
      </w:r>
      <w:r>
        <w:rPr>
          <w:color w:val="000000"/>
        </w:rPr>
        <w:t>符合太原市总体规划要求，选址合理</w:t>
      </w:r>
      <w:r>
        <w:rPr>
          <w:rFonts w:hint="eastAsia"/>
          <w:color w:val="000000"/>
        </w:rPr>
        <w:t>。</w:t>
      </w:r>
      <w:r>
        <w:rPr>
          <w:rFonts w:ascii="Times New Roman" w:hAnsi="Times New Roman" w:cs="Times New Roman"/>
          <w:color w:val="000000"/>
          <w:sz w:val="28"/>
          <w:szCs w:val="28"/>
        </w:rPr>
        <w:t>据验收监测结果可知，污染物满足达标排放，周围环境质量可达到验收执行标准。工程建设对周围环境产生的影响较小。</w:t>
      </w:r>
    </w:p>
    <w:p>
      <w:pPr>
        <w:pStyle w:val="61"/>
        <w:snapToGrid w:val="0"/>
        <w:spacing w:before="0" w:beforeAutospacing="0" w:after="0" w:afterAutospacing="0" w:line="500" w:lineRule="exact"/>
        <w:ind w:firstLine="562" w:firstLineChars="200"/>
        <w:jc w:val="both"/>
        <w:outlineLvl w:val="0"/>
        <w:rPr>
          <w:rFonts w:ascii="Times New Roman" w:hAnsi="Times New Roman" w:cs="Times New Roman"/>
          <w:b/>
          <w:color w:val="000000"/>
          <w:sz w:val="28"/>
          <w:szCs w:val="28"/>
        </w:rPr>
      </w:pPr>
      <w:r>
        <w:rPr>
          <w:rFonts w:ascii="Times New Roman" w:hAnsi="Times New Roman" w:cs="Times New Roman"/>
          <w:b/>
          <w:color w:val="000000"/>
          <w:sz w:val="28"/>
          <w:szCs w:val="28"/>
        </w:rPr>
        <w:t>七、验收结论</w:t>
      </w:r>
    </w:p>
    <w:p>
      <w:pPr>
        <w:adjustRightInd w:val="0"/>
        <w:snapToGrid w:val="0"/>
        <w:spacing w:line="500" w:lineRule="exact"/>
        <w:ind w:firstLine="560" w:firstLineChars="200"/>
        <w:rPr>
          <w:rFonts w:ascii="Times New Roman" w:hAnsi="Times New Roman" w:cs="Times New Roman"/>
          <w:bCs/>
          <w:color w:val="000000"/>
          <w:sz w:val="28"/>
          <w:szCs w:val="28"/>
        </w:rPr>
      </w:pPr>
      <w:r>
        <w:rPr>
          <w:rFonts w:hint="eastAsia" w:ascii="Times New Roman" w:hAnsi="Times New Roman" w:cs="Times New Roman"/>
          <w:kern w:val="0"/>
          <w:sz w:val="28"/>
          <w:szCs w:val="28"/>
        </w:rPr>
        <w:t>山西太钢不锈钢股份有限公司低参数余热利用项目</w:t>
      </w:r>
      <w:r>
        <w:rPr>
          <w:rFonts w:ascii="Times New Roman" w:hAnsi="Times New Roman" w:cs="Times New Roman"/>
          <w:color w:val="000000"/>
          <w:kern w:val="0"/>
          <w:sz w:val="28"/>
          <w:szCs w:val="28"/>
        </w:rPr>
        <w:t>进行了环境影响评价，报告表经</w:t>
      </w:r>
      <w:r>
        <w:rPr>
          <w:rFonts w:hint="eastAsia" w:ascii="Times New Roman" w:hAnsi="Times New Roman" w:cs="Times New Roman"/>
          <w:sz w:val="28"/>
          <w:szCs w:val="28"/>
        </w:rPr>
        <w:t>太原市环境保护局尖草坪分局</w:t>
      </w:r>
      <w:r>
        <w:rPr>
          <w:rFonts w:ascii="Times New Roman" w:hAnsi="Times New Roman" w:cs="Times New Roman"/>
          <w:bCs/>
          <w:color w:val="000000"/>
          <w:sz w:val="28"/>
          <w:szCs w:val="28"/>
        </w:rPr>
        <w:t>批复。项目基本按照环评及其批复要求进行了建设。验收监测结果表明，污染物可以做到达标排放，不存在国家规定的验收不合格情形。验收组认为，本项目竣工环境保护验收为基本合格。</w:t>
      </w:r>
    </w:p>
    <w:p>
      <w:pPr>
        <w:pStyle w:val="61"/>
        <w:snapToGrid w:val="0"/>
        <w:spacing w:before="0" w:beforeAutospacing="0" w:after="0" w:afterAutospacing="0" w:line="500" w:lineRule="exact"/>
        <w:ind w:left="562"/>
        <w:jc w:val="both"/>
        <w:outlineLvl w:val="0"/>
        <w:rPr>
          <w:rFonts w:ascii="Times New Roman" w:hAnsi="Times New Roman" w:cs="Times New Roman"/>
          <w:b/>
          <w:color w:val="000000"/>
          <w:sz w:val="28"/>
          <w:szCs w:val="28"/>
        </w:rPr>
      </w:pPr>
      <w:r>
        <w:rPr>
          <w:rFonts w:hint="eastAsia" w:ascii="Times New Roman" w:hAnsi="Times New Roman" w:cs="Times New Roman"/>
          <w:b/>
          <w:color w:val="000000"/>
          <w:sz w:val="28"/>
          <w:szCs w:val="28"/>
        </w:rPr>
        <w:t>八、</w:t>
      </w:r>
      <w:r>
        <w:rPr>
          <w:rFonts w:ascii="Times New Roman" w:hAnsi="Times New Roman" w:cs="Times New Roman"/>
          <w:b/>
          <w:color w:val="000000"/>
          <w:sz w:val="28"/>
          <w:szCs w:val="28"/>
        </w:rPr>
        <w:t>后续要求</w:t>
      </w:r>
    </w:p>
    <w:p>
      <w:pPr>
        <w:pStyle w:val="62"/>
        <w:widowControl/>
        <w:adjustRightInd w:val="0"/>
        <w:snapToGrid w:val="0"/>
        <w:spacing w:line="500" w:lineRule="exact"/>
        <w:ind w:firstLine="560"/>
        <w:rPr>
          <w:rFonts w:ascii="Times New Roman" w:hAnsi="Times New Roman" w:cs="Times New Roman"/>
          <w:sz w:val="28"/>
          <w:szCs w:val="28"/>
        </w:rPr>
      </w:pPr>
      <w:r>
        <w:rPr>
          <w:rFonts w:hint="eastAsia" w:ascii="Times New Roman" w:hAnsi="Times New Roman" w:cs="Times New Roman"/>
          <w:sz w:val="28"/>
          <w:szCs w:val="28"/>
        </w:rPr>
        <w:t>对</w:t>
      </w:r>
      <w:r>
        <w:rPr>
          <w:rFonts w:ascii="Times New Roman" w:hAnsi="Times New Roman" w:cs="Times New Roman"/>
          <w:sz w:val="28"/>
          <w:szCs w:val="28"/>
        </w:rPr>
        <w:t>环保设施</w:t>
      </w:r>
      <w:r>
        <w:rPr>
          <w:rFonts w:hint="eastAsia" w:ascii="Times New Roman" w:hAnsi="Times New Roman" w:cs="Times New Roman"/>
          <w:sz w:val="28"/>
          <w:szCs w:val="28"/>
        </w:rPr>
        <w:t>要</w:t>
      </w:r>
      <w:r>
        <w:rPr>
          <w:rFonts w:ascii="Times New Roman" w:hAnsi="Times New Roman" w:cs="Times New Roman"/>
          <w:sz w:val="28"/>
          <w:szCs w:val="28"/>
        </w:rPr>
        <w:t>定期维</w:t>
      </w:r>
      <w:bookmarkStart w:id="3" w:name="_GoBack"/>
      <w:bookmarkEnd w:id="3"/>
      <w:r>
        <w:rPr>
          <w:rFonts w:hint="eastAsia" w:ascii="Times New Roman" w:hAnsi="Times New Roman" w:cs="Times New Roman"/>
          <w:sz w:val="28"/>
          <w:szCs w:val="28"/>
        </w:rPr>
        <w:t>护维</w:t>
      </w:r>
      <w:r>
        <w:rPr>
          <w:rFonts w:ascii="Times New Roman" w:hAnsi="Times New Roman" w:cs="Times New Roman"/>
          <w:sz w:val="28"/>
          <w:szCs w:val="28"/>
        </w:rPr>
        <w:t>修，确保各环节的污染物稳定达标排放。</w:t>
      </w:r>
    </w:p>
    <w:p>
      <w:pPr>
        <w:widowControl/>
        <w:adjustRightInd w:val="0"/>
        <w:snapToGrid w:val="0"/>
        <w:spacing w:line="500" w:lineRule="exact"/>
        <w:ind w:firstLine="562" w:firstLineChars="200"/>
        <w:rPr>
          <w:rFonts w:ascii="Times New Roman" w:hAnsi="Times New Roman" w:cs="Times New Roman"/>
          <w:b/>
          <w:sz w:val="28"/>
          <w:szCs w:val="28"/>
        </w:rPr>
      </w:pPr>
      <w:r>
        <w:rPr>
          <w:rFonts w:hint="eastAsia" w:ascii="Times New Roman" w:hAnsi="Times New Roman" w:cs="Times New Roman"/>
          <w:b/>
          <w:sz w:val="28"/>
          <w:szCs w:val="28"/>
        </w:rPr>
        <w:t>九、验收人员信息</w:t>
      </w:r>
    </w:p>
    <w:p>
      <w:pPr>
        <w:pStyle w:val="62"/>
        <w:widowControl/>
        <w:adjustRightInd w:val="0"/>
        <w:snapToGrid w:val="0"/>
        <w:spacing w:line="500" w:lineRule="exact"/>
        <w:ind w:firstLine="560"/>
        <w:rPr>
          <w:rFonts w:ascii="Times New Roman" w:hAnsi="Times New Roman" w:cs="Times New Roman"/>
          <w:sz w:val="28"/>
          <w:szCs w:val="28"/>
        </w:rPr>
      </w:pPr>
      <w:r>
        <w:rPr>
          <w:rFonts w:hint="eastAsia" w:ascii="Times New Roman" w:hAnsi="Times New Roman" w:cs="Times New Roman"/>
          <w:sz w:val="28"/>
          <w:szCs w:val="28"/>
        </w:rPr>
        <w:t>见附表。</w:t>
      </w:r>
    </w:p>
    <w:p>
      <w:pPr>
        <w:pStyle w:val="62"/>
        <w:widowControl/>
        <w:adjustRightInd w:val="0"/>
        <w:snapToGrid w:val="0"/>
        <w:spacing w:line="500" w:lineRule="exact"/>
        <w:ind w:firstLine="560"/>
        <w:rPr>
          <w:rFonts w:ascii="Times New Roman" w:hAnsi="Times New Roman" w:cs="Times New Roman"/>
          <w:sz w:val="28"/>
          <w:szCs w:val="28"/>
        </w:rPr>
      </w:pPr>
      <w:r>
        <w:rPr>
          <w:rFonts w:hint="eastAsia" w:ascii="Times New Roman" w:hAnsi="Times New Roman" w:cs="Times New Roman"/>
          <w:sz w:val="28"/>
          <w:szCs w:val="28"/>
        </w:rPr>
        <w:t xml:space="preserve">    </w:t>
      </w:r>
    </w:p>
    <w:p>
      <w:pPr>
        <w:pStyle w:val="62"/>
        <w:widowControl/>
        <w:adjustRightInd w:val="0"/>
        <w:snapToGrid w:val="0"/>
        <w:spacing w:line="500" w:lineRule="exact"/>
        <w:ind w:firstLine="560"/>
        <w:rPr>
          <w:rFonts w:ascii="Times New Roman" w:hAnsi="Times New Roman" w:cs="Times New Roman"/>
          <w:sz w:val="28"/>
          <w:szCs w:val="28"/>
        </w:rPr>
      </w:pPr>
      <w:r>
        <w:rPr>
          <w:rFonts w:hint="eastAsia" w:ascii="Times New Roman" w:hAnsi="Times New Roman" w:cs="Times New Roman"/>
          <w:sz w:val="28"/>
          <w:szCs w:val="28"/>
        </w:rPr>
        <w:t xml:space="preserve">                                     2021年9月29日</w:t>
      </w:r>
    </w:p>
    <w:sectPr>
      <w:pgSz w:w="11906" w:h="16838"/>
      <w:pgMar w:top="1417" w:right="1587" w:bottom="1417" w:left="170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auto"/>
    <w:pitch w:val="default"/>
    <w:sig w:usb0="E00002FF" w:usb1="4000ACFF" w:usb2="00000001" w:usb3="00000000" w:csb0="2000019F" w:csb1="00000000"/>
  </w:font>
  <w:font w:name="Arial Unicode MS">
    <w:altName w:val="宋体"/>
    <w:panose1 w:val="020B0604020202020204"/>
    <w:charset w:val="86"/>
    <w:family w:val="auto"/>
    <w:pitch w:val="default"/>
    <w:sig w:usb0="F7FFAFFF" w:usb1="E9DFFFFF" w:usb2="0000003F" w:usb3="00000000" w:csb0="003F01FF" w:csb1="00000000"/>
  </w:font>
  <w:font w:name="PMingLiU">
    <w:panose1 w:val="02020500000000000000"/>
    <w:charset w:val="88"/>
    <w:family w:val="auto"/>
    <w:pitch w:val="default"/>
    <w:sig w:usb0="A00002FF" w:usb1="28CFFCFA" w:usb2="00000016" w:usb3="00000000" w:csb0="00100001" w:csb1="00000000"/>
  </w:font>
  <w:font w:name="宋体-方正超大字符集">
    <w:panose1 w:val="03000509000000000000"/>
    <w:charset w:val="86"/>
    <w:family w:val="auto"/>
    <w:pitch w:val="default"/>
    <w:sig w:usb0="00000001" w:usb1="080E0000" w:usb2="00000000" w:usb3="00000000" w:csb0="00040000" w:csb1="00000000"/>
  </w:font>
  <w:font w:name="仿宋_GB2312">
    <w:altName w:val="仿宋"/>
    <w:panose1 w:val="00000000000000000000"/>
    <w:charset w:val="86"/>
    <w:family w:val="auto"/>
    <w:pitch w:val="default"/>
    <w:sig w:usb0="00000000" w:usb1="080E0000" w:usb2="00000010" w:usb3="00000000" w:csb0="00040000"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val="1"/>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008F363E"/>
    <w:rsid w:val="0000473B"/>
    <w:rsid w:val="0001384F"/>
    <w:rsid w:val="00021A86"/>
    <w:rsid w:val="000326B5"/>
    <w:rsid w:val="00035E40"/>
    <w:rsid w:val="00037630"/>
    <w:rsid w:val="00044CF5"/>
    <w:rsid w:val="00047464"/>
    <w:rsid w:val="00050165"/>
    <w:rsid w:val="000507DF"/>
    <w:rsid w:val="00061F18"/>
    <w:rsid w:val="00066E43"/>
    <w:rsid w:val="00071976"/>
    <w:rsid w:val="000A31D5"/>
    <w:rsid w:val="00107B08"/>
    <w:rsid w:val="00114EC8"/>
    <w:rsid w:val="00126C68"/>
    <w:rsid w:val="0013317C"/>
    <w:rsid w:val="0016411D"/>
    <w:rsid w:val="00173589"/>
    <w:rsid w:val="00180E87"/>
    <w:rsid w:val="0018468E"/>
    <w:rsid w:val="00194D9F"/>
    <w:rsid w:val="001A2FF8"/>
    <w:rsid w:val="001B515C"/>
    <w:rsid w:val="001C1712"/>
    <w:rsid w:val="001C2896"/>
    <w:rsid w:val="001F4571"/>
    <w:rsid w:val="001F4B69"/>
    <w:rsid w:val="00223A4A"/>
    <w:rsid w:val="00224850"/>
    <w:rsid w:val="00225172"/>
    <w:rsid w:val="002307B3"/>
    <w:rsid w:val="00232B9D"/>
    <w:rsid w:val="00242A19"/>
    <w:rsid w:val="00252851"/>
    <w:rsid w:val="00252BE6"/>
    <w:rsid w:val="0025751C"/>
    <w:rsid w:val="0026055B"/>
    <w:rsid w:val="00277FD4"/>
    <w:rsid w:val="002951D1"/>
    <w:rsid w:val="00297A4E"/>
    <w:rsid w:val="002A50F3"/>
    <w:rsid w:val="002C65BE"/>
    <w:rsid w:val="002D31E4"/>
    <w:rsid w:val="002F468A"/>
    <w:rsid w:val="00301DEB"/>
    <w:rsid w:val="003229B0"/>
    <w:rsid w:val="003313AF"/>
    <w:rsid w:val="0033781A"/>
    <w:rsid w:val="0036031B"/>
    <w:rsid w:val="003637AD"/>
    <w:rsid w:val="00382FBC"/>
    <w:rsid w:val="00393D20"/>
    <w:rsid w:val="003963DA"/>
    <w:rsid w:val="003B0F4E"/>
    <w:rsid w:val="003B6CCB"/>
    <w:rsid w:val="003C070C"/>
    <w:rsid w:val="003D7671"/>
    <w:rsid w:val="003E551D"/>
    <w:rsid w:val="00403C4D"/>
    <w:rsid w:val="00420368"/>
    <w:rsid w:val="00421B60"/>
    <w:rsid w:val="004257AB"/>
    <w:rsid w:val="00435C2D"/>
    <w:rsid w:val="00445416"/>
    <w:rsid w:val="00463846"/>
    <w:rsid w:val="00476B38"/>
    <w:rsid w:val="004827C6"/>
    <w:rsid w:val="00486FE2"/>
    <w:rsid w:val="004955B1"/>
    <w:rsid w:val="004A018C"/>
    <w:rsid w:val="004A033D"/>
    <w:rsid w:val="004A6E79"/>
    <w:rsid w:val="004C6AEC"/>
    <w:rsid w:val="004E6866"/>
    <w:rsid w:val="004F00C6"/>
    <w:rsid w:val="00515BAD"/>
    <w:rsid w:val="00520C2F"/>
    <w:rsid w:val="00555A91"/>
    <w:rsid w:val="00573AAD"/>
    <w:rsid w:val="00575337"/>
    <w:rsid w:val="00582F6E"/>
    <w:rsid w:val="0059188E"/>
    <w:rsid w:val="005A0650"/>
    <w:rsid w:val="005A1018"/>
    <w:rsid w:val="005B4AC1"/>
    <w:rsid w:val="005E1E5F"/>
    <w:rsid w:val="005E7BD0"/>
    <w:rsid w:val="005F0FC3"/>
    <w:rsid w:val="005F7BD3"/>
    <w:rsid w:val="00601293"/>
    <w:rsid w:val="0060596E"/>
    <w:rsid w:val="00625FEB"/>
    <w:rsid w:val="00635A1F"/>
    <w:rsid w:val="0065229A"/>
    <w:rsid w:val="00664A2A"/>
    <w:rsid w:val="00666FA2"/>
    <w:rsid w:val="00673C45"/>
    <w:rsid w:val="00676BA7"/>
    <w:rsid w:val="0069793D"/>
    <w:rsid w:val="006C2892"/>
    <w:rsid w:val="006D1387"/>
    <w:rsid w:val="006D2839"/>
    <w:rsid w:val="006D423D"/>
    <w:rsid w:val="0070531B"/>
    <w:rsid w:val="0070540C"/>
    <w:rsid w:val="00714D0F"/>
    <w:rsid w:val="00715301"/>
    <w:rsid w:val="007158E0"/>
    <w:rsid w:val="007304A6"/>
    <w:rsid w:val="00732C43"/>
    <w:rsid w:val="00740926"/>
    <w:rsid w:val="00744DAE"/>
    <w:rsid w:val="007568A1"/>
    <w:rsid w:val="00762BA1"/>
    <w:rsid w:val="00773CF6"/>
    <w:rsid w:val="00792343"/>
    <w:rsid w:val="0079375F"/>
    <w:rsid w:val="00795560"/>
    <w:rsid w:val="0079774C"/>
    <w:rsid w:val="007A34F3"/>
    <w:rsid w:val="007B738A"/>
    <w:rsid w:val="007F40CD"/>
    <w:rsid w:val="0080712E"/>
    <w:rsid w:val="00812D34"/>
    <w:rsid w:val="008414C3"/>
    <w:rsid w:val="00846642"/>
    <w:rsid w:val="00855A93"/>
    <w:rsid w:val="00887000"/>
    <w:rsid w:val="008B181B"/>
    <w:rsid w:val="008F08A8"/>
    <w:rsid w:val="008F363E"/>
    <w:rsid w:val="008F5593"/>
    <w:rsid w:val="0090612F"/>
    <w:rsid w:val="00913015"/>
    <w:rsid w:val="00921EFE"/>
    <w:rsid w:val="00935AF2"/>
    <w:rsid w:val="00940FED"/>
    <w:rsid w:val="00942359"/>
    <w:rsid w:val="0096391E"/>
    <w:rsid w:val="00974BDD"/>
    <w:rsid w:val="0098573A"/>
    <w:rsid w:val="00991DE6"/>
    <w:rsid w:val="009A1934"/>
    <w:rsid w:val="009B63D3"/>
    <w:rsid w:val="009C0E36"/>
    <w:rsid w:val="009C58B3"/>
    <w:rsid w:val="009C6D20"/>
    <w:rsid w:val="009E4E35"/>
    <w:rsid w:val="00A01903"/>
    <w:rsid w:val="00A1265C"/>
    <w:rsid w:val="00A24F29"/>
    <w:rsid w:val="00A2763C"/>
    <w:rsid w:val="00A3789D"/>
    <w:rsid w:val="00A459FA"/>
    <w:rsid w:val="00A96EBE"/>
    <w:rsid w:val="00AA543F"/>
    <w:rsid w:val="00AA70B8"/>
    <w:rsid w:val="00AB2A5C"/>
    <w:rsid w:val="00AC575B"/>
    <w:rsid w:val="00AD2C91"/>
    <w:rsid w:val="00AF03FF"/>
    <w:rsid w:val="00B01554"/>
    <w:rsid w:val="00B17F06"/>
    <w:rsid w:val="00B54328"/>
    <w:rsid w:val="00B67202"/>
    <w:rsid w:val="00B743C4"/>
    <w:rsid w:val="00B8411C"/>
    <w:rsid w:val="00B8481D"/>
    <w:rsid w:val="00B97094"/>
    <w:rsid w:val="00BA5872"/>
    <w:rsid w:val="00BA7DD5"/>
    <w:rsid w:val="00BC38C2"/>
    <w:rsid w:val="00BC3FC1"/>
    <w:rsid w:val="00BD7A20"/>
    <w:rsid w:val="00BF7BD1"/>
    <w:rsid w:val="00C145EA"/>
    <w:rsid w:val="00C302AB"/>
    <w:rsid w:val="00C568F8"/>
    <w:rsid w:val="00C60226"/>
    <w:rsid w:val="00C70992"/>
    <w:rsid w:val="00C72D2D"/>
    <w:rsid w:val="00C73032"/>
    <w:rsid w:val="00C743E5"/>
    <w:rsid w:val="00C848A6"/>
    <w:rsid w:val="00C91C5C"/>
    <w:rsid w:val="00C9699A"/>
    <w:rsid w:val="00CA1AE4"/>
    <w:rsid w:val="00CC2C51"/>
    <w:rsid w:val="00CC6488"/>
    <w:rsid w:val="00CD3B96"/>
    <w:rsid w:val="00CF6DAF"/>
    <w:rsid w:val="00D01AE1"/>
    <w:rsid w:val="00D066D0"/>
    <w:rsid w:val="00D10DBA"/>
    <w:rsid w:val="00D15448"/>
    <w:rsid w:val="00D331F7"/>
    <w:rsid w:val="00D6096D"/>
    <w:rsid w:val="00D613D8"/>
    <w:rsid w:val="00D70CBD"/>
    <w:rsid w:val="00D7593B"/>
    <w:rsid w:val="00D76058"/>
    <w:rsid w:val="00D813C3"/>
    <w:rsid w:val="00D86662"/>
    <w:rsid w:val="00DB5D8B"/>
    <w:rsid w:val="00DD1E21"/>
    <w:rsid w:val="00DD64D5"/>
    <w:rsid w:val="00E27CCC"/>
    <w:rsid w:val="00E3574A"/>
    <w:rsid w:val="00E650BB"/>
    <w:rsid w:val="00E66B53"/>
    <w:rsid w:val="00EA027F"/>
    <w:rsid w:val="00EA2AB4"/>
    <w:rsid w:val="00EB37D9"/>
    <w:rsid w:val="00EB5458"/>
    <w:rsid w:val="00EC6297"/>
    <w:rsid w:val="00EE0E64"/>
    <w:rsid w:val="00F0270F"/>
    <w:rsid w:val="00F05BF4"/>
    <w:rsid w:val="00F31C63"/>
    <w:rsid w:val="00F324C6"/>
    <w:rsid w:val="00F36C0A"/>
    <w:rsid w:val="00F3764F"/>
    <w:rsid w:val="00F5616E"/>
    <w:rsid w:val="00F66119"/>
    <w:rsid w:val="00F73EBB"/>
    <w:rsid w:val="00F7770D"/>
    <w:rsid w:val="00F80B53"/>
    <w:rsid w:val="00F81748"/>
    <w:rsid w:val="00F95C63"/>
    <w:rsid w:val="00FC593F"/>
    <w:rsid w:val="00FF3838"/>
    <w:rsid w:val="162E7CAE"/>
    <w:rsid w:val="2B455AAB"/>
    <w:rsid w:val="722E33AE"/>
    <w:rsid w:val="75EE30D1"/>
  </w:rsids>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unhideWhenUsed="0" w:uiPriority="0" w:semiHidden="0" w:name="heading 2"/>
    <w:lsdException w:unhideWhenUsed="0" w:uiPriority="0" w:semiHidden="0" w:name="heading 3"/>
    <w:lsdException w:unhideWhenUsed="0" w:uiPriority="0"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nhideWhenUsed="0" w:uiPriority="9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0" w:name="footnote text"/>
    <w:lsdException w:unhideWhenUsed="0" w:uiPriority="99" w:semiHidden="0" w:name="annotation text"/>
    <w:lsdException w:qFormat="1" w:unhideWhenUsed="0" w:uiPriority="0" w:semiHidden="0" w:name="header"/>
    <w:lsdException w:unhideWhenUsed="0" w:uiPriority="0"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uiPriority="99"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name="Default Paragraph Font"/>
    <w:lsdException w:unhideWhenUsed="0" w:uiPriority="0" w:semiHidden="0" w:name="Body Text"/>
    <w:lsdException w:unhideWhenUsed="0"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qFormat="1" w:uiPriority="99" w:name="Date"/>
    <w:lsdException w:uiPriority="0" w:name="Body Text First Indent"/>
    <w:lsdException w:unhideWhenUsed="0" w:uiPriority="0" w:semiHidden="0" w:name="Body Text First Indent 2"/>
    <w:lsdException w:uiPriority="0" w:name="Note Heading"/>
    <w:lsdException w:uiPriority="99"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22" w:semiHidden="0" w:name="Strong"/>
    <w:lsdException w:qFormat="1" w:unhideWhenUsed="0" w:uiPriority="20" w:semiHidden="0" w:name="Emphasis"/>
    <w:lsdException w:uiPriority="99" w:name="Document Map"/>
    <w:lsdException w:qFormat="1"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99"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Calibri"/>
      <w:kern w:val="2"/>
      <w:sz w:val="21"/>
      <w:szCs w:val="24"/>
      <w:lang w:val="en-US" w:eastAsia="zh-CN" w:bidi="ar-SA"/>
    </w:rPr>
  </w:style>
  <w:style w:type="paragraph" w:styleId="4">
    <w:name w:val="heading 1"/>
    <w:basedOn w:val="1"/>
    <w:next w:val="1"/>
    <w:link w:val="96"/>
    <w:qFormat/>
    <w:uiPriority w:val="9"/>
    <w:pPr>
      <w:keepNext/>
      <w:keepLines/>
      <w:spacing w:before="340" w:after="330" w:line="578" w:lineRule="auto"/>
      <w:outlineLvl w:val="0"/>
    </w:pPr>
    <w:rPr>
      <w:b/>
      <w:bCs/>
      <w:kern w:val="44"/>
      <w:sz w:val="44"/>
      <w:szCs w:val="44"/>
    </w:rPr>
  </w:style>
  <w:style w:type="paragraph" w:styleId="5">
    <w:name w:val="heading 2"/>
    <w:basedOn w:val="1"/>
    <w:next w:val="1"/>
    <w:link w:val="88"/>
    <w:uiPriority w:val="0"/>
    <w:pPr>
      <w:widowControl/>
      <w:spacing w:before="260" w:after="260" w:line="2800" w:lineRule="atLeast"/>
      <w:ind w:firstLine="419"/>
      <w:textAlignment w:val="baseline"/>
      <w:outlineLvl w:val="1"/>
    </w:pPr>
    <w:rPr>
      <w:rFonts w:ascii="Arial" w:eastAsia="黑体"/>
      <w:b/>
      <w:color w:val="000000"/>
      <w:sz w:val="31"/>
      <w:u w:val="none" w:color="000000"/>
    </w:rPr>
  </w:style>
  <w:style w:type="paragraph" w:styleId="6">
    <w:name w:val="heading 3"/>
    <w:basedOn w:val="1"/>
    <w:next w:val="1"/>
    <w:uiPriority w:val="0"/>
    <w:pPr>
      <w:keepNext/>
      <w:keepLines/>
      <w:spacing w:before="260" w:after="260" w:line="416" w:lineRule="auto"/>
      <w:outlineLvl w:val="2"/>
    </w:pPr>
    <w:rPr>
      <w:b/>
      <w:bCs/>
      <w:sz w:val="32"/>
      <w:szCs w:val="32"/>
    </w:rPr>
  </w:style>
  <w:style w:type="paragraph" w:styleId="7">
    <w:name w:val="heading 4"/>
    <w:basedOn w:val="1"/>
    <w:next w:val="1"/>
    <w:uiPriority w:val="0"/>
    <w:pPr>
      <w:keepNext/>
      <w:keepLines/>
      <w:spacing w:before="280" w:after="290" w:line="376" w:lineRule="auto"/>
      <w:outlineLvl w:val="3"/>
    </w:pPr>
    <w:rPr>
      <w:rFonts w:ascii="Arial" w:hAnsi="Arial" w:eastAsia="黑体"/>
      <w:b/>
      <w:bCs/>
      <w:sz w:val="28"/>
      <w:szCs w:val="28"/>
    </w:rPr>
  </w:style>
  <w:style w:type="character" w:default="1" w:styleId="20">
    <w:name w:val="Default Paragraph Font"/>
    <w:unhideWhenUsed/>
    <w:uiPriority w:val="1"/>
  </w:style>
  <w:style w:type="table" w:default="1" w:styleId="22">
    <w:name w:val="Normal Table"/>
    <w:unhideWhenUsed/>
    <w:uiPriority w:val="99"/>
    <w:tblPr>
      <w:tblStyle w:val="22"/>
      <w:tblLayout w:type="fixed"/>
      <w:tblCellMar>
        <w:top w:w="0" w:type="dxa"/>
        <w:left w:w="108" w:type="dxa"/>
        <w:bottom w:w="0" w:type="dxa"/>
        <w:right w:w="108" w:type="dxa"/>
      </w:tblCellMar>
    </w:tblPr>
    <w:tcPr>
      <w:textDirection w:val="lrTb"/>
    </w:tcPr>
  </w:style>
  <w:style w:type="paragraph" w:styleId="2">
    <w:name w:val="Body Text First Indent 2"/>
    <w:basedOn w:val="3"/>
    <w:next w:val="1"/>
    <w:uiPriority w:val="0"/>
    <w:pPr>
      <w:widowControl/>
      <w:adjustRightInd w:val="0"/>
      <w:snapToGrid w:val="0"/>
      <w:spacing w:beforeLines="50"/>
      <w:ind w:firstLine="420"/>
      <w:jc w:val="left"/>
    </w:pPr>
    <w:rPr>
      <w:rFonts w:ascii="Times New Roman" w:cs="Times New Roman"/>
      <w:kern w:val="0"/>
      <w:szCs w:val="21"/>
    </w:rPr>
  </w:style>
  <w:style w:type="paragraph" w:styleId="3">
    <w:name w:val="Body Text Indent"/>
    <w:basedOn w:val="1"/>
    <w:semiHidden/>
    <w:uiPriority w:val="0"/>
    <w:pPr>
      <w:spacing w:after="120"/>
      <w:ind w:left="420" w:leftChars="200"/>
    </w:pPr>
  </w:style>
  <w:style w:type="paragraph" w:styleId="8">
    <w:name w:val="annotation subject"/>
    <w:basedOn w:val="9"/>
    <w:next w:val="9"/>
    <w:link w:val="94"/>
    <w:unhideWhenUsed/>
    <w:uiPriority w:val="99"/>
    <w:rPr>
      <w:b/>
      <w:bCs/>
    </w:rPr>
  </w:style>
  <w:style w:type="paragraph" w:styleId="9">
    <w:name w:val="annotation text"/>
    <w:basedOn w:val="1"/>
    <w:link w:val="78"/>
    <w:uiPriority w:val="99"/>
    <w:pPr>
      <w:jc w:val="left"/>
    </w:pPr>
  </w:style>
  <w:style w:type="paragraph" w:styleId="10">
    <w:name w:val="Normal Indent"/>
    <w:basedOn w:val="1"/>
    <w:link w:val="97"/>
    <w:qFormat/>
    <w:uiPriority w:val="0"/>
    <w:pPr>
      <w:ind w:firstLine="420"/>
    </w:pPr>
    <w:rPr>
      <w:rFonts w:ascii="Times New Roman" w:hAnsi="Times New Roman" w:cs="Times New Roman"/>
    </w:rPr>
  </w:style>
  <w:style w:type="paragraph" w:styleId="11">
    <w:name w:val="Document Map"/>
    <w:basedOn w:val="1"/>
    <w:link w:val="95"/>
    <w:unhideWhenUsed/>
    <w:uiPriority w:val="99"/>
    <w:rPr>
      <w:rFonts w:ascii="宋体"/>
      <w:sz w:val="18"/>
      <w:szCs w:val="18"/>
    </w:rPr>
  </w:style>
  <w:style w:type="paragraph" w:styleId="12">
    <w:name w:val="Body Text"/>
    <w:basedOn w:val="1"/>
    <w:link w:val="79"/>
    <w:uiPriority w:val="0"/>
    <w:pPr>
      <w:spacing w:after="120"/>
    </w:pPr>
  </w:style>
  <w:style w:type="paragraph" w:styleId="13">
    <w:name w:val="Plain Text"/>
    <w:basedOn w:val="1"/>
    <w:link w:val="99"/>
    <w:unhideWhenUsed/>
    <w:qFormat/>
    <w:uiPriority w:val="0"/>
    <w:rPr>
      <w:rFonts w:ascii="宋体" w:hAnsi="Courier New" w:cs="Courier New"/>
      <w:szCs w:val="21"/>
    </w:rPr>
  </w:style>
  <w:style w:type="paragraph" w:styleId="14">
    <w:name w:val="Date"/>
    <w:basedOn w:val="1"/>
    <w:next w:val="1"/>
    <w:link w:val="93"/>
    <w:unhideWhenUsed/>
    <w:qFormat/>
    <w:uiPriority w:val="99"/>
    <w:pPr>
      <w:ind w:left="100" w:leftChars="2500"/>
    </w:pPr>
  </w:style>
  <w:style w:type="paragraph" w:styleId="15">
    <w:name w:val="Balloon Text"/>
    <w:basedOn w:val="1"/>
    <w:uiPriority w:val="0"/>
    <w:rPr>
      <w:sz w:val="18"/>
      <w:szCs w:val="18"/>
    </w:rPr>
  </w:style>
  <w:style w:type="paragraph" w:styleId="16">
    <w:name w:val="footer"/>
    <w:basedOn w:val="1"/>
    <w:uiPriority w:val="0"/>
    <w:pPr>
      <w:tabs>
        <w:tab w:val="center" w:pos="4153"/>
        <w:tab w:val="right" w:pos="8306"/>
      </w:tabs>
      <w:snapToGrid w:val="0"/>
      <w:jc w:val="left"/>
    </w:pPr>
    <w:rPr>
      <w:sz w:val="18"/>
      <w:szCs w:val="18"/>
    </w:rPr>
  </w:style>
  <w:style w:type="paragraph" w:styleId="17">
    <w:name w:val="header"/>
    <w:basedOn w:val="1"/>
    <w:link w:val="84"/>
    <w:qFormat/>
    <w:uiPriority w:val="0"/>
    <w:pPr>
      <w:pBdr>
        <w:bottom w:val="single" w:color="auto" w:sz="6" w:space="1"/>
      </w:pBdr>
      <w:tabs>
        <w:tab w:val="center" w:pos="4153"/>
        <w:tab w:val="right" w:pos="8306"/>
      </w:tabs>
      <w:snapToGrid w:val="0"/>
      <w:jc w:val="center"/>
    </w:pPr>
    <w:rPr>
      <w:sz w:val="18"/>
      <w:szCs w:val="18"/>
    </w:rPr>
  </w:style>
  <w:style w:type="paragraph" w:styleId="18">
    <w:name w:val="toc 2"/>
    <w:basedOn w:val="1"/>
    <w:next w:val="1"/>
    <w:uiPriority w:val="99"/>
    <w:pPr>
      <w:widowControl/>
      <w:ind w:left="420" w:leftChars="200"/>
      <w:jc w:val="left"/>
    </w:pPr>
    <w:rPr>
      <w:rFonts w:cs="Times New Roman"/>
      <w:kern w:val="0"/>
      <w:sz w:val="24"/>
    </w:rPr>
  </w:style>
  <w:style w:type="paragraph" w:styleId="19">
    <w:name w:val="Body Text 2"/>
    <w:basedOn w:val="1"/>
    <w:link w:val="91"/>
    <w:unhideWhenUsed/>
    <w:uiPriority w:val="99"/>
    <w:pPr>
      <w:spacing w:after="120" w:line="480" w:lineRule="auto"/>
    </w:pPr>
    <w:rPr>
      <w:rFonts w:cs="Times New Roman"/>
      <w:szCs w:val="22"/>
    </w:rPr>
  </w:style>
  <w:style w:type="character" w:styleId="21">
    <w:name w:val="annotation reference"/>
    <w:unhideWhenUsed/>
    <w:uiPriority w:val="99"/>
    <w:rPr>
      <w:sz w:val="21"/>
      <w:szCs w:val="21"/>
    </w:rPr>
  </w:style>
  <w:style w:type="table" w:styleId="23">
    <w:name w:val="Table Grid"/>
    <w:basedOn w:val="22"/>
    <w:qFormat/>
    <w:uiPriority w:val="59"/>
    <w:pPr/>
    <w:tblPr>
      <w:tblStyle w:val="22"/>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paragraph" w:customStyle="1" w:styleId="24">
    <w:name w:val="批注主题1"/>
    <w:basedOn w:val="9"/>
    <w:next w:val="9"/>
    <w:uiPriority w:val="0"/>
    <w:rPr>
      <w:b/>
      <w:bCs/>
    </w:rPr>
  </w:style>
  <w:style w:type="paragraph" w:customStyle="1" w:styleId="25">
    <w:name w:val="正文缩进1"/>
    <w:basedOn w:val="1"/>
    <w:link w:val="77"/>
    <w:qFormat/>
    <w:uiPriority w:val="0"/>
    <w:pPr>
      <w:ind w:firstLine="420" w:firstLineChars="200"/>
    </w:pPr>
  </w:style>
  <w:style w:type="paragraph" w:customStyle="1" w:styleId="26">
    <w:name w:val="文档结构图1"/>
    <w:basedOn w:val="1"/>
    <w:uiPriority w:val="0"/>
    <w:pPr>
      <w:shd w:val="clear" w:color="auto" w:fill="000080"/>
    </w:pPr>
  </w:style>
  <w:style w:type="paragraph" w:customStyle="1" w:styleId="27">
    <w:name w:val="正文文本缩进1"/>
    <w:basedOn w:val="1"/>
    <w:link w:val="81"/>
    <w:qFormat/>
    <w:uiPriority w:val="0"/>
    <w:pPr>
      <w:spacing w:after="120"/>
      <w:ind w:left="420" w:leftChars="200"/>
    </w:pPr>
  </w:style>
  <w:style w:type="paragraph" w:customStyle="1" w:styleId="28">
    <w:name w:val="纯文本1"/>
    <w:basedOn w:val="1"/>
    <w:link w:val="87"/>
    <w:uiPriority w:val="0"/>
    <w:rPr>
      <w:rFonts w:ascii="宋体" w:hAnsi="Courier New"/>
    </w:rPr>
  </w:style>
  <w:style w:type="paragraph" w:customStyle="1" w:styleId="29">
    <w:name w:val="日期1"/>
    <w:basedOn w:val="1"/>
    <w:next w:val="1"/>
    <w:uiPriority w:val="0"/>
    <w:pPr>
      <w:ind w:left="100" w:leftChars="2500"/>
    </w:pPr>
  </w:style>
  <w:style w:type="paragraph" w:customStyle="1" w:styleId="30">
    <w:name w:val="正文文本缩进 21"/>
    <w:basedOn w:val="1"/>
    <w:link w:val="82"/>
    <w:uiPriority w:val="0"/>
    <w:pPr>
      <w:spacing w:after="120" w:line="480" w:lineRule="auto"/>
      <w:ind w:left="420" w:leftChars="200"/>
    </w:pPr>
  </w:style>
  <w:style w:type="paragraph" w:customStyle="1" w:styleId="31">
    <w:name w:val="列表1"/>
    <w:basedOn w:val="1"/>
    <w:uiPriority w:val="0"/>
    <w:pPr>
      <w:autoSpaceDE w:val="0"/>
      <w:autoSpaceDN w:val="0"/>
      <w:adjustRightInd w:val="0"/>
      <w:snapToGrid w:val="0"/>
      <w:spacing w:line="480" w:lineRule="exact"/>
      <w:jc w:val="center"/>
    </w:pPr>
    <w:rPr>
      <w:kern w:val="32"/>
      <w:sz w:val="24"/>
      <w:szCs w:val="20"/>
    </w:rPr>
  </w:style>
  <w:style w:type="paragraph" w:customStyle="1" w:styleId="32">
    <w:name w:val="正文文本缩进 31"/>
    <w:basedOn w:val="1"/>
    <w:link w:val="70"/>
    <w:uiPriority w:val="0"/>
    <w:pPr>
      <w:spacing w:after="120"/>
      <w:ind w:left="420" w:leftChars="200"/>
    </w:pPr>
    <w:rPr>
      <w:sz w:val="16"/>
      <w:szCs w:val="16"/>
    </w:rPr>
  </w:style>
  <w:style w:type="paragraph" w:customStyle="1" w:styleId="33">
    <w:name w:val="正文文本 21"/>
    <w:basedOn w:val="1"/>
    <w:uiPriority w:val="0"/>
    <w:pPr>
      <w:spacing w:after="120" w:line="480" w:lineRule="auto"/>
    </w:pPr>
  </w:style>
  <w:style w:type="paragraph" w:customStyle="1" w:styleId="34">
    <w:name w:val="普通(网站)1"/>
    <w:basedOn w:val="1"/>
    <w:qFormat/>
    <w:uiPriority w:val="0"/>
    <w:pPr>
      <w:widowControl/>
      <w:jc w:val="left"/>
    </w:pPr>
    <w:rPr>
      <w:rFonts w:ascii="Arial" w:hAnsi="Arial" w:cs="Arial"/>
      <w:color w:val="333333"/>
      <w:kern w:val="0"/>
      <w:sz w:val="14"/>
      <w:szCs w:val="14"/>
    </w:rPr>
  </w:style>
  <w:style w:type="paragraph" w:customStyle="1" w:styleId="35">
    <w:name w:val="li表格"/>
    <w:basedOn w:val="1"/>
    <w:next w:val="1"/>
    <w:uiPriority w:val="0"/>
    <w:pPr>
      <w:spacing w:line="360" w:lineRule="exact"/>
      <w:jc w:val="center"/>
    </w:pPr>
    <w:rPr>
      <w:rFonts w:hAnsi="宋体"/>
      <w:b/>
      <w:color w:val="0000FF"/>
      <w:spacing w:val="4"/>
      <w:szCs w:val="21"/>
    </w:rPr>
  </w:style>
  <w:style w:type="paragraph" w:customStyle="1" w:styleId="36">
    <w:name w:val="默认段落字体 Para Char"/>
    <w:basedOn w:val="1"/>
    <w:uiPriority w:val="0"/>
    <w:pPr>
      <w:spacing w:line="360" w:lineRule="auto"/>
      <w:ind w:firstLine="200" w:firstLineChars="200"/>
    </w:pPr>
    <w:rPr>
      <w:szCs w:val="20"/>
    </w:rPr>
  </w:style>
  <w:style w:type="paragraph" w:customStyle="1" w:styleId="37">
    <w:name w:val="正文1"/>
    <w:uiPriority w:val="0"/>
    <w:pPr>
      <w:jc w:val="both"/>
    </w:pPr>
    <w:rPr>
      <w:rFonts w:ascii="Calibri" w:hAnsi="Calibri" w:eastAsia="宋体" w:cs="Calibri"/>
      <w:kern w:val="2"/>
      <w:sz w:val="21"/>
      <w:szCs w:val="21"/>
      <w:lang w:val="en-US" w:eastAsia="zh-CN" w:bidi="ar-SA"/>
    </w:rPr>
  </w:style>
  <w:style w:type="paragraph" w:customStyle="1" w:styleId="38">
    <w:name w:val="3级"/>
    <w:basedOn w:val="6"/>
    <w:qFormat/>
    <w:uiPriority w:val="0"/>
    <w:pPr>
      <w:spacing w:before="0" w:after="0" w:line="500" w:lineRule="exact"/>
    </w:pPr>
    <w:rPr>
      <w:rFonts w:cs="宋体"/>
      <w:sz w:val="28"/>
      <w:szCs w:val="20"/>
    </w:rPr>
  </w:style>
  <w:style w:type="paragraph" w:customStyle="1" w:styleId="39">
    <w:name w:val="样式 标题 4 + Times New Roman 小四 非加粗 段前: 0 磅 段后: 7.8 磅 行距: 多倍行距..."/>
    <w:basedOn w:val="7"/>
    <w:uiPriority w:val="0"/>
    <w:pPr>
      <w:spacing w:before="0" w:after="156" w:line="377" w:lineRule="auto"/>
    </w:pPr>
    <w:rPr>
      <w:rFonts w:ascii="Times New Roman" w:hAnsi="Times New Roman" w:cs="宋体"/>
      <w:b w:val="0"/>
      <w:bCs w:val="0"/>
      <w:sz w:val="24"/>
      <w:szCs w:val="24"/>
    </w:rPr>
  </w:style>
  <w:style w:type="paragraph" w:customStyle="1" w:styleId="40">
    <w:name w:val="正文11"/>
    <w:basedOn w:val="1"/>
    <w:link w:val="85"/>
    <w:uiPriority w:val="0"/>
    <w:pPr>
      <w:spacing w:line="460" w:lineRule="exact"/>
      <w:ind w:firstLine="200" w:firstLineChars="200"/>
    </w:pPr>
    <w:rPr>
      <w:b/>
      <w:color w:val="000000"/>
      <w:sz w:val="24"/>
    </w:rPr>
  </w:style>
  <w:style w:type="paragraph" w:customStyle="1" w:styleId="41">
    <w:name w:val="正文内容"/>
    <w:link w:val="71"/>
    <w:uiPriority w:val="0"/>
    <w:pPr>
      <w:widowControl w:val="0"/>
      <w:snapToGrid w:val="0"/>
      <w:spacing w:before="60" w:after="60" w:line="440" w:lineRule="exact"/>
      <w:ind w:firstLine="200" w:firstLineChars="200"/>
      <w:jc w:val="both"/>
    </w:pPr>
    <w:rPr>
      <w:rFonts w:ascii="Calibri" w:hAnsi="Calibri" w:eastAsia="宋体" w:cs="Calibri"/>
      <w:kern w:val="2"/>
      <w:sz w:val="24"/>
      <w:szCs w:val="24"/>
      <w:lang w:val="en-US" w:eastAsia="zh-CN" w:bidi="ar-SA"/>
    </w:rPr>
  </w:style>
  <w:style w:type="paragraph" w:customStyle="1" w:styleId="42">
    <w:name w:val="列出段落1"/>
    <w:basedOn w:val="1"/>
    <w:uiPriority w:val="0"/>
    <w:pPr>
      <w:ind w:firstLine="420" w:firstLineChars="200"/>
    </w:pPr>
    <w:rPr>
      <w:szCs w:val="20"/>
    </w:rPr>
  </w:style>
  <w:style w:type="paragraph" w:customStyle="1" w:styleId="43">
    <w:name w:val="Default"/>
    <w:uiPriority w:val="99"/>
    <w:pPr>
      <w:widowControl w:val="0"/>
      <w:autoSpaceDE w:val="0"/>
      <w:autoSpaceDN w:val="0"/>
      <w:adjustRightInd w:val="0"/>
    </w:pPr>
    <w:rPr>
      <w:rFonts w:ascii="Arial Unicode MS" w:hAnsi="Calibri" w:eastAsia="Arial Unicode MS" w:cs="Arial Unicode MS"/>
      <w:color w:val="000000"/>
      <w:sz w:val="24"/>
      <w:szCs w:val="24"/>
      <w:lang w:val="en-US" w:eastAsia="zh-CN" w:bidi="ar-SA"/>
    </w:rPr>
  </w:style>
  <w:style w:type="paragraph" w:customStyle="1" w:styleId="44">
    <w:name w:val="MSG_EN_FONT_STYLE_NAME_TEMPLATE_ROLE_NUMBER MSG_EN_FONT_STYLE_NAME_BY_ROLE_TEXT 2"/>
    <w:basedOn w:val="1"/>
    <w:link w:val="74"/>
    <w:uiPriority w:val="0"/>
    <w:pPr>
      <w:shd w:val="clear" w:color="auto" w:fill="FFFFFF"/>
      <w:spacing w:after="580" w:line="260" w:lineRule="exact"/>
      <w:jc w:val="center"/>
    </w:pPr>
    <w:rPr>
      <w:rFonts w:ascii="PMingLiU" w:hAnsi="PMingLiU" w:eastAsia="PMingLiU"/>
      <w:spacing w:val="20"/>
      <w:sz w:val="26"/>
      <w:szCs w:val="26"/>
      <w:shd w:val="clear" w:color="auto" w:fill="FFFFFF"/>
    </w:rPr>
  </w:style>
  <w:style w:type="paragraph" w:customStyle="1" w:styleId="45">
    <w:name w:val="表格内容5号"/>
    <w:link w:val="76"/>
    <w:uiPriority w:val="0"/>
    <w:pPr>
      <w:widowControl w:val="0"/>
      <w:snapToGrid w:val="0"/>
      <w:spacing w:line="240" w:lineRule="atLeast"/>
      <w:jc w:val="center"/>
    </w:pPr>
    <w:rPr>
      <w:rFonts w:ascii="Calibri" w:hAnsi="Calibri" w:eastAsia="宋体" w:cs="Calibri"/>
      <w:kern w:val="2"/>
      <w:sz w:val="21"/>
      <w:szCs w:val="24"/>
      <w:lang w:val="en-US" w:eastAsia="zh-CN" w:bidi="ar-SA"/>
    </w:rPr>
  </w:style>
  <w:style w:type="paragraph" w:customStyle="1" w:styleId="46">
    <w:name w:val="表内容1-1"/>
    <w:basedOn w:val="1"/>
    <w:uiPriority w:val="0"/>
    <w:pPr>
      <w:jc w:val="center"/>
      <w:textAlignment w:val="baseline"/>
    </w:pPr>
    <w:rPr>
      <w:rFonts w:ascii="Times New Roman" w:hAnsi="Times New Roman"/>
      <w:kern w:val="0"/>
      <w:szCs w:val="21"/>
    </w:rPr>
  </w:style>
  <w:style w:type="paragraph" w:customStyle="1" w:styleId="47">
    <w:name w:val="表格文字1"/>
    <w:basedOn w:val="1"/>
    <w:uiPriority w:val="0"/>
    <w:pPr>
      <w:tabs>
        <w:tab w:val="left" w:pos="1080"/>
      </w:tabs>
      <w:snapToGrid w:val="0"/>
      <w:spacing w:line="240" w:lineRule="exact"/>
      <w:jc w:val="center"/>
    </w:pPr>
    <w:rPr>
      <w:rFonts w:hAnsi="宋体"/>
      <w:spacing w:val="-2"/>
      <w:kern w:val="32"/>
      <w:szCs w:val="21"/>
    </w:rPr>
  </w:style>
  <w:style w:type="paragraph" w:customStyle="1" w:styleId="48">
    <w:name w:val="表格文字"/>
    <w:basedOn w:val="1"/>
    <w:next w:val="1"/>
    <w:link w:val="73"/>
    <w:uiPriority w:val="0"/>
    <w:pPr>
      <w:spacing w:line="280" w:lineRule="exact"/>
      <w:jc w:val="center"/>
    </w:pPr>
    <w:rPr>
      <w:rFonts w:ascii="Arial" w:hAnsi="Arial" w:eastAsia="宋体-方正超大字符集" w:cs="Arial"/>
    </w:rPr>
  </w:style>
  <w:style w:type="paragraph" w:customStyle="1" w:styleId="49">
    <w:name w:val="表格文字-五号-左对齐"/>
    <w:basedOn w:val="1"/>
    <w:uiPriority w:val="0"/>
    <w:pPr>
      <w:widowControl/>
      <w:tabs>
        <w:tab w:val="left" w:pos="2340"/>
      </w:tabs>
      <w:adjustRightInd w:val="0"/>
      <w:snapToGrid w:val="0"/>
      <w:jc w:val="left"/>
    </w:pPr>
    <w:rPr>
      <w:rFonts w:ascii="宋体" w:hAnsi="宋体"/>
      <w:snapToGrid w:val="0"/>
      <w:color w:val="000000"/>
      <w:sz w:val="24"/>
      <w:szCs w:val="20"/>
    </w:rPr>
  </w:style>
  <w:style w:type="paragraph" w:customStyle="1" w:styleId="50">
    <w:name w:val="陈正文"/>
    <w:basedOn w:val="1"/>
    <w:next w:val="1"/>
    <w:link w:val="80"/>
    <w:uiPriority w:val="0"/>
    <w:pPr>
      <w:ind w:left="178" w:leftChars="85" w:firstLine="405" w:firstLineChars="193"/>
    </w:pPr>
    <w:rPr>
      <w:rFonts w:ascii="Arial" w:hAnsi="Arial" w:cs="宋体"/>
      <w:color w:val="000000"/>
      <w:szCs w:val="21"/>
    </w:rPr>
  </w:style>
  <w:style w:type="paragraph" w:customStyle="1" w:styleId="51">
    <w:name w:val="彩霞-正文"/>
    <w:basedOn w:val="1"/>
    <w:link w:val="83"/>
    <w:uiPriority w:val="0"/>
    <w:pPr>
      <w:spacing w:line="360" w:lineRule="auto"/>
      <w:ind w:firstLine="200" w:firstLineChars="200"/>
    </w:pPr>
    <w:rPr>
      <w:rFonts w:cs="宋体"/>
      <w:sz w:val="24"/>
      <w:szCs w:val="28"/>
      <w:lang w:val="zh-CN"/>
    </w:rPr>
  </w:style>
  <w:style w:type="paragraph" w:customStyle="1" w:styleId="52">
    <w:name w:val="样式 首行缩进:  2 字符"/>
    <w:basedOn w:val="1"/>
    <w:uiPriority w:val="0"/>
    <w:pPr>
      <w:spacing w:line="520" w:lineRule="exact"/>
      <w:ind w:firstLine="200" w:firstLineChars="200"/>
    </w:pPr>
    <w:rPr>
      <w:sz w:val="24"/>
    </w:rPr>
  </w:style>
  <w:style w:type="paragraph" w:customStyle="1" w:styleId="53">
    <w:name w:val="Char"/>
    <w:basedOn w:val="1"/>
    <w:next w:val="1"/>
    <w:uiPriority w:val="0"/>
    <w:pPr>
      <w:spacing w:line="360" w:lineRule="auto"/>
      <w:ind w:firstLine="200" w:firstLineChars="200"/>
    </w:pPr>
    <w:rPr>
      <w:rFonts w:ascii="宋体" w:hAnsi="宋体" w:cs="宋体"/>
      <w:sz w:val="24"/>
    </w:rPr>
  </w:style>
  <w:style w:type="paragraph" w:customStyle="1" w:styleId="54">
    <w:name w:val="4"/>
    <w:basedOn w:val="1"/>
    <w:next w:val="1"/>
    <w:link w:val="72"/>
    <w:uiPriority w:val="0"/>
    <w:pPr>
      <w:spacing w:line="500" w:lineRule="exact"/>
      <w:outlineLvl w:val="3"/>
    </w:pPr>
    <w:rPr>
      <w:rFonts w:ascii="Arial" w:hAnsi="Arial" w:eastAsia="黑体"/>
      <w:b/>
      <w:sz w:val="24"/>
    </w:rPr>
  </w:style>
  <w:style w:type="paragraph" w:customStyle="1" w:styleId="55">
    <w:name w:val="Char Char Char Char"/>
    <w:basedOn w:val="1"/>
    <w:uiPriority w:val="0"/>
    <w:pPr>
      <w:snapToGrid w:val="0"/>
      <w:spacing w:line="360" w:lineRule="auto"/>
      <w:ind w:firstLine="529" w:firstLineChars="200"/>
    </w:pPr>
    <w:rPr>
      <w:rFonts w:ascii="宋体" w:hAnsi="宋体"/>
      <w:b/>
      <w:sz w:val="24"/>
    </w:rPr>
  </w:style>
  <w:style w:type="paragraph" w:customStyle="1" w:styleId="56">
    <w:name w:val="Char Char Char Char Char Char Char Char Char Char Char Char Char Char Char Char Char Char1 Char Char Char Char Char Char Char Char Char Char Char Char1 Char Char Char"/>
    <w:basedOn w:val="1"/>
    <w:next w:val="1"/>
    <w:uiPriority w:val="0"/>
    <w:pPr>
      <w:snapToGrid w:val="0"/>
      <w:spacing w:line="360" w:lineRule="auto"/>
      <w:ind w:firstLine="200" w:firstLineChars="200"/>
      <w:jc w:val="left"/>
    </w:pPr>
    <w:rPr>
      <w:rFonts w:ascii="宋体" w:hAnsi="宋体" w:cs="宋体"/>
      <w:sz w:val="24"/>
    </w:rPr>
  </w:style>
  <w:style w:type="paragraph" w:customStyle="1" w:styleId="57">
    <w:name w:val="表格文字-五号"/>
    <w:basedOn w:val="1"/>
    <w:next w:val="1"/>
    <w:uiPriority w:val="0"/>
    <w:pPr>
      <w:widowControl/>
      <w:tabs>
        <w:tab w:val="left" w:pos="2340"/>
      </w:tabs>
      <w:adjustRightInd w:val="0"/>
      <w:snapToGrid w:val="0"/>
      <w:jc w:val="center"/>
    </w:pPr>
    <w:rPr>
      <w:color w:val="000000"/>
      <w:kern w:val="0"/>
      <w:sz w:val="20"/>
    </w:rPr>
  </w:style>
  <w:style w:type="paragraph" w:customStyle="1" w:styleId="58">
    <w:name w:val="Char Char Char Char Char Char Char"/>
    <w:basedOn w:val="1"/>
    <w:uiPriority w:val="0"/>
    <w:pPr>
      <w:spacing w:line="360" w:lineRule="auto"/>
      <w:ind w:firstLine="200" w:firstLineChars="200"/>
    </w:pPr>
    <w:rPr>
      <w:rFonts w:ascii="宋体" w:hAnsi="宋体" w:cs="宋体"/>
      <w:sz w:val="24"/>
    </w:rPr>
  </w:style>
  <w:style w:type="paragraph" w:customStyle="1" w:styleId="59">
    <w:name w:val="列出段落2"/>
    <w:basedOn w:val="1"/>
    <w:uiPriority w:val="0"/>
    <w:pPr>
      <w:ind w:firstLine="420" w:firstLineChars="200"/>
    </w:pPr>
    <w:rPr>
      <w:szCs w:val="22"/>
    </w:rPr>
  </w:style>
  <w:style w:type="paragraph" w:customStyle="1" w:styleId="60">
    <w:name w:val="表中"/>
    <w:basedOn w:val="1"/>
    <w:link w:val="86"/>
    <w:uiPriority w:val="0"/>
    <w:pPr>
      <w:spacing w:line="300" w:lineRule="exact"/>
      <w:jc w:val="center"/>
    </w:pPr>
    <w:rPr>
      <w:szCs w:val="21"/>
    </w:rPr>
  </w:style>
  <w:style w:type="paragraph" w:customStyle="1" w:styleId="61">
    <w:name w:val="普通(网站)2"/>
    <w:basedOn w:val="1"/>
    <w:qFormat/>
    <w:uiPriority w:val="0"/>
    <w:pPr>
      <w:widowControl/>
      <w:spacing w:before="100" w:beforeAutospacing="1" w:after="100" w:afterAutospacing="1"/>
      <w:jc w:val="left"/>
    </w:pPr>
    <w:rPr>
      <w:rFonts w:ascii="宋体" w:hAnsi="宋体" w:cs="宋体"/>
      <w:kern w:val="0"/>
      <w:sz w:val="24"/>
    </w:rPr>
  </w:style>
  <w:style w:type="paragraph" w:customStyle="1" w:styleId="62">
    <w:name w:val="List Paragraph"/>
    <w:basedOn w:val="1"/>
    <w:qFormat/>
    <w:uiPriority w:val="34"/>
    <w:pPr>
      <w:ind w:firstLine="420" w:firstLineChars="200"/>
    </w:pPr>
  </w:style>
  <w:style w:type="paragraph" w:customStyle="1" w:styleId="63">
    <w:name w:val="普通(网站)3"/>
    <w:basedOn w:val="1"/>
    <w:uiPriority w:val="0"/>
    <w:pPr>
      <w:widowControl/>
      <w:spacing w:before="100" w:beforeAutospacing="1" w:after="100" w:afterAutospacing="1"/>
      <w:jc w:val="left"/>
    </w:pPr>
    <w:rPr>
      <w:rFonts w:ascii="宋体" w:hAnsi="宋体" w:cs="宋体"/>
      <w:kern w:val="0"/>
      <w:sz w:val="24"/>
    </w:rPr>
  </w:style>
  <w:style w:type="paragraph" w:customStyle="1" w:styleId="64">
    <w:name w:val="正文文本缩进 22"/>
    <w:basedOn w:val="1"/>
    <w:uiPriority w:val="0"/>
    <w:pPr>
      <w:adjustRightInd w:val="0"/>
      <w:spacing w:line="312" w:lineRule="atLeast"/>
      <w:ind w:firstLine="570" w:firstLineChars="200"/>
      <w:jc w:val="distribute"/>
    </w:pPr>
    <w:rPr>
      <w:rFonts w:ascii="Times New Roman" w:hAnsi="Times New Roman" w:eastAsia="仿宋_GB2312" w:cs="Times New Roman"/>
      <w:kern w:val="0"/>
      <w:sz w:val="28"/>
      <w:szCs w:val="20"/>
    </w:rPr>
  </w:style>
  <w:style w:type="paragraph" w:customStyle="1" w:styleId="65">
    <w:name w:val="表文字"/>
    <w:basedOn w:val="1"/>
    <w:uiPriority w:val="99"/>
    <w:pPr>
      <w:widowControl/>
      <w:tabs>
        <w:tab w:val="left" w:pos="945"/>
        <w:tab w:val="right" w:leader="dot" w:pos="1155"/>
        <w:tab w:val="left" w:pos="8715"/>
      </w:tabs>
      <w:spacing w:beforeLines="15" w:afterLines="15"/>
      <w:jc w:val="center"/>
      <w:textAlignment w:val="baseline"/>
    </w:pPr>
    <w:rPr>
      <w:rFonts w:ascii="宋体" w:hAnsi="宋体" w:cs="Times New Roman"/>
      <w:color w:val="000000"/>
      <w:kern w:val="0"/>
      <w:sz w:val="24"/>
      <w:szCs w:val="9"/>
    </w:rPr>
  </w:style>
  <w:style w:type="paragraph" w:customStyle="1" w:styleId="66">
    <w:name w:val="表文"/>
    <w:basedOn w:val="1"/>
    <w:uiPriority w:val="0"/>
    <w:pPr>
      <w:widowControl/>
      <w:adjustRightInd w:val="0"/>
      <w:snapToGrid w:val="0"/>
      <w:spacing w:beforeLines="30" w:afterLines="30"/>
      <w:jc w:val="center"/>
    </w:pPr>
    <w:rPr>
      <w:rFonts w:ascii="Times New Roman" w:cs="Times New Roman"/>
      <w:kern w:val="0"/>
    </w:rPr>
  </w:style>
  <w:style w:type="paragraph" w:customStyle="1" w:styleId="67">
    <w:name w:val="正文 New"/>
    <w:uiPriority w:val="99"/>
    <w:pPr>
      <w:widowControl w:val="0"/>
      <w:spacing w:line="360" w:lineRule="auto"/>
      <w:jc w:val="both"/>
    </w:pPr>
    <w:rPr>
      <w:rFonts w:ascii="Times New Roman" w:hAnsi="Times New Roman" w:eastAsia="宋体" w:cs="Times New Roman"/>
      <w:kern w:val="2"/>
      <w:sz w:val="28"/>
      <w:szCs w:val="28"/>
      <w:lang w:val="en-US" w:eastAsia="zh-CN" w:bidi="ar-SA"/>
    </w:rPr>
  </w:style>
  <w:style w:type="character" w:customStyle="1" w:styleId="68">
    <w:name w:val="页码1"/>
    <w:basedOn w:val="20"/>
    <w:uiPriority w:val="0"/>
    <w:rPr/>
  </w:style>
  <w:style w:type="character" w:customStyle="1" w:styleId="69">
    <w:name w:val="批注引用1"/>
    <w:uiPriority w:val="0"/>
    <w:rPr>
      <w:sz w:val="21"/>
      <w:szCs w:val="21"/>
    </w:rPr>
  </w:style>
  <w:style w:type="character" w:customStyle="1" w:styleId="70">
    <w:name w:val="正文文本缩进 3 Char Char Char"/>
    <w:link w:val="32"/>
    <w:semiHidden/>
    <w:uiPriority w:val="0"/>
    <w:rPr>
      <w:kern w:val="2"/>
      <w:sz w:val="16"/>
      <w:szCs w:val="16"/>
    </w:rPr>
  </w:style>
  <w:style w:type="character" w:customStyle="1" w:styleId="71">
    <w:name w:val="正文内容 Char Char"/>
    <w:link w:val="41"/>
    <w:semiHidden/>
    <w:uiPriority w:val="0"/>
    <w:rPr>
      <w:kern w:val="2"/>
      <w:sz w:val="24"/>
      <w:szCs w:val="24"/>
      <w:lang w:val="en-US" w:eastAsia="zh-CN" w:bidi="ar-SA"/>
    </w:rPr>
  </w:style>
  <w:style w:type="character" w:customStyle="1" w:styleId="72">
    <w:name w:val="4 Char Char"/>
    <w:link w:val="54"/>
    <w:semiHidden/>
    <w:uiPriority w:val="0"/>
    <w:rPr>
      <w:rFonts w:ascii="Arial" w:hAnsi="Arial" w:eastAsia="黑体"/>
      <w:b/>
      <w:kern w:val="2"/>
      <w:sz w:val="24"/>
      <w:szCs w:val="24"/>
      <w:lang w:val="en-US" w:eastAsia="zh-CN" w:bidi="ar-SA"/>
    </w:rPr>
  </w:style>
  <w:style w:type="character" w:customStyle="1" w:styleId="73">
    <w:name w:val="表格文字 Char Char"/>
    <w:link w:val="48"/>
    <w:semiHidden/>
    <w:uiPriority w:val="0"/>
    <w:rPr>
      <w:rFonts w:ascii="Arial" w:hAnsi="Arial" w:eastAsia="宋体-方正超大字符集" w:cs="Arial"/>
      <w:sz w:val="21"/>
      <w:szCs w:val="24"/>
    </w:rPr>
  </w:style>
  <w:style w:type="character" w:customStyle="1" w:styleId="74">
    <w:name w:val="MSG_EN_FONT_STYLE_NAME_TEMPLATE_ROLE_NUMBER MSG_EN_FONT_STYLE_NAME_BY_ROLE_TEXT 2_"/>
    <w:link w:val="44"/>
    <w:semiHidden/>
    <w:uiPriority w:val="0"/>
    <w:rPr>
      <w:rFonts w:ascii="PMingLiU" w:hAnsi="PMingLiU" w:eastAsia="PMingLiU"/>
      <w:spacing w:val="20"/>
      <w:sz w:val="26"/>
      <w:szCs w:val="26"/>
      <w:shd w:val="clear" w:color="auto" w:fill="FFFFFF"/>
      <w:lang w:bidi="ar-SA"/>
    </w:rPr>
  </w:style>
  <w:style w:type="character" w:customStyle="1" w:styleId="75">
    <w:name w:val="newsitemtext1"/>
    <w:uiPriority w:val="0"/>
    <w:rPr>
      <w:color w:val="000000"/>
      <w:sz w:val="17"/>
      <w:szCs w:val="17"/>
    </w:rPr>
  </w:style>
  <w:style w:type="character" w:customStyle="1" w:styleId="76">
    <w:name w:val="表格内容5号 Char Char"/>
    <w:link w:val="45"/>
    <w:semiHidden/>
    <w:uiPriority w:val="0"/>
    <w:rPr>
      <w:kern w:val="2"/>
      <w:sz w:val="21"/>
      <w:szCs w:val="24"/>
      <w:lang w:val="en-US" w:eastAsia="zh-CN" w:bidi="ar-SA"/>
    </w:rPr>
  </w:style>
  <w:style w:type="character" w:customStyle="1" w:styleId="77">
    <w:name w:val="正文缩进 Char Char Char"/>
    <w:link w:val="25"/>
    <w:uiPriority w:val="0"/>
    <w:rPr>
      <w:kern w:val="2"/>
      <w:sz w:val="21"/>
      <w:szCs w:val="24"/>
    </w:rPr>
  </w:style>
  <w:style w:type="character" w:customStyle="1" w:styleId="78">
    <w:name w:val="批注文字 Char1"/>
    <w:link w:val="9"/>
    <w:semiHidden/>
    <w:uiPriority w:val="0"/>
    <w:rPr>
      <w:kern w:val="2"/>
      <w:sz w:val="21"/>
    </w:rPr>
  </w:style>
  <w:style w:type="character" w:customStyle="1" w:styleId="79">
    <w:name w:val="正文文本 Char"/>
    <w:link w:val="12"/>
    <w:semiHidden/>
    <w:uiPriority w:val="0"/>
    <w:rPr>
      <w:kern w:val="2"/>
      <w:sz w:val="21"/>
      <w:szCs w:val="24"/>
    </w:rPr>
  </w:style>
  <w:style w:type="character" w:customStyle="1" w:styleId="80">
    <w:name w:val="陈正文 Char Char"/>
    <w:link w:val="50"/>
    <w:semiHidden/>
    <w:uiPriority w:val="0"/>
    <w:rPr>
      <w:rFonts w:ascii="Arial" w:hAnsi="Arial" w:eastAsia="宋体" w:cs="宋体"/>
      <w:color w:val="000000"/>
      <w:kern w:val="2"/>
      <w:sz w:val="21"/>
      <w:szCs w:val="21"/>
      <w:lang w:val="en-US" w:eastAsia="zh-CN" w:bidi="ar-SA"/>
    </w:rPr>
  </w:style>
  <w:style w:type="character" w:customStyle="1" w:styleId="81">
    <w:name w:val="正文文本缩进 Char Char Char"/>
    <w:link w:val="27"/>
    <w:semiHidden/>
    <w:uiPriority w:val="0"/>
    <w:rPr>
      <w:kern w:val="2"/>
      <w:sz w:val="21"/>
      <w:szCs w:val="24"/>
    </w:rPr>
  </w:style>
  <w:style w:type="character" w:customStyle="1" w:styleId="82">
    <w:name w:val="正文文本缩进 2 Char Char Char"/>
    <w:link w:val="30"/>
    <w:semiHidden/>
    <w:uiPriority w:val="0"/>
    <w:rPr>
      <w:kern w:val="2"/>
      <w:sz w:val="21"/>
      <w:szCs w:val="24"/>
    </w:rPr>
  </w:style>
  <w:style w:type="character" w:customStyle="1" w:styleId="83">
    <w:name w:val="彩霞-正文 Char Char"/>
    <w:link w:val="51"/>
    <w:semiHidden/>
    <w:uiPriority w:val="0"/>
    <w:rPr>
      <w:rFonts w:cs="宋体"/>
      <w:sz w:val="24"/>
      <w:szCs w:val="28"/>
      <w:lang w:val="zh-CN"/>
    </w:rPr>
  </w:style>
  <w:style w:type="character" w:customStyle="1" w:styleId="84">
    <w:name w:val="页眉 Char"/>
    <w:link w:val="17"/>
    <w:semiHidden/>
    <w:uiPriority w:val="0"/>
    <w:rPr>
      <w:kern w:val="2"/>
      <w:sz w:val="18"/>
      <w:szCs w:val="18"/>
    </w:rPr>
  </w:style>
  <w:style w:type="character" w:customStyle="1" w:styleId="85">
    <w:name w:val="正文1 Char Char"/>
    <w:link w:val="40"/>
    <w:semiHidden/>
    <w:uiPriority w:val="0"/>
    <w:rPr>
      <w:b/>
      <w:color w:val="000000"/>
      <w:kern w:val="2"/>
      <w:sz w:val="24"/>
    </w:rPr>
  </w:style>
  <w:style w:type="character" w:customStyle="1" w:styleId="86">
    <w:name w:val="表中 Char Char"/>
    <w:link w:val="60"/>
    <w:semiHidden/>
    <w:uiPriority w:val="0"/>
    <w:rPr>
      <w:rFonts w:ascii="Calibri" w:hAnsi="Calibri"/>
      <w:kern w:val="2"/>
      <w:sz w:val="21"/>
      <w:szCs w:val="21"/>
    </w:rPr>
  </w:style>
  <w:style w:type="character" w:customStyle="1" w:styleId="87">
    <w:name w:val="纯文本 Char Char Char"/>
    <w:link w:val="28"/>
    <w:semiHidden/>
    <w:uiPriority w:val="0"/>
    <w:rPr>
      <w:rFonts w:ascii="宋体" w:hAnsi="Courier New" w:eastAsia="宋体"/>
      <w:kern w:val="2"/>
      <w:sz w:val="21"/>
      <w:lang w:val="en-US" w:eastAsia="zh-CN" w:bidi="ar-SA"/>
    </w:rPr>
  </w:style>
  <w:style w:type="character" w:customStyle="1" w:styleId="88">
    <w:name w:val="标题 2 Char"/>
    <w:link w:val="5"/>
    <w:semiHidden/>
    <w:uiPriority w:val="0"/>
    <w:rPr>
      <w:rFonts w:ascii="Arial" w:eastAsia="黑体"/>
      <w:b/>
      <w:color w:val="000000"/>
      <w:sz w:val="31"/>
      <w:u w:val="none" w:color="000000"/>
      <w:lang w:val="en-US" w:eastAsia="zh-CN" w:bidi="ar-SA"/>
    </w:rPr>
  </w:style>
  <w:style w:type="character" w:customStyle="1" w:styleId="89">
    <w:name w:val="MSG_EN_FONT_STYLE_NAME_TEMPLATE_ROLE_NUMBER MSG_EN_FONT_STYLE_NAME_BY_ROLE_TEXT 2 + MSG_EN_FONT_STYLE_MODIFER_NAME Courier New"/>
    <w:uiPriority w:val="0"/>
    <w:rPr>
      <w:rFonts w:ascii="Courier New" w:hAnsi="Courier New" w:eastAsia="Times New Roman" w:cs="Courier New"/>
      <w:color w:val="000000"/>
      <w:spacing w:val="0"/>
      <w:w w:val="100"/>
      <w:position w:val="0"/>
      <w:sz w:val="30"/>
      <w:szCs w:val="30"/>
      <w:u w:val="none"/>
      <w:shd w:val="clear" w:color="auto" w:fill="FFFFFF"/>
      <w:lang w:val="en-US" w:eastAsia="en-US" w:bidi="ar-SA"/>
    </w:rPr>
  </w:style>
  <w:style w:type="character" w:customStyle="1" w:styleId="90">
    <w:name w:val="正文文本 2 字符"/>
    <w:semiHidden/>
    <w:uiPriority w:val="99"/>
    <w:rPr>
      <w:kern w:val="2"/>
      <w:sz w:val="21"/>
      <w:szCs w:val="24"/>
    </w:rPr>
  </w:style>
  <w:style w:type="character" w:customStyle="1" w:styleId="91">
    <w:name w:val="正文文本 2 Char"/>
    <w:link w:val="19"/>
    <w:semiHidden/>
    <w:uiPriority w:val="99"/>
    <w:rPr>
      <w:rFonts w:cs="Times New Roman"/>
      <w:kern w:val="2"/>
      <w:sz w:val="21"/>
      <w:szCs w:val="22"/>
    </w:rPr>
  </w:style>
  <w:style w:type="character" w:customStyle="1" w:styleId="92">
    <w:name w:val="批注文字 Char"/>
    <w:semiHidden/>
    <w:uiPriority w:val="99"/>
    <w:rPr>
      <w:kern w:val="2"/>
      <w:sz w:val="21"/>
      <w:szCs w:val="22"/>
    </w:rPr>
  </w:style>
  <w:style w:type="character" w:customStyle="1" w:styleId="93">
    <w:name w:val="日期 Char"/>
    <w:link w:val="14"/>
    <w:semiHidden/>
    <w:uiPriority w:val="99"/>
    <w:rPr>
      <w:kern w:val="2"/>
      <w:sz w:val="21"/>
      <w:szCs w:val="24"/>
    </w:rPr>
  </w:style>
  <w:style w:type="character" w:customStyle="1" w:styleId="94">
    <w:name w:val="批注主题 Char"/>
    <w:basedOn w:val="78"/>
    <w:link w:val="8"/>
    <w:semiHidden/>
    <w:uiPriority w:val="99"/>
    <w:rPr>
      <w:b/>
      <w:bCs/>
      <w:kern w:val="2"/>
      <w:sz w:val="21"/>
      <w:szCs w:val="24"/>
    </w:rPr>
  </w:style>
  <w:style w:type="character" w:customStyle="1" w:styleId="95">
    <w:name w:val="文档结构图 Char"/>
    <w:basedOn w:val="20"/>
    <w:link w:val="11"/>
    <w:semiHidden/>
    <w:uiPriority w:val="99"/>
    <w:rPr>
      <w:rFonts w:ascii="宋体"/>
      <w:kern w:val="2"/>
      <w:sz w:val="18"/>
      <w:szCs w:val="18"/>
    </w:rPr>
  </w:style>
  <w:style w:type="character" w:customStyle="1" w:styleId="96">
    <w:name w:val="标题 1 Char"/>
    <w:basedOn w:val="20"/>
    <w:link w:val="4"/>
    <w:uiPriority w:val="9"/>
    <w:rPr>
      <w:b/>
      <w:bCs/>
      <w:kern w:val="44"/>
      <w:sz w:val="44"/>
      <w:szCs w:val="44"/>
    </w:rPr>
  </w:style>
  <w:style w:type="character" w:customStyle="1" w:styleId="97">
    <w:name w:val="正文缩进 Char"/>
    <w:link w:val="10"/>
    <w:locked/>
    <w:uiPriority w:val="0"/>
    <w:rPr>
      <w:rFonts w:ascii="Times New Roman" w:hAnsi="Times New Roman" w:cs="Times New Roman"/>
      <w:kern w:val="2"/>
      <w:sz w:val="21"/>
      <w:szCs w:val="24"/>
    </w:rPr>
  </w:style>
  <w:style w:type="character" w:customStyle="1" w:styleId="98">
    <w:name w:val="fontstyle01"/>
    <w:uiPriority w:val="0"/>
    <w:rPr>
      <w:rFonts w:ascii="宋体" w:hAnsi="宋体" w:eastAsia="宋体" w:cs="宋体"/>
      <w:color w:val="000000"/>
      <w:sz w:val="24"/>
      <w:szCs w:val="24"/>
    </w:rPr>
  </w:style>
  <w:style w:type="character" w:customStyle="1" w:styleId="99">
    <w:name w:val="纯文本 Char"/>
    <w:basedOn w:val="20"/>
    <w:link w:val="13"/>
    <w:semiHidden/>
    <w:uiPriority w:val="0"/>
    <w:rPr>
      <w:rFonts w:ascii="宋体" w:hAnsi="Courier New" w:cs="Courier New"/>
      <w:kern w:val="2"/>
      <w:sz w:val="21"/>
      <w:szCs w:val="21"/>
    </w:rPr>
  </w:style>
</w:styles>
</file>

<file path=word/_rels/document.xml.rels><?xml version="1.0" encoding="UTF-8" standalone="yes"?>
<Relationships xmlns="http://schemas.openxmlformats.org/package/2006/relationships"><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MC SYSTEM</Company>
  <Pages>6</Pages>
  <Words>3877</Words>
  <Characters>395</Characters>
  <Lines>3</Lines>
  <Paragraphs>8</Paragraphs>
  <TotalTime>0</TotalTime>
  <ScaleCrop>false</ScaleCrop>
  <LinksUpToDate>false</LinksUpToDate>
  <CharactersWithSpaces>0</CharactersWithSpaces>
  <Application>WPS Office 个人版_9.1.0.4954_{F1E327BC-269C-435d-A152-05C5408002CA}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2019-03-21T04:48:00Z</dcterms:created>
  <dc:creator>MC SYSTEM</dc:creator>
  <cp:lastModifiedBy>TG</cp:lastModifiedBy>
  <cp:lastPrinted>2018-07-13T17:29:00Z</cp:lastPrinted>
  <dcterms:modified xsi:type="dcterms:W3CDTF">2021-10-29T07:09:06Z</dcterms:modified>
  <dc:title>ygd</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2052-9.1.0.4954</vt:lpwstr>
  </property>
</Properties>
</file>