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500" w:lineRule="exact"/>
        <w:jc w:val="center"/>
        <w:rPr>
          <w:rFonts w:ascii="宋体" w:hAnsi="宋体" w:eastAsia="宋体" w:cs="Times New Roman"/>
          <w:b/>
          <w:kern w:val="0"/>
          <w:sz w:val="32"/>
          <w:szCs w:val="32"/>
        </w:rPr>
      </w:pPr>
      <w:r>
        <w:rPr>
          <w:rFonts w:ascii="宋体" w:hAnsi="宋体" w:eastAsia="宋体" w:cs="Times New Roman"/>
          <w:b/>
          <w:kern w:val="0"/>
          <w:sz w:val="32"/>
          <w:szCs w:val="32"/>
        </w:rPr>
        <w:t>山西太钢不锈钢股份有限公司</w:t>
      </w:r>
      <w:r>
        <w:rPr>
          <w:rFonts w:hint="eastAsia" w:ascii="宋体" w:hAnsi="宋体" w:eastAsia="宋体" w:cs="Times New Roman"/>
          <w:b/>
          <w:kern w:val="0"/>
          <w:sz w:val="32"/>
          <w:szCs w:val="32"/>
        </w:rPr>
        <w:t>工业废水处理系统升级改造工程节水减排改造项目</w:t>
      </w:r>
      <w:r>
        <w:rPr>
          <w:rFonts w:ascii="宋体" w:hAnsi="宋体" w:eastAsia="宋体" w:cs="Times New Roman"/>
          <w:b/>
          <w:kern w:val="0"/>
          <w:sz w:val="32"/>
          <w:szCs w:val="32"/>
        </w:rPr>
        <w:t>竣工环境保护验收意见</w:t>
      </w:r>
    </w:p>
    <w:p>
      <w:pPr>
        <w:widowControl/>
        <w:adjustRightInd w:val="0"/>
        <w:snapToGrid w:val="0"/>
        <w:spacing w:line="460" w:lineRule="exact"/>
        <w:ind w:firstLine="560" w:firstLineChars="200"/>
        <w:rPr>
          <w:rFonts w:ascii="宋体" w:hAnsi="宋体" w:eastAsia="宋体" w:cs="Times New Roman"/>
          <w:color w:val="000000"/>
          <w:kern w:val="0"/>
          <w:sz w:val="28"/>
          <w:szCs w:val="28"/>
        </w:rPr>
      </w:pPr>
      <w:r>
        <w:rPr>
          <w:rFonts w:ascii="宋体" w:hAnsi="宋体" w:eastAsia="宋体" w:cs="Times New Roman"/>
          <w:color w:val="000000"/>
          <w:kern w:val="0"/>
          <w:sz w:val="28"/>
          <w:szCs w:val="28"/>
        </w:rPr>
        <w:t>202</w:t>
      </w:r>
      <w:r>
        <w:rPr>
          <w:rFonts w:hint="eastAsia" w:ascii="宋体" w:hAnsi="宋体" w:eastAsia="宋体" w:cs="Times New Roman"/>
          <w:color w:val="000000"/>
          <w:kern w:val="0"/>
          <w:sz w:val="28"/>
          <w:szCs w:val="28"/>
        </w:rPr>
        <w:t>1</w:t>
      </w:r>
      <w:r>
        <w:rPr>
          <w:rFonts w:ascii="宋体" w:hAnsi="宋体" w:eastAsia="宋体" w:cs="Times New Roman"/>
          <w:color w:val="000000"/>
          <w:kern w:val="0"/>
          <w:sz w:val="28"/>
          <w:szCs w:val="28"/>
        </w:rPr>
        <w:t>年</w:t>
      </w:r>
      <w:r>
        <w:rPr>
          <w:rFonts w:hint="eastAsia" w:ascii="宋体" w:hAnsi="宋体" w:eastAsia="宋体" w:cs="Times New Roman"/>
          <w:color w:val="000000"/>
          <w:kern w:val="0"/>
          <w:sz w:val="28"/>
          <w:szCs w:val="28"/>
        </w:rPr>
        <w:t>5</w:t>
      </w:r>
      <w:r>
        <w:rPr>
          <w:rFonts w:ascii="宋体" w:hAnsi="宋体" w:eastAsia="宋体" w:cs="Times New Roman"/>
          <w:color w:val="000000"/>
          <w:kern w:val="0"/>
          <w:sz w:val="28"/>
          <w:szCs w:val="28"/>
        </w:rPr>
        <w:t>月2</w:t>
      </w:r>
      <w:r>
        <w:rPr>
          <w:rFonts w:hint="eastAsia" w:ascii="宋体" w:hAnsi="宋体" w:eastAsia="宋体" w:cs="Times New Roman"/>
          <w:color w:val="000000"/>
          <w:kern w:val="0"/>
          <w:sz w:val="28"/>
          <w:szCs w:val="28"/>
        </w:rPr>
        <w:t>5</w:t>
      </w:r>
      <w:r>
        <w:rPr>
          <w:rFonts w:ascii="宋体" w:hAnsi="宋体" w:eastAsia="宋体" w:cs="Times New Roman"/>
          <w:color w:val="000000"/>
          <w:kern w:val="0"/>
          <w:sz w:val="28"/>
          <w:szCs w:val="28"/>
        </w:rPr>
        <w:t>日，山西太钢不锈钢股份有限公司</w:t>
      </w:r>
      <w:r>
        <w:rPr>
          <w:rFonts w:hint="eastAsia" w:ascii="宋体" w:hAnsi="宋体" w:eastAsia="宋体" w:cs="Times New Roman"/>
          <w:color w:val="000000"/>
          <w:kern w:val="0"/>
          <w:sz w:val="28"/>
          <w:szCs w:val="28"/>
        </w:rPr>
        <w:t>能源环保部</w:t>
      </w:r>
      <w:r>
        <w:rPr>
          <w:rFonts w:ascii="宋体" w:hAnsi="宋体" w:eastAsia="宋体" w:cs="Times New Roman"/>
          <w:color w:val="000000"/>
          <w:kern w:val="0"/>
          <w:sz w:val="28"/>
          <w:szCs w:val="28"/>
        </w:rPr>
        <w:t>根据《</w:t>
      </w:r>
      <w:r>
        <w:rPr>
          <w:rFonts w:hint="eastAsia" w:ascii="宋体" w:hAnsi="宋体" w:eastAsia="宋体" w:cs="Times New Roman"/>
          <w:color w:val="000000"/>
          <w:kern w:val="0"/>
          <w:sz w:val="28"/>
          <w:szCs w:val="28"/>
        </w:rPr>
        <w:t>山西太钢不锈钢股份有限公司工业废水处理系统升级改造工程节水减排改造项目</w:t>
      </w:r>
      <w:r>
        <w:rPr>
          <w:rFonts w:ascii="宋体" w:hAnsi="宋体" w:eastAsia="宋体" w:cs="Times New Roman"/>
          <w:color w:val="000000"/>
          <w:kern w:val="0"/>
          <w:sz w:val="28"/>
          <w:szCs w:val="28"/>
        </w:rPr>
        <w:t>竣工环境</w:t>
      </w:r>
      <w:bookmarkStart w:id="4" w:name="_GoBack"/>
      <w:bookmarkEnd w:id="4"/>
      <w:r>
        <w:rPr>
          <w:rFonts w:ascii="宋体" w:hAnsi="宋体" w:eastAsia="宋体" w:cs="Times New Roman"/>
          <w:color w:val="000000"/>
          <w:kern w:val="0"/>
          <w:sz w:val="28"/>
          <w:szCs w:val="28"/>
        </w:rPr>
        <w:t>保护验收监测报告》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本次验收全部为项目建设单位自主验收。</w:t>
      </w:r>
    </w:p>
    <w:p>
      <w:pPr>
        <w:widowControl/>
        <w:adjustRightInd w:val="0"/>
        <w:snapToGrid w:val="0"/>
        <w:spacing w:line="460" w:lineRule="exact"/>
        <w:ind w:firstLine="560" w:firstLineChars="200"/>
        <w:rPr>
          <w:rFonts w:ascii="宋体" w:hAnsi="宋体" w:eastAsia="宋体" w:cs="Times New Roman"/>
          <w:color w:val="000000"/>
          <w:kern w:val="0"/>
          <w:sz w:val="28"/>
          <w:szCs w:val="28"/>
        </w:rPr>
      </w:pPr>
      <w:r>
        <w:rPr>
          <w:rFonts w:ascii="宋体" w:hAnsi="宋体" w:eastAsia="宋体" w:cs="Times New Roman"/>
          <w:color w:val="000000"/>
          <w:kern w:val="0"/>
          <w:sz w:val="28"/>
          <w:szCs w:val="28"/>
        </w:rPr>
        <w:t>参加验收的有</w:t>
      </w:r>
      <w:r>
        <w:rPr>
          <w:rFonts w:hint="eastAsia" w:ascii="宋体" w:hAnsi="宋体" w:eastAsia="宋体" w:cs="Times New Roman"/>
          <w:color w:val="000000"/>
          <w:kern w:val="0"/>
          <w:sz w:val="28"/>
          <w:szCs w:val="28"/>
        </w:rPr>
        <w:t>建设单位</w:t>
      </w:r>
      <w:r>
        <w:rPr>
          <w:rFonts w:ascii="宋体" w:hAnsi="宋体" w:eastAsia="宋体" w:cs="Times New Roman"/>
          <w:color w:val="000000"/>
          <w:kern w:val="0"/>
          <w:sz w:val="28"/>
          <w:szCs w:val="28"/>
        </w:rPr>
        <w:t>山西太钢不锈钢股份有限公司</w:t>
      </w:r>
      <w:r>
        <w:rPr>
          <w:rFonts w:hint="eastAsia" w:ascii="宋体" w:hAnsi="宋体" w:eastAsia="宋体" w:cs="Times New Roman"/>
          <w:color w:val="000000"/>
          <w:kern w:val="0"/>
          <w:sz w:val="28"/>
          <w:szCs w:val="28"/>
        </w:rPr>
        <w:t>能源动力总厂、验收报告编制单位太钢工程技术有限公司、环保设施设计单位中冶南方工程技术有限公司、施工单位山西钢铁建设（集团）有发公司、监理单位山西震益工程监理有限公司、验收</w:t>
      </w:r>
      <w:r>
        <w:rPr>
          <w:rFonts w:ascii="宋体" w:hAnsi="宋体" w:eastAsia="宋体" w:cs="Times New Roman"/>
          <w:color w:val="000000"/>
          <w:kern w:val="0"/>
          <w:sz w:val="28"/>
          <w:szCs w:val="28"/>
        </w:rPr>
        <w:t>监测单位</w:t>
      </w:r>
      <w:r>
        <w:rPr>
          <w:rFonts w:hint="eastAsia" w:ascii="宋体" w:hAnsi="宋体" w:eastAsia="宋体"/>
          <w:color w:val="000000"/>
          <w:sz w:val="28"/>
          <w:szCs w:val="28"/>
        </w:rPr>
        <w:t>山西太钢环境则有限公司</w:t>
      </w:r>
      <w:r>
        <w:rPr>
          <w:rFonts w:ascii="宋体" w:hAnsi="宋体" w:eastAsia="宋体" w:cs="Times New Roman"/>
          <w:color w:val="000000"/>
          <w:kern w:val="0"/>
          <w:sz w:val="28"/>
          <w:szCs w:val="28"/>
        </w:rPr>
        <w:t>的代表及应邀专家。与会代表检查了项目现场，听取了建设单位对工程建设和环保设施调试的情况介绍以及监测单位对项目竣工验收监测情况的介绍，验收组（名单附后）</w:t>
      </w:r>
      <w:r>
        <w:rPr>
          <w:rFonts w:ascii="宋体" w:hAnsi="宋体" w:eastAsia="宋体" w:cs="Times New Roman"/>
          <w:color w:val="000000"/>
          <w:sz w:val="28"/>
          <w:szCs w:val="28"/>
        </w:rPr>
        <w:t>提出验收意见如下：</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ascii="宋体" w:hAnsi="宋体" w:eastAsia="宋体" w:cs="Times New Roman"/>
          <w:b/>
          <w:color w:val="000000"/>
          <w:sz w:val="28"/>
          <w:szCs w:val="28"/>
        </w:rPr>
        <w:t>一、工程建设基本情况</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（一）建设地点、规模、主要建设内容</w:t>
      </w:r>
    </w:p>
    <w:p>
      <w:pPr>
        <w:autoSpaceDE w:val="0"/>
        <w:autoSpaceDN w:val="0"/>
        <w:adjustRightInd w:val="0"/>
        <w:snapToGrid w:val="0"/>
        <w:spacing w:line="460" w:lineRule="exact"/>
        <w:ind w:firstLine="562" w:firstLineChars="200"/>
        <w:rPr>
          <w:rFonts w:ascii="宋体" w:hAnsi="宋体" w:eastAsia="宋体" w:cs="Times New Roman"/>
          <w:color w:val="FF0000"/>
          <w:sz w:val="28"/>
          <w:szCs w:val="28"/>
        </w:rPr>
      </w:pPr>
      <w:r>
        <w:rPr>
          <w:rFonts w:ascii="宋体" w:hAnsi="宋体" w:eastAsia="宋体" w:cs="Times New Roman"/>
          <w:b/>
          <w:color w:val="000000"/>
          <w:sz w:val="28"/>
          <w:szCs w:val="28"/>
        </w:rPr>
        <w:t>建设地点：</w:t>
      </w:r>
      <w:r>
        <w:rPr>
          <w:rFonts w:hint="eastAsia" w:ascii="宋体" w:hAnsi="宋体" w:eastAsia="宋体" w:cs="Times New Roman"/>
          <w:kern w:val="0"/>
          <w:sz w:val="28"/>
          <w:szCs w:val="28"/>
        </w:rPr>
        <w:t>本项目位于山西太钢不锈钢股份有限公司能源动力总厂厂区内，高炉区域污水综合收集池及泵站位于四净化现有的平流沉淀池处，</w:t>
      </w:r>
      <w:r>
        <w:rPr>
          <w:rFonts w:ascii="宋体" w:hAnsi="宋体" w:eastAsia="宋体" w:cs="Times New Roman"/>
          <w:kern w:val="0"/>
          <w:sz w:val="28"/>
          <w:szCs w:val="28"/>
        </w:rPr>
        <w:t>地理位置坐标为</w:t>
      </w:r>
      <w:r>
        <w:rPr>
          <w:rFonts w:hint="eastAsia" w:ascii="宋体" w:hAnsi="宋体" w:eastAsia="宋体" w:cs="Times New Roman"/>
          <w:kern w:val="0"/>
          <w:sz w:val="28"/>
          <w:szCs w:val="28"/>
        </w:rPr>
        <w:t>N 37°5</w:t>
      </w:r>
      <w:r>
        <w:rPr>
          <w:rFonts w:ascii="宋体" w:hAnsi="宋体" w:eastAsia="宋体" w:cs="Times New Roman"/>
          <w:kern w:val="0"/>
          <w:sz w:val="28"/>
          <w:szCs w:val="28"/>
        </w:rPr>
        <w:t>5’11.85”</w:t>
      </w:r>
      <w:r>
        <w:rPr>
          <w:rFonts w:hint="eastAsia" w:ascii="宋体" w:hAnsi="宋体" w:eastAsia="宋体" w:cs="Times New Roman"/>
          <w:kern w:val="0"/>
          <w:sz w:val="28"/>
          <w:szCs w:val="28"/>
        </w:rPr>
        <w:t>、E112°32</w:t>
      </w:r>
      <w:r>
        <w:rPr>
          <w:rFonts w:ascii="宋体" w:hAnsi="宋体" w:eastAsia="宋体" w:cs="Times New Roman"/>
          <w:kern w:val="0"/>
          <w:sz w:val="28"/>
          <w:szCs w:val="28"/>
        </w:rPr>
        <w:t>’53.95”</w:t>
      </w:r>
      <w:r>
        <w:rPr>
          <w:rFonts w:hint="eastAsia" w:ascii="宋体" w:hAnsi="宋体" w:eastAsia="宋体" w:cs="Times New Roman"/>
          <w:kern w:val="0"/>
          <w:sz w:val="28"/>
          <w:szCs w:val="28"/>
        </w:rPr>
        <w:t>；总排口深度处理站建设场地位于太钢污水五期处理站北侧，赵庄路南侧，</w:t>
      </w:r>
      <w:r>
        <w:rPr>
          <w:rFonts w:ascii="宋体" w:hAnsi="宋体" w:eastAsia="宋体" w:cs="Times New Roman"/>
          <w:kern w:val="0"/>
          <w:sz w:val="28"/>
          <w:szCs w:val="28"/>
        </w:rPr>
        <w:t>地理位置坐标为</w:t>
      </w:r>
      <w:r>
        <w:rPr>
          <w:rFonts w:hint="eastAsia" w:ascii="宋体" w:hAnsi="宋体" w:eastAsia="宋体" w:cs="Times New Roman"/>
          <w:kern w:val="0"/>
          <w:sz w:val="28"/>
          <w:szCs w:val="28"/>
        </w:rPr>
        <w:t>N37°5</w:t>
      </w:r>
      <w:r>
        <w:rPr>
          <w:rFonts w:ascii="宋体" w:hAnsi="宋体" w:eastAsia="宋体" w:cs="Times New Roman"/>
          <w:kern w:val="0"/>
          <w:sz w:val="28"/>
          <w:szCs w:val="28"/>
        </w:rPr>
        <w:t>5’15.48”</w:t>
      </w:r>
      <w:r>
        <w:rPr>
          <w:rFonts w:hint="eastAsia" w:ascii="宋体" w:hAnsi="宋体" w:eastAsia="宋体" w:cs="Times New Roman"/>
          <w:kern w:val="0"/>
          <w:sz w:val="28"/>
          <w:szCs w:val="28"/>
        </w:rPr>
        <w:t>、E112°32</w:t>
      </w:r>
      <w:r>
        <w:rPr>
          <w:rFonts w:ascii="宋体" w:hAnsi="宋体" w:eastAsia="宋体" w:cs="Times New Roman"/>
          <w:kern w:val="0"/>
          <w:sz w:val="28"/>
          <w:szCs w:val="28"/>
        </w:rPr>
        <w:t>’1.98”</w:t>
      </w:r>
      <w:r>
        <w:rPr>
          <w:rFonts w:hint="eastAsia" w:ascii="宋体" w:hAnsi="宋体" w:eastAsia="宋体" w:cs="Times New Roman"/>
          <w:kern w:val="0"/>
          <w:sz w:val="28"/>
          <w:szCs w:val="28"/>
        </w:rPr>
        <w:t>；四期生活污水系统污泥处理设施位于太钢能源动力总厂8#转运站(原向小燃煤锅炉供煤用的)南侧增建污泥处理处置生产系统，</w:t>
      </w:r>
      <w:r>
        <w:rPr>
          <w:rFonts w:ascii="宋体" w:hAnsi="宋体" w:eastAsia="宋体" w:cs="Times New Roman"/>
          <w:kern w:val="0"/>
          <w:sz w:val="28"/>
          <w:szCs w:val="28"/>
        </w:rPr>
        <w:t>地理位置坐标为</w:t>
      </w:r>
      <w:r>
        <w:rPr>
          <w:rFonts w:hint="eastAsia" w:ascii="宋体" w:hAnsi="宋体" w:eastAsia="宋体" w:cs="Times New Roman"/>
          <w:kern w:val="0"/>
          <w:sz w:val="28"/>
          <w:szCs w:val="28"/>
        </w:rPr>
        <w:t>N37°5</w:t>
      </w:r>
      <w:r>
        <w:rPr>
          <w:rFonts w:ascii="宋体" w:hAnsi="宋体" w:eastAsia="宋体" w:cs="Times New Roman"/>
          <w:kern w:val="0"/>
          <w:sz w:val="28"/>
          <w:szCs w:val="28"/>
        </w:rPr>
        <w:t>4’58.03”</w:t>
      </w:r>
      <w:r>
        <w:rPr>
          <w:rFonts w:hint="eastAsia" w:ascii="宋体" w:hAnsi="宋体" w:eastAsia="宋体" w:cs="Times New Roman"/>
          <w:kern w:val="0"/>
          <w:sz w:val="28"/>
          <w:szCs w:val="28"/>
        </w:rPr>
        <w:t>、E 112°32</w:t>
      </w:r>
      <w:r>
        <w:rPr>
          <w:rFonts w:ascii="宋体" w:hAnsi="宋体" w:eastAsia="宋体" w:cs="Times New Roman"/>
          <w:kern w:val="0"/>
          <w:sz w:val="28"/>
          <w:szCs w:val="28"/>
        </w:rPr>
        <w:t>’12.98”</w:t>
      </w:r>
      <w:r>
        <w:rPr>
          <w:rFonts w:hint="eastAsia" w:ascii="宋体" w:hAnsi="宋体" w:eastAsia="宋体" w:cs="Times New Roman"/>
          <w:kern w:val="0"/>
          <w:sz w:val="28"/>
          <w:szCs w:val="28"/>
        </w:rPr>
        <w:t>。</w:t>
      </w:r>
    </w:p>
    <w:p>
      <w:pPr>
        <w:shd w:val="clear" w:color="auto" w:fill="FFFFFF"/>
        <w:adjustRightInd w:val="0"/>
        <w:snapToGrid w:val="0"/>
        <w:spacing w:line="460" w:lineRule="exact"/>
        <w:ind w:firstLine="562" w:firstLineChars="200"/>
        <w:rPr>
          <w:rFonts w:ascii="宋体" w:hAnsi="宋体" w:eastAsia="宋体" w:cs="Times New Roman"/>
          <w:color w:val="000000"/>
          <w:sz w:val="28"/>
          <w:szCs w:val="28"/>
        </w:rPr>
      </w:pPr>
      <w:r>
        <w:rPr>
          <w:rFonts w:ascii="宋体" w:hAnsi="宋体" w:eastAsia="宋体" w:cs="Times New Roman"/>
          <w:b/>
          <w:color w:val="000000"/>
          <w:sz w:val="28"/>
          <w:szCs w:val="28"/>
        </w:rPr>
        <w:t>建设性质：</w:t>
      </w:r>
      <w:r>
        <w:rPr>
          <w:rFonts w:ascii="宋体" w:hAnsi="宋体" w:eastAsia="宋体" w:cs="Times New Roman"/>
          <w:color w:val="000000"/>
          <w:sz w:val="28"/>
          <w:szCs w:val="28"/>
        </w:rPr>
        <w:t>技术改造</w:t>
      </w:r>
    </w:p>
    <w:p>
      <w:pPr>
        <w:shd w:val="clear" w:color="auto" w:fill="FFFFFF"/>
        <w:adjustRightInd w:val="0"/>
        <w:snapToGrid w:val="0"/>
        <w:spacing w:line="460" w:lineRule="exact"/>
        <w:ind w:firstLine="562" w:firstLineChars="200"/>
        <w:rPr>
          <w:rFonts w:ascii="宋体" w:hAnsi="宋体" w:eastAsia="宋体" w:cs="Times New Roman"/>
          <w:color w:val="000000"/>
          <w:sz w:val="28"/>
          <w:szCs w:val="28"/>
        </w:rPr>
      </w:pPr>
      <w:r>
        <w:rPr>
          <w:rFonts w:ascii="宋体" w:hAnsi="宋体" w:eastAsia="宋体" w:cs="Times New Roman"/>
          <w:b/>
          <w:color w:val="000000"/>
          <w:sz w:val="28"/>
          <w:szCs w:val="28"/>
        </w:rPr>
        <w:t>建设规模：</w:t>
      </w:r>
      <w:r>
        <w:rPr>
          <w:rFonts w:hint="eastAsia" w:ascii="宋体" w:hAnsi="宋体" w:eastAsia="宋体" w:cs="Times New Roman"/>
          <w:color w:val="000000"/>
          <w:sz w:val="28"/>
          <w:szCs w:val="28"/>
        </w:rPr>
        <w:t>本项目集中处理的废水主要为一膜、三膜制备工业新水并产生2.4万m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d的浓水、二膜产生1.2万m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/d的浓水、高炉区域生产废水(0.9万m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/d)以及中和站含酸废水生物脱氮处理的排放水(1.3万m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/d)，五膜浓水0.4万m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/d，总共6.2万m</w:t>
      </w:r>
      <w:r>
        <w:rPr>
          <w:rFonts w:ascii="宋体" w:hAnsi="宋体" w:eastAsia="宋体" w:cs="Times New Roman"/>
          <w:color w:val="000000"/>
          <w:sz w:val="28"/>
          <w:szCs w:val="28"/>
        </w:rPr>
        <w:t>³</w:t>
      </w:r>
      <w:r>
        <w:rPr>
          <w:rFonts w:hint="eastAsia" w:ascii="宋体" w:hAnsi="宋体" w:eastAsia="宋体" w:cs="Times New Roman"/>
          <w:color w:val="000000"/>
          <w:sz w:val="28"/>
          <w:szCs w:val="28"/>
        </w:rPr>
        <w:t>/d。</w:t>
      </w:r>
    </w:p>
    <w:p>
      <w:pPr>
        <w:adjustRightInd w:val="0"/>
        <w:snapToGrid w:val="0"/>
        <w:spacing w:line="460" w:lineRule="exact"/>
        <w:ind w:firstLine="562" w:firstLineChars="200"/>
        <w:rPr>
          <w:rFonts w:ascii="宋体" w:hAnsi="宋体" w:eastAsia="宋体" w:cs="Times New Roman"/>
          <w:b/>
          <w:color w:val="000000"/>
          <w:sz w:val="24"/>
        </w:rPr>
      </w:pPr>
      <w:r>
        <w:rPr>
          <w:rFonts w:ascii="宋体" w:hAnsi="宋体" w:eastAsia="宋体" w:cs="Times New Roman"/>
          <w:b/>
          <w:color w:val="000000"/>
          <w:sz w:val="28"/>
          <w:szCs w:val="28"/>
        </w:rPr>
        <w:t>工程组成与建设内容：</w:t>
      </w:r>
      <w:r>
        <w:rPr>
          <w:rFonts w:ascii="宋体" w:hAnsi="宋体" w:eastAsia="宋体" w:cs="Times New Roman"/>
          <w:color w:val="000000"/>
          <w:sz w:val="28"/>
          <w:szCs w:val="28"/>
        </w:rPr>
        <w:t>项目包括主体工程、</w:t>
      </w:r>
      <w:r>
        <w:rPr>
          <w:rFonts w:hint="eastAsia" w:ascii="宋体" w:hAnsi="宋体" w:eastAsia="宋体" w:cs="Times New Roman"/>
          <w:color w:val="000000"/>
          <w:sz w:val="28"/>
          <w:szCs w:val="28"/>
        </w:rPr>
        <w:t>储运工程</w:t>
      </w:r>
      <w:r>
        <w:rPr>
          <w:rFonts w:ascii="宋体" w:hAnsi="宋体" w:eastAsia="宋体" w:cs="Times New Roman"/>
          <w:color w:val="000000"/>
          <w:sz w:val="28"/>
          <w:szCs w:val="28"/>
        </w:rPr>
        <w:t>、</w:t>
      </w:r>
      <w:r>
        <w:rPr>
          <w:rFonts w:hint="eastAsia" w:ascii="宋体" w:hAnsi="宋体" w:eastAsia="宋体" w:cs="Times New Roman"/>
          <w:color w:val="000000"/>
          <w:sz w:val="28"/>
          <w:szCs w:val="28"/>
        </w:rPr>
        <w:t>依托工程</w:t>
      </w:r>
      <w:r>
        <w:rPr>
          <w:rFonts w:ascii="宋体" w:hAnsi="宋体" w:eastAsia="宋体" w:cs="Times New Roman"/>
          <w:color w:val="000000"/>
          <w:sz w:val="28"/>
          <w:szCs w:val="28"/>
        </w:rPr>
        <w:t>、</w:t>
      </w:r>
      <w:r>
        <w:rPr>
          <w:rFonts w:hint="eastAsia" w:ascii="宋体" w:hAnsi="宋体" w:eastAsia="宋体" w:cs="Times New Roman"/>
          <w:color w:val="000000"/>
          <w:sz w:val="28"/>
          <w:szCs w:val="28"/>
        </w:rPr>
        <w:t>环保工程</w:t>
      </w:r>
      <w:r>
        <w:rPr>
          <w:rFonts w:ascii="宋体" w:hAnsi="宋体" w:eastAsia="宋体" w:cs="Times New Roman"/>
          <w:color w:val="000000"/>
          <w:sz w:val="28"/>
          <w:szCs w:val="28"/>
        </w:rPr>
        <w:t>等</w:t>
      </w:r>
      <w:r>
        <w:rPr>
          <w:rFonts w:hint="eastAsia" w:ascii="宋体" w:hAnsi="宋体" w:eastAsia="宋体" w:cs="Times New Roman"/>
          <w:color w:val="000000"/>
          <w:sz w:val="28"/>
          <w:szCs w:val="28"/>
        </w:rPr>
        <w:t>。</w:t>
      </w:r>
      <w:r>
        <w:rPr>
          <w:rFonts w:ascii="宋体" w:hAnsi="宋体" w:eastAsia="宋体" w:cs="Times New Roman"/>
          <w:color w:val="000000"/>
          <w:sz w:val="28"/>
          <w:szCs w:val="28"/>
        </w:rPr>
        <w:t>主要建设内容：</w:t>
      </w:r>
      <w:r>
        <w:rPr>
          <w:rFonts w:hint="eastAsia" w:ascii="宋体" w:hAnsi="宋体" w:eastAsia="宋体" w:cs="Times New Roman"/>
          <w:color w:val="000000"/>
          <w:sz w:val="28"/>
          <w:szCs w:val="28"/>
        </w:rPr>
        <w:t>(1)增建高炉区域3000m</w:t>
      </w:r>
      <w:r>
        <w:rPr>
          <w:rFonts w:ascii="宋体" w:hAnsi="宋体" w:eastAsia="宋体" w:cs="Times New Roman"/>
          <w:color w:val="000000"/>
          <w:sz w:val="28"/>
          <w:szCs w:val="28"/>
          <w:vertAlign w:val="superscript"/>
        </w:rPr>
        <w:t>3</w:t>
      </w:r>
      <w:r>
        <w:rPr>
          <w:rFonts w:hint="eastAsia" w:ascii="宋体" w:hAnsi="宋体" w:eastAsia="宋体" w:cs="Times New Roman"/>
          <w:color w:val="000000"/>
          <w:sz w:val="28"/>
          <w:szCs w:val="28"/>
        </w:rPr>
        <w:t>污水综合收集池及泵站，包括格栅井、格栅及曝气沉砂池，年收集废水量为0.9万m</w:t>
      </w:r>
      <w:r>
        <w:rPr>
          <w:rFonts w:ascii="宋体" w:hAnsi="宋体" w:eastAsia="宋体" w:cs="Times New Roman"/>
          <w:color w:val="000000"/>
          <w:sz w:val="28"/>
          <w:szCs w:val="28"/>
          <w:vertAlign w:val="superscript"/>
        </w:rPr>
        <w:t>3</w:t>
      </w:r>
      <w:r>
        <w:rPr>
          <w:rFonts w:hint="eastAsia" w:ascii="宋体" w:hAnsi="宋体" w:eastAsia="宋体" w:cs="Times New Roman"/>
          <w:color w:val="000000"/>
          <w:sz w:val="28"/>
          <w:szCs w:val="28"/>
        </w:rPr>
        <w:t>/d；(2)增建一座总排口深度处理站，设计处理规模为5.8万m</w:t>
      </w:r>
      <w:r>
        <w:rPr>
          <w:rFonts w:ascii="宋体" w:hAnsi="宋体" w:eastAsia="宋体" w:cs="Times New Roman"/>
          <w:color w:val="000000"/>
          <w:sz w:val="28"/>
          <w:szCs w:val="28"/>
          <w:vertAlign w:val="superscript"/>
        </w:rPr>
        <w:t>3</w:t>
      </w:r>
      <w:r>
        <w:rPr>
          <w:rFonts w:hint="eastAsia" w:ascii="宋体" w:hAnsi="宋体" w:eastAsia="宋体" w:cs="Times New Roman"/>
          <w:color w:val="000000"/>
          <w:sz w:val="28"/>
          <w:szCs w:val="28"/>
        </w:rPr>
        <w:t>/d；主要设施有调节池、生化处理设施、生化后处理设施、污泥处理设施、化学加药设施、压缩空气供气设施。(3)增建四期生活污水系统污泥处理设施，处理能力为含水率75%的污泥25t/d。(4)五膜浓水通过新敷设一根管道引入厂区四水池内，做循环水系统的补充水源，共敷设管线4485m。储运工程为甲醇储罐、N</w:t>
      </w:r>
      <w:r>
        <w:rPr>
          <w:rFonts w:ascii="宋体" w:hAnsi="宋体" w:eastAsia="宋体" w:cs="Times New Roman"/>
          <w:color w:val="000000"/>
          <w:sz w:val="28"/>
          <w:szCs w:val="28"/>
        </w:rPr>
        <w:t>aOH</w:t>
      </w:r>
      <w:r>
        <w:rPr>
          <w:rFonts w:hint="eastAsia" w:ascii="宋体" w:hAnsi="宋体" w:eastAsia="宋体" w:cs="Times New Roman"/>
          <w:color w:val="000000"/>
          <w:sz w:val="28"/>
          <w:szCs w:val="28"/>
        </w:rPr>
        <w:t>储罐、次氯酸钠储罐、除磷药剂储罐、P</w:t>
      </w:r>
      <w:r>
        <w:rPr>
          <w:rFonts w:ascii="宋体" w:hAnsi="宋体" w:eastAsia="宋体" w:cs="Times New Roman"/>
          <w:color w:val="000000"/>
          <w:sz w:val="28"/>
          <w:szCs w:val="28"/>
        </w:rPr>
        <w:t>AC</w:t>
      </w:r>
      <w:r>
        <w:rPr>
          <w:rFonts w:hint="eastAsia" w:ascii="宋体" w:hAnsi="宋体" w:eastAsia="宋体" w:cs="Times New Roman"/>
          <w:color w:val="000000"/>
          <w:sz w:val="28"/>
          <w:szCs w:val="28"/>
        </w:rPr>
        <w:t>储罐。公用工程为供水、供电、供暖。依托工程为办公楼、食堂、宿舍等设施。</w:t>
      </w:r>
      <w:r>
        <w:rPr>
          <w:rFonts w:ascii="宋体" w:hAnsi="宋体" w:eastAsia="宋体" w:cs="Times New Roman"/>
          <w:sz w:val="28"/>
          <w:szCs w:val="28"/>
        </w:rPr>
        <w:t>工程组成与建设内容见表1。</w:t>
      </w:r>
    </w:p>
    <w:tbl>
      <w:tblPr>
        <w:tblStyle w:val="21"/>
        <w:tblpPr w:leftFromText="180" w:rightFromText="180" w:vertAnchor="text" w:horzAnchor="page" w:tblpX="1562" w:tblpY="297"/>
        <w:tblOverlap w:val="never"/>
        <w:tblW w:w="9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793"/>
        <w:gridCol w:w="1160"/>
        <w:gridCol w:w="2468"/>
        <w:gridCol w:w="304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blHeader/>
        </w:trPr>
        <w:tc>
          <w:tcPr>
            <w:tcW w:w="9034" w:type="dxa"/>
            <w:gridSpan w:val="6"/>
            <w:tcBorders>
              <w:top w:val="nil"/>
              <w:left w:val="nil"/>
              <w:bottom w:val="single" w:color="auto" w:sz="12" w:space="0"/>
              <w:right w:val="nil"/>
            </w:tcBorders>
            <w:vAlign w:val="center"/>
          </w:tcPr>
          <w:p>
            <w:pPr>
              <w:pStyle w:val="10"/>
              <w:adjustRightInd w:val="0"/>
              <w:snapToGrid w:val="0"/>
              <w:spacing w:line="240" w:lineRule="atLeast"/>
              <w:ind w:firstLine="0"/>
              <w:jc w:val="center"/>
              <w:rPr>
                <w:rFonts w:ascii="宋体" w:hAnsi="宋体" w:eastAsia="宋体"/>
                <w:b/>
                <w:szCs w:val="21"/>
              </w:rPr>
            </w:pPr>
            <w:r>
              <w:rPr>
                <w:rFonts w:ascii="宋体" w:hAnsi="宋体" w:eastAsia="宋体"/>
                <w:b/>
                <w:color w:val="000000"/>
                <w:sz w:val="24"/>
              </w:rPr>
              <w:t>表1  项目组成及建设内容</w:t>
            </w:r>
            <w:r>
              <w:rPr>
                <w:rFonts w:hint="eastAsia" w:ascii="宋体" w:hAnsi="宋体" w:eastAsia="宋体"/>
                <w:b/>
                <w:color w:val="000000"/>
                <w:sz w:val="24"/>
              </w:rPr>
              <w:t>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blHeader/>
        </w:trPr>
        <w:tc>
          <w:tcPr>
            <w:tcW w:w="769" w:type="dxa"/>
            <w:tcBorders>
              <w:top w:val="single" w:color="auto" w:sz="12" w:space="0"/>
              <w:left w:val="single" w:color="auto" w:sz="12" w:space="0"/>
              <w:bottom w:val="single" w:color="auto" w:sz="12" w:space="0"/>
              <w:right w:val="single" w:color="auto" w:sz="6" w:space="0"/>
            </w:tcBorders>
            <w:vAlign w:val="center"/>
          </w:tcPr>
          <w:p>
            <w:pPr>
              <w:pStyle w:val="10"/>
              <w:adjustRightInd w:val="0"/>
              <w:snapToGrid w:val="0"/>
              <w:spacing w:line="240" w:lineRule="atLeast"/>
              <w:ind w:firstLine="0"/>
              <w:jc w:val="center"/>
              <w:rPr>
                <w:rFonts w:ascii="宋体" w:hAnsi="宋体" w:eastAsia="宋体"/>
                <w:b/>
                <w:sz w:val="24"/>
              </w:rPr>
            </w:pPr>
            <w:r>
              <w:rPr>
                <w:rFonts w:ascii="宋体" w:hAnsi="宋体" w:eastAsia="宋体"/>
                <w:b/>
                <w:sz w:val="24"/>
              </w:rPr>
              <w:t>类别</w:t>
            </w:r>
          </w:p>
        </w:tc>
        <w:tc>
          <w:tcPr>
            <w:tcW w:w="1953" w:type="dxa"/>
            <w:gridSpan w:val="2"/>
            <w:tcBorders>
              <w:top w:val="single" w:color="auto" w:sz="12" w:space="0"/>
              <w:left w:val="single" w:color="auto" w:sz="6" w:space="0"/>
              <w:bottom w:val="single" w:color="auto" w:sz="12" w:space="0"/>
              <w:right w:val="single" w:color="auto" w:sz="6" w:space="0"/>
            </w:tcBorders>
            <w:vAlign w:val="center"/>
          </w:tcPr>
          <w:p>
            <w:pPr>
              <w:pStyle w:val="10"/>
              <w:adjustRightInd w:val="0"/>
              <w:snapToGrid w:val="0"/>
              <w:spacing w:line="240" w:lineRule="atLeast"/>
              <w:ind w:firstLine="0"/>
              <w:jc w:val="center"/>
              <w:rPr>
                <w:rFonts w:ascii="宋体" w:hAnsi="宋体" w:eastAsia="宋体"/>
                <w:b/>
                <w:sz w:val="24"/>
              </w:rPr>
            </w:pPr>
            <w:r>
              <w:rPr>
                <w:rFonts w:hint="eastAsia" w:ascii="宋体" w:hAnsi="宋体" w:eastAsia="宋体"/>
                <w:b/>
                <w:color w:val="000000"/>
                <w:sz w:val="24"/>
              </w:rPr>
              <w:t>系统</w:t>
            </w:r>
          </w:p>
        </w:tc>
        <w:tc>
          <w:tcPr>
            <w:tcW w:w="2468" w:type="dxa"/>
            <w:tcBorders>
              <w:top w:val="single" w:color="auto" w:sz="12" w:space="0"/>
              <w:left w:val="single" w:color="auto" w:sz="6" w:space="0"/>
              <w:bottom w:val="single" w:color="auto" w:sz="12" w:space="0"/>
              <w:right w:val="single" w:color="auto" w:sz="6" w:space="0"/>
            </w:tcBorders>
            <w:vAlign w:val="center"/>
          </w:tcPr>
          <w:p>
            <w:pPr>
              <w:pStyle w:val="10"/>
              <w:adjustRightInd w:val="0"/>
              <w:snapToGrid w:val="0"/>
              <w:spacing w:line="240" w:lineRule="atLeast"/>
              <w:ind w:firstLine="0"/>
              <w:jc w:val="center"/>
              <w:rPr>
                <w:rFonts w:ascii="宋体" w:hAnsi="宋体" w:eastAsia="宋体"/>
                <w:b/>
                <w:sz w:val="24"/>
              </w:rPr>
            </w:pPr>
            <w:r>
              <w:rPr>
                <w:rFonts w:ascii="宋体" w:hAnsi="宋体" w:eastAsia="宋体"/>
                <w:b/>
                <w:sz w:val="24"/>
              </w:rPr>
              <w:t>环评阶段设计</w:t>
            </w:r>
          </w:p>
        </w:tc>
        <w:tc>
          <w:tcPr>
            <w:tcW w:w="3044" w:type="dxa"/>
            <w:tcBorders>
              <w:top w:val="single" w:color="auto" w:sz="12" w:space="0"/>
              <w:left w:val="single" w:color="auto" w:sz="6" w:space="0"/>
              <w:bottom w:val="single" w:color="auto" w:sz="12" w:space="0"/>
              <w:right w:val="single" w:color="auto" w:sz="6" w:space="0"/>
            </w:tcBorders>
            <w:vAlign w:val="center"/>
          </w:tcPr>
          <w:p>
            <w:pPr>
              <w:pStyle w:val="10"/>
              <w:adjustRightInd w:val="0"/>
              <w:snapToGrid w:val="0"/>
              <w:spacing w:line="240" w:lineRule="atLeast"/>
              <w:ind w:firstLine="0"/>
              <w:jc w:val="center"/>
              <w:rPr>
                <w:rFonts w:ascii="宋体" w:hAnsi="宋体" w:eastAsia="宋体"/>
                <w:b/>
                <w:sz w:val="24"/>
              </w:rPr>
            </w:pPr>
            <w:r>
              <w:rPr>
                <w:rFonts w:ascii="宋体" w:hAnsi="宋体" w:eastAsia="宋体"/>
                <w:b/>
                <w:sz w:val="24"/>
              </w:rPr>
              <w:t>实际建设</w:t>
            </w:r>
          </w:p>
        </w:tc>
        <w:tc>
          <w:tcPr>
            <w:tcW w:w="800" w:type="dxa"/>
            <w:tcBorders>
              <w:top w:val="single" w:color="auto" w:sz="12" w:space="0"/>
              <w:left w:val="single" w:color="auto" w:sz="6" w:space="0"/>
              <w:bottom w:val="single" w:color="auto" w:sz="12" w:space="0"/>
              <w:right w:val="single" w:color="auto" w:sz="12" w:space="0"/>
            </w:tcBorders>
            <w:vAlign w:val="center"/>
          </w:tcPr>
          <w:p>
            <w:pPr>
              <w:pStyle w:val="10"/>
              <w:adjustRightInd w:val="0"/>
              <w:snapToGrid w:val="0"/>
              <w:spacing w:line="240" w:lineRule="atLeast"/>
              <w:ind w:firstLine="0"/>
              <w:jc w:val="center"/>
              <w:rPr>
                <w:rFonts w:ascii="宋体" w:hAnsi="宋体" w:eastAsia="宋体"/>
                <w:b/>
                <w:sz w:val="24"/>
              </w:rPr>
            </w:pPr>
            <w:r>
              <w:rPr>
                <w:rFonts w:ascii="宋体" w:hAnsi="宋体" w:eastAsia="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769" w:type="dxa"/>
            <w:vMerge w:val="restart"/>
            <w:tcBorders>
              <w:top w:val="single" w:color="auto" w:sz="12"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r>
              <w:rPr>
                <w:rFonts w:ascii="宋体" w:hAnsi="宋体" w:eastAsia="宋体"/>
                <w:sz w:val="24"/>
              </w:rPr>
              <w:t>主体工程</w:t>
            </w:r>
          </w:p>
        </w:tc>
        <w:tc>
          <w:tcPr>
            <w:tcW w:w="793" w:type="dxa"/>
            <w:vMerge w:val="restart"/>
            <w:tcBorders>
              <w:top w:val="single" w:color="auto" w:sz="12"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高炉区域污水综合收集池及泵站</w:t>
            </w:r>
          </w:p>
        </w:tc>
        <w:tc>
          <w:tcPr>
            <w:tcW w:w="1160"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格栅井及格栅</w:t>
            </w:r>
          </w:p>
        </w:tc>
        <w:tc>
          <w:tcPr>
            <w:tcW w:w="2468" w:type="dxa"/>
            <w:tcBorders>
              <w:top w:val="single" w:color="auto" w:sz="12"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粗格栅井和细格栅井各2座，钢混结构，配套除污机</w:t>
            </w:r>
            <w:r>
              <w:rPr>
                <w:rFonts w:ascii="宋体" w:hAnsi="宋体" w:eastAsia="宋体"/>
                <w:color w:val="000000"/>
                <w:sz w:val="24"/>
                <w:szCs w:val="24"/>
              </w:rPr>
              <w:t>、输送机等设备</w:t>
            </w:r>
          </w:p>
        </w:tc>
        <w:tc>
          <w:tcPr>
            <w:tcW w:w="3044" w:type="dxa"/>
            <w:tcBorders>
              <w:top w:val="single" w:color="auto" w:sz="12"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粗格栅井和细格栅井各2座，钢混结构，配套除污机</w:t>
            </w:r>
            <w:r>
              <w:rPr>
                <w:rFonts w:ascii="宋体" w:hAnsi="宋体" w:eastAsia="宋体"/>
                <w:color w:val="000000"/>
                <w:sz w:val="24"/>
                <w:szCs w:val="24"/>
              </w:rPr>
              <w:t>、输送机等设备</w:t>
            </w:r>
          </w:p>
        </w:tc>
        <w:tc>
          <w:tcPr>
            <w:tcW w:w="800" w:type="dxa"/>
            <w:tcBorders>
              <w:top w:val="single" w:color="auto" w:sz="12"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793"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116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曝气沉砂池</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设有3000</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污水综合收集池1座，钢筋混凝土结构，配套砂水分离器</w:t>
            </w:r>
            <w:r>
              <w:rPr>
                <w:rFonts w:ascii="宋体" w:hAnsi="宋体" w:eastAsia="宋体"/>
                <w:color w:val="000000"/>
                <w:sz w:val="24"/>
                <w:szCs w:val="24"/>
              </w:rPr>
              <w:t>、</w:t>
            </w:r>
            <w:r>
              <w:rPr>
                <w:rFonts w:hint="eastAsia" w:ascii="宋体" w:hAnsi="宋体" w:eastAsia="宋体"/>
                <w:color w:val="000000"/>
                <w:sz w:val="24"/>
                <w:szCs w:val="24"/>
              </w:rPr>
              <w:t>吸砂机、鼓风机、</w:t>
            </w:r>
            <w:r>
              <w:rPr>
                <w:rFonts w:ascii="宋体" w:hAnsi="宋体" w:eastAsia="宋体"/>
                <w:color w:val="000000"/>
                <w:sz w:val="24"/>
                <w:szCs w:val="24"/>
              </w:rPr>
              <w:t>排水泵等设备</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设有3000</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污水综合收集池1座，钢筋混凝土结构，配套砂水分离器</w:t>
            </w:r>
            <w:r>
              <w:rPr>
                <w:rFonts w:ascii="宋体" w:hAnsi="宋体" w:eastAsia="宋体"/>
                <w:color w:val="000000"/>
                <w:sz w:val="24"/>
                <w:szCs w:val="24"/>
              </w:rPr>
              <w:t>、</w:t>
            </w:r>
            <w:r>
              <w:rPr>
                <w:rFonts w:hint="eastAsia" w:ascii="宋体" w:hAnsi="宋体" w:eastAsia="宋体"/>
                <w:color w:val="000000"/>
                <w:sz w:val="24"/>
                <w:szCs w:val="24"/>
              </w:rPr>
              <w:t>吸砂机、鼓风机、</w:t>
            </w:r>
            <w:r>
              <w:rPr>
                <w:rFonts w:ascii="宋体" w:hAnsi="宋体" w:eastAsia="宋体"/>
                <w:color w:val="000000"/>
                <w:sz w:val="24"/>
                <w:szCs w:val="24"/>
              </w:rPr>
              <w:t>排水泵等设备</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769" w:type="dxa"/>
            <w:vMerge w:val="restart"/>
            <w:tcBorders>
              <w:top w:val="single" w:color="auto" w:sz="6" w:space="0"/>
              <w:left w:val="single" w:color="auto" w:sz="12"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r>
              <w:rPr>
                <w:rFonts w:hint="eastAsia" w:ascii="宋体" w:hAnsi="宋体" w:eastAsia="宋体" w:cs="宋体"/>
                <w:color w:val="000000"/>
                <w:sz w:val="24"/>
              </w:rPr>
              <w:t>主体工程</w:t>
            </w:r>
          </w:p>
        </w:tc>
        <w:tc>
          <w:tcPr>
            <w:tcW w:w="793" w:type="dxa"/>
            <w:vMerge w:val="restart"/>
            <w:tcBorders>
              <w:top w:val="single" w:color="auto" w:sz="6" w:space="0"/>
              <w:left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总排口深度处理站</w:t>
            </w:r>
          </w:p>
        </w:tc>
        <w:tc>
          <w:tcPr>
            <w:tcW w:w="116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调节池</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利用污水三期现有的4格沉淀池改成调节池，新建调节池吸水井。吸水井内</w:t>
            </w:r>
            <w:r>
              <w:rPr>
                <w:rFonts w:ascii="宋体" w:hAnsi="宋体" w:eastAsia="宋体"/>
                <w:color w:val="000000"/>
                <w:sz w:val="24"/>
                <w:szCs w:val="24"/>
              </w:rPr>
              <w:t>采用自动耦合式安装的潜水泵作为提升泵，设置1台备用泵。</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利用污水三期现有的4格沉淀池改成调节池，新建调节池吸水井。吸水井内</w:t>
            </w:r>
            <w:r>
              <w:rPr>
                <w:rFonts w:ascii="宋体" w:hAnsi="宋体" w:eastAsia="宋体"/>
                <w:color w:val="000000"/>
                <w:sz w:val="24"/>
                <w:szCs w:val="24"/>
              </w:rPr>
              <w:t>采用自动耦合式安装的潜水泵作为提升泵，设置1台备用泵。</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793" w:type="dxa"/>
            <w:vMerge w:val="continue"/>
            <w:tcBorders>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116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生化处理设施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采用A/A</w:t>
            </w:r>
            <w:r>
              <w:rPr>
                <w:rFonts w:hint="eastAsia" w:ascii="宋体" w:hAnsi="宋体" w:eastAsia="宋体"/>
                <w:color w:val="000000"/>
                <w:sz w:val="24"/>
                <w:szCs w:val="24"/>
                <w:vertAlign w:val="subscript"/>
              </w:rPr>
              <w:t>1</w:t>
            </w:r>
            <w:r>
              <w:rPr>
                <w:rFonts w:hint="eastAsia" w:ascii="宋体" w:hAnsi="宋体" w:eastAsia="宋体"/>
                <w:color w:val="000000"/>
                <w:sz w:val="24"/>
                <w:szCs w:val="24"/>
              </w:rPr>
              <w:t>/O</w:t>
            </w:r>
            <w:r>
              <w:rPr>
                <w:rFonts w:hint="eastAsia" w:ascii="宋体" w:hAnsi="宋体" w:eastAsia="宋体"/>
                <w:color w:val="000000"/>
                <w:sz w:val="24"/>
                <w:szCs w:val="24"/>
                <w:vertAlign w:val="subscript"/>
              </w:rPr>
              <w:t>1</w:t>
            </w:r>
            <w:r>
              <w:rPr>
                <w:rFonts w:hint="eastAsia" w:ascii="宋体" w:hAnsi="宋体" w:eastAsia="宋体"/>
                <w:color w:val="000000"/>
                <w:sz w:val="24"/>
                <w:szCs w:val="24"/>
              </w:rPr>
              <w:t>+A</w:t>
            </w:r>
            <w:r>
              <w:rPr>
                <w:rFonts w:hint="eastAsia" w:ascii="宋体" w:hAnsi="宋体" w:eastAsia="宋体"/>
                <w:color w:val="000000"/>
                <w:sz w:val="24"/>
                <w:szCs w:val="24"/>
                <w:vertAlign w:val="subscript"/>
              </w:rPr>
              <w:t>2</w:t>
            </w:r>
            <w:r>
              <w:rPr>
                <w:rFonts w:hint="eastAsia" w:ascii="宋体" w:hAnsi="宋体" w:eastAsia="宋体"/>
                <w:color w:val="000000"/>
                <w:sz w:val="24"/>
                <w:szCs w:val="24"/>
              </w:rPr>
              <w:t>/O</w:t>
            </w:r>
            <w:r>
              <w:rPr>
                <w:rFonts w:hint="eastAsia" w:ascii="宋体" w:hAnsi="宋体" w:eastAsia="宋体"/>
                <w:color w:val="000000"/>
                <w:sz w:val="24"/>
                <w:szCs w:val="24"/>
                <w:vertAlign w:val="subscript"/>
              </w:rPr>
              <w:t>2</w:t>
            </w:r>
            <w:r>
              <w:rPr>
                <w:rFonts w:hint="eastAsia" w:ascii="宋体" w:hAnsi="宋体" w:eastAsia="宋体"/>
                <w:color w:val="000000"/>
                <w:sz w:val="24"/>
                <w:szCs w:val="24"/>
              </w:rPr>
              <w:t>+臭氧+BAC(厌氧池-缺氧池1-好氧池1-缺氧池2-好氧池2-臭氧-BAC)生化处理工艺，钢混结构，</w:t>
            </w:r>
            <w:r>
              <w:rPr>
                <w:rFonts w:ascii="宋体" w:hAnsi="宋体" w:eastAsia="宋体"/>
                <w:color w:val="000000"/>
                <w:sz w:val="24"/>
                <w:szCs w:val="24"/>
              </w:rPr>
              <w:t>设有</w:t>
            </w:r>
            <w:r>
              <w:rPr>
                <w:rFonts w:hint="eastAsia" w:ascii="宋体" w:hAnsi="宋体" w:eastAsia="宋体"/>
                <w:color w:val="000000"/>
                <w:sz w:val="24"/>
                <w:szCs w:val="24"/>
              </w:rPr>
              <w:t>厌氧(水解酸化)反应器、</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sz w:val="24"/>
                <w:szCs w:val="24"/>
              </w:rPr>
            </w:pPr>
            <w:r>
              <w:rPr>
                <w:rFonts w:hint="eastAsia" w:ascii="宋体" w:hAnsi="宋体" w:eastAsia="宋体"/>
                <w:color w:val="000000"/>
                <w:sz w:val="24"/>
                <w:szCs w:val="24"/>
              </w:rPr>
              <w:t>采用A/A</w:t>
            </w:r>
            <w:r>
              <w:rPr>
                <w:rFonts w:hint="eastAsia" w:ascii="宋体" w:hAnsi="宋体" w:eastAsia="宋体"/>
                <w:color w:val="000000"/>
                <w:sz w:val="24"/>
                <w:szCs w:val="24"/>
                <w:vertAlign w:val="subscript"/>
              </w:rPr>
              <w:t>1</w:t>
            </w:r>
            <w:r>
              <w:rPr>
                <w:rFonts w:hint="eastAsia" w:ascii="宋体" w:hAnsi="宋体" w:eastAsia="宋体"/>
                <w:color w:val="000000"/>
                <w:sz w:val="24"/>
                <w:szCs w:val="24"/>
              </w:rPr>
              <w:t>/O</w:t>
            </w:r>
            <w:r>
              <w:rPr>
                <w:rFonts w:hint="eastAsia" w:ascii="宋体" w:hAnsi="宋体" w:eastAsia="宋体"/>
                <w:color w:val="000000"/>
                <w:sz w:val="24"/>
                <w:szCs w:val="24"/>
                <w:vertAlign w:val="subscript"/>
              </w:rPr>
              <w:t>1</w:t>
            </w:r>
            <w:r>
              <w:rPr>
                <w:rFonts w:hint="eastAsia" w:ascii="宋体" w:hAnsi="宋体" w:eastAsia="宋体"/>
                <w:color w:val="000000"/>
                <w:sz w:val="24"/>
                <w:szCs w:val="24"/>
              </w:rPr>
              <w:t>+A</w:t>
            </w:r>
            <w:r>
              <w:rPr>
                <w:rFonts w:hint="eastAsia" w:ascii="宋体" w:hAnsi="宋体" w:eastAsia="宋体"/>
                <w:color w:val="000000"/>
                <w:sz w:val="24"/>
                <w:szCs w:val="24"/>
                <w:vertAlign w:val="subscript"/>
              </w:rPr>
              <w:t>2</w:t>
            </w:r>
            <w:r>
              <w:rPr>
                <w:rFonts w:hint="eastAsia" w:ascii="宋体" w:hAnsi="宋体" w:eastAsia="宋体"/>
                <w:color w:val="000000"/>
                <w:sz w:val="24"/>
                <w:szCs w:val="24"/>
              </w:rPr>
              <w:t>/O</w:t>
            </w:r>
            <w:r>
              <w:rPr>
                <w:rFonts w:hint="eastAsia" w:ascii="宋体" w:hAnsi="宋体" w:eastAsia="宋体"/>
                <w:color w:val="000000"/>
                <w:sz w:val="24"/>
                <w:szCs w:val="24"/>
                <w:vertAlign w:val="subscript"/>
              </w:rPr>
              <w:t>2</w:t>
            </w:r>
            <w:r>
              <w:rPr>
                <w:rFonts w:hint="eastAsia" w:ascii="宋体" w:hAnsi="宋体" w:eastAsia="宋体"/>
                <w:color w:val="000000"/>
                <w:sz w:val="24"/>
                <w:szCs w:val="24"/>
              </w:rPr>
              <w:t>+臭氧+BAC(厌氧池-缺氧池1-好氧池1-缺氧池2-好氧池2-臭氧-BAC)生化处理工艺，钢混结构，</w:t>
            </w:r>
            <w:r>
              <w:rPr>
                <w:rFonts w:ascii="宋体" w:hAnsi="宋体" w:eastAsia="宋体"/>
                <w:color w:val="000000"/>
                <w:sz w:val="24"/>
                <w:szCs w:val="24"/>
              </w:rPr>
              <w:t>设有</w:t>
            </w:r>
            <w:r>
              <w:rPr>
                <w:rFonts w:hint="eastAsia" w:ascii="宋体" w:hAnsi="宋体" w:eastAsia="宋体"/>
                <w:color w:val="000000"/>
                <w:sz w:val="24"/>
                <w:szCs w:val="24"/>
              </w:rPr>
              <w:t>厌氧(水解酸化)反应器、缺氧反应器、好氧反应器、臭氧接</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bl>
    <w:p>
      <w:pPr>
        <w:adjustRightInd w:val="0"/>
        <w:snapToGrid w:val="0"/>
        <w:spacing w:line="240" w:lineRule="atLeast"/>
        <w:rPr>
          <w:rFonts w:hint="eastAsia" w:ascii="宋体" w:hAnsi="宋体" w:eastAsia="宋体"/>
          <w:sz w:val="10"/>
          <w:szCs w:val="10"/>
        </w:rPr>
      </w:pPr>
    </w:p>
    <w:p>
      <w:pPr>
        <w:adjustRightInd w:val="0"/>
        <w:snapToGrid w:val="0"/>
        <w:spacing w:line="240" w:lineRule="atLeast"/>
        <w:rPr>
          <w:rFonts w:hint="eastAsia" w:ascii="宋体" w:hAnsi="宋体" w:eastAsia="宋体"/>
          <w:sz w:val="10"/>
          <w:szCs w:val="10"/>
        </w:rPr>
      </w:pPr>
    </w:p>
    <w:tbl>
      <w:tblPr>
        <w:tblStyle w:val="21"/>
        <w:tblpPr w:leftFromText="180" w:rightFromText="180" w:vertAnchor="text" w:horzAnchor="page" w:tblpX="1562" w:tblpY="297"/>
        <w:tblOverlap w:val="never"/>
        <w:tblW w:w="9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938"/>
        <w:gridCol w:w="1015"/>
        <w:gridCol w:w="2468"/>
        <w:gridCol w:w="304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blHeader/>
        </w:trPr>
        <w:tc>
          <w:tcPr>
            <w:tcW w:w="9034" w:type="dxa"/>
            <w:gridSpan w:val="6"/>
            <w:tcBorders>
              <w:top w:val="nil"/>
              <w:left w:val="nil"/>
              <w:bottom w:val="single" w:color="auto" w:sz="12" w:space="0"/>
              <w:right w:val="nil"/>
            </w:tcBorders>
            <w:vAlign w:val="center"/>
          </w:tcPr>
          <w:p>
            <w:pPr>
              <w:pStyle w:val="10"/>
              <w:adjustRightInd w:val="0"/>
              <w:snapToGrid w:val="0"/>
              <w:spacing w:line="240" w:lineRule="atLeast"/>
              <w:ind w:firstLine="0"/>
              <w:jc w:val="center"/>
              <w:rPr>
                <w:rFonts w:ascii="宋体" w:hAnsi="宋体" w:eastAsia="宋体"/>
                <w:b/>
                <w:szCs w:val="21"/>
              </w:rPr>
            </w:pPr>
            <w:r>
              <w:rPr>
                <w:rFonts w:ascii="宋体" w:hAnsi="宋体" w:eastAsia="宋体"/>
                <w:b/>
                <w:color w:val="000000"/>
                <w:sz w:val="24"/>
              </w:rPr>
              <w:t>表1  项目组成及建设内容</w:t>
            </w:r>
            <w:r>
              <w:rPr>
                <w:rFonts w:hint="eastAsia" w:ascii="宋体" w:hAnsi="宋体" w:eastAsia="宋体"/>
                <w:b/>
                <w:color w:val="000000"/>
                <w:sz w:val="24"/>
              </w:rPr>
              <w:t>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blHeader/>
        </w:trPr>
        <w:tc>
          <w:tcPr>
            <w:tcW w:w="769" w:type="dxa"/>
            <w:tcBorders>
              <w:top w:val="single" w:color="auto" w:sz="12" w:space="0"/>
              <w:left w:val="single" w:color="auto" w:sz="12"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类别</w:t>
            </w:r>
          </w:p>
        </w:tc>
        <w:tc>
          <w:tcPr>
            <w:tcW w:w="1953" w:type="dxa"/>
            <w:gridSpan w:val="2"/>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hint="eastAsia" w:ascii="宋体" w:hAnsi="宋体" w:eastAsia="宋体"/>
                <w:b/>
                <w:color w:val="000000"/>
                <w:sz w:val="24"/>
              </w:rPr>
              <w:t>系统</w:t>
            </w:r>
          </w:p>
        </w:tc>
        <w:tc>
          <w:tcPr>
            <w:tcW w:w="2468"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环评阶段设计</w:t>
            </w:r>
          </w:p>
        </w:tc>
        <w:tc>
          <w:tcPr>
            <w:tcW w:w="3044"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实际建设</w:t>
            </w:r>
          </w:p>
        </w:tc>
        <w:tc>
          <w:tcPr>
            <w:tcW w:w="800" w:type="dxa"/>
            <w:tcBorders>
              <w:top w:val="single" w:color="auto" w:sz="12" w:space="0"/>
              <w:left w:val="single" w:color="auto" w:sz="6" w:space="0"/>
              <w:bottom w:val="single" w:color="auto" w:sz="12" w:space="0"/>
              <w:right w:val="single" w:color="auto" w:sz="12" w:space="0"/>
            </w:tcBorders>
            <w:vAlign w:val="center"/>
          </w:tcPr>
          <w:p>
            <w:pPr>
              <w:pStyle w:val="10"/>
              <w:snapToGrid w:val="0"/>
              <w:ind w:firstLine="0"/>
              <w:jc w:val="center"/>
              <w:rPr>
                <w:rFonts w:ascii="宋体" w:hAnsi="宋体" w:eastAsia="宋体"/>
                <w:b/>
                <w:sz w:val="24"/>
              </w:rPr>
            </w:pPr>
            <w:r>
              <w:rPr>
                <w:rFonts w:ascii="宋体" w:hAnsi="宋体" w:eastAsia="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right w:val="single" w:color="auto" w:sz="6" w:space="0"/>
            </w:tcBorders>
            <w:vAlign w:val="center"/>
          </w:tcPr>
          <w:p>
            <w:pPr>
              <w:pStyle w:val="10"/>
              <w:snapToGrid w:val="0"/>
              <w:ind w:firstLine="0"/>
              <w:jc w:val="center"/>
              <w:rPr>
                <w:rFonts w:ascii="宋体" w:hAnsi="宋体" w:eastAsia="宋体"/>
                <w:sz w:val="24"/>
              </w:rPr>
            </w:pPr>
            <w:r>
              <w:rPr>
                <w:rFonts w:hint="eastAsia" w:ascii="宋体" w:hAnsi="宋体" w:eastAsia="宋体" w:cs="宋体"/>
                <w:color w:val="000000"/>
                <w:sz w:val="24"/>
              </w:rPr>
              <w:t>主体工程</w:t>
            </w:r>
          </w:p>
        </w:tc>
        <w:tc>
          <w:tcPr>
            <w:tcW w:w="938" w:type="dxa"/>
            <w:vMerge w:val="restart"/>
            <w:tcBorders>
              <w:top w:val="single" w:color="auto" w:sz="6" w:space="0"/>
              <w:left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总排口深度处理站</w:t>
            </w: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hint="eastAsia" w:ascii="宋体" w:hAnsi="宋体" w:eastAsia="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hint="eastAsia" w:ascii="宋体" w:hAnsi="宋体" w:eastAsia="宋体"/>
                <w:color w:val="000000"/>
                <w:sz w:val="24"/>
                <w:szCs w:val="24"/>
              </w:rPr>
            </w:pPr>
            <w:r>
              <w:rPr>
                <w:rFonts w:hint="eastAsia" w:ascii="宋体" w:hAnsi="宋体" w:eastAsia="宋体"/>
                <w:color w:val="000000"/>
                <w:sz w:val="24"/>
                <w:szCs w:val="24"/>
              </w:rPr>
              <w:t>缺氧反应器、好氧反应器、臭氧接触池、生物活性炭滤池(BAC)等</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hint="eastAsia" w:ascii="宋体" w:hAnsi="宋体" w:eastAsia="宋体"/>
                <w:color w:val="000000"/>
                <w:sz w:val="24"/>
                <w:szCs w:val="24"/>
              </w:rPr>
            </w:pPr>
            <w:r>
              <w:rPr>
                <w:rFonts w:hint="eastAsia" w:ascii="宋体" w:hAnsi="宋体" w:eastAsia="宋体"/>
                <w:color w:val="000000"/>
                <w:sz w:val="24"/>
                <w:szCs w:val="24"/>
              </w:rPr>
              <w:t>触池、生物活性炭滤池(BAC)等</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hint="eastAsia"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left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生化后处理设施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钢混结构，高密度沉淀池、V型滤池等</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sz w:val="24"/>
                <w:szCs w:val="24"/>
              </w:rPr>
            </w:pPr>
            <w:r>
              <w:rPr>
                <w:rFonts w:hint="eastAsia" w:ascii="宋体" w:hAnsi="宋体" w:eastAsia="宋体"/>
                <w:color w:val="000000"/>
                <w:sz w:val="24"/>
                <w:szCs w:val="24"/>
              </w:rPr>
              <w:t>钢混结构，高密度沉淀池、V型滤池等</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left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污泥处理设施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2座</w:t>
            </w:r>
            <w:r>
              <w:rPr>
                <w:rFonts w:ascii="宋体" w:hAnsi="宋体" w:eastAsia="宋体"/>
                <w:color w:val="000000"/>
                <w:sz w:val="24"/>
                <w:szCs w:val="24"/>
              </w:rPr>
              <w:t>，</w:t>
            </w:r>
            <w:r>
              <w:rPr>
                <w:rFonts w:hint="eastAsia" w:ascii="宋体" w:hAnsi="宋体" w:eastAsia="宋体"/>
                <w:color w:val="000000"/>
                <w:sz w:val="24"/>
                <w:szCs w:val="24"/>
              </w:rPr>
              <w:t>钢混结构，直径11.5m，水深5.0m，配套</w:t>
            </w:r>
            <w:r>
              <w:rPr>
                <w:rFonts w:ascii="宋体" w:hAnsi="宋体" w:eastAsia="宋体"/>
                <w:color w:val="000000"/>
                <w:sz w:val="24"/>
                <w:szCs w:val="24"/>
              </w:rPr>
              <w:t>有</w:t>
            </w:r>
            <w:r>
              <w:rPr>
                <w:rFonts w:hint="eastAsia" w:ascii="宋体" w:hAnsi="宋体" w:eastAsia="宋体"/>
                <w:color w:val="000000"/>
                <w:sz w:val="24"/>
                <w:szCs w:val="24"/>
              </w:rPr>
              <w:t>叠螺式污泥脱水机</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sz w:val="24"/>
                <w:szCs w:val="24"/>
              </w:rPr>
            </w:pPr>
            <w:r>
              <w:rPr>
                <w:rFonts w:hint="eastAsia" w:ascii="宋体" w:hAnsi="宋体" w:eastAsia="宋体"/>
                <w:color w:val="000000"/>
                <w:sz w:val="24"/>
                <w:szCs w:val="24"/>
              </w:rPr>
              <w:t>2座</w:t>
            </w:r>
            <w:r>
              <w:rPr>
                <w:rFonts w:ascii="宋体" w:hAnsi="宋体" w:eastAsia="宋体"/>
                <w:color w:val="000000"/>
                <w:sz w:val="24"/>
                <w:szCs w:val="24"/>
              </w:rPr>
              <w:t>，</w:t>
            </w:r>
            <w:r>
              <w:rPr>
                <w:rFonts w:hint="eastAsia" w:ascii="宋体" w:hAnsi="宋体" w:eastAsia="宋体"/>
                <w:color w:val="000000"/>
                <w:sz w:val="24"/>
                <w:szCs w:val="24"/>
              </w:rPr>
              <w:t>钢混结构，直径11.5m，水深5.0m，配套</w:t>
            </w:r>
            <w:r>
              <w:rPr>
                <w:rFonts w:ascii="宋体" w:hAnsi="宋体" w:eastAsia="宋体"/>
                <w:color w:val="000000"/>
                <w:sz w:val="24"/>
                <w:szCs w:val="24"/>
              </w:rPr>
              <w:t>有</w:t>
            </w:r>
            <w:r>
              <w:rPr>
                <w:rFonts w:hint="eastAsia" w:ascii="宋体" w:hAnsi="宋体" w:eastAsia="宋体"/>
                <w:color w:val="000000"/>
                <w:sz w:val="24"/>
                <w:szCs w:val="24"/>
              </w:rPr>
              <w:t>叠螺式污泥脱水机</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left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化学加药设施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主要包括了8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聚合氯化铝(PAC)干粉制备投加装置，8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除磷药剂投加装置、50</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甲醇储备投加装置、15</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氢氧化钠制备投加装置、PAM投加装置、8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次氯酸钠液体存储投加装置等</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sz w:val="24"/>
                <w:szCs w:val="24"/>
              </w:rPr>
            </w:pPr>
            <w:r>
              <w:rPr>
                <w:rFonts w:hint="eastAsia" w:ascii="宋体" w:hAnsi="宋体" w:eastAsia="宋体"/>
                <w:color w:val="000000"/>
                <w:sz w:val="24"/>
                <w:szCs w:val="24"/>
              </w:rPr>
              <w:t>主要包括了8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聚合氯化铝(PAC)干粉制备投加装置，8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除磷药剂投加装置、50</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甲醇储备投加装置、15</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氢氧化钠制备投加装置、PAM投加装置、8</w:t>
            </w:r>
            <w:r>
              <w:rPr>
                <w:rFonts w:ascii="宋体" w:hAnsi="宋体" w:eastAsia="宋体"/>
                <w:color w:val="000000"/>
                <w:sz w:val="24"/>
                <w:szCs w:val="24"/>
              </w:rPr>
              <w:t>m</w:t>
            </w:r>
            <w:r>
              <w:rPr>
                <w:rFonts w:ascii="宋体" w:hAnsi="宋体" w:eastAsia="宋体"/>
                <w:color w:val="000000"/>
                <w:sz w:val="24"/>
                <w:szCs w:val="24"/>
                <w:vertAlign w:val="superscript"/>
              </w:rPr>
              <w:t>3</w:t>
            </w:r>
            <w:r>
              <w:rPr>
                <w:rFonts w:hint="eastAsia" w:ascii="宋体" w:hAnsi="宋体" w:eastAsia="宋体"/>
                <w:color w:val="000000"/>
                <w:sz w:val="24"/>
                <w:szCs w:val="24"/>
              </w:rPr>
              <w:t>次氯酸钠液体存储投加装置等</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压缩空气供气设施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由空气储罐组成，设计有约3m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的压缩空气储罐</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sz w:val="24"/>
                <w:szCs w:val="24"/>
              </w:rPr>
            </w:pPr>
            <w:r>
              <w:rPr>
                <w:rFonts w:hint="eastAsia" w:ascii="宋体" w:hAnsi="宋体" w:eastAsia="宋体"/>
                <w:color w:val="000000"/>
                <w:sz w:val="24"/>
                <w:szCs w:val="24"/>
              </w:rPr>
              <w:t>由空气储罐组成，设计有约3m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的压缩空气储罐</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restart"/>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管网</w:t>
            </w:r>
          </w:p>
        </w:tc>
        <w:tc>
          <w:tcPr>
            <w:tcW w:w="1015" w:type="dxa"/>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中和站酸废水脱氮脱硝处理系统排水管网</w:t>
            </w:r>
          </w:p>
        </w:tc>
        <w:tc>
          <w:tcPr>
            <w:tcW w:w="2468" w:type="dxa"/>
            <w:tcBorders>
              <w:top w:val="single" w:color="auto" w:sz="6" w:space="0"/>
              <w:left w:val="single" w:color="auto" w:sz="6" w:space="0"/>
              <w:bottom w:val="single" w:color="auto" w:sz="6" w:space="0"/>
              <w:right w:val="single" w:color="auto" w:sz="6" w:space="0"/>
            </w:tcBorders>
            <w:vAlign w:val="center"/>
          </w:tcPr>
          <w:p>
            <w:pPr>
              <w:spacing w:line="240" w:lineRule="atLeast"/>
              <w:jc w:val="center"/>
              <w:rPr>
                <w:rFonts w:ascii="宋体" w:hAnsi="宋体" w:eastAsia="宋体" w:cs="宋体"/>
                <w:color w:val="000000"/>
                <w:sz w:val="24"/>
              </w:rPr>
            </w:pPr>
            <w:r>
              <w:rPr>
                <w:rFonts w:hint="eastAsia" w:ascii="宋体" w:hAnsi="宋体" w:eastAsia="宋体" w:cs="宋体"/>
                <w:bCs/>
                <w:color w:val="000000"/>
                <w:sz w:val="24"/>
              </w:rPr>
              <w:t>管道采用DN400焊接钢管，</w:t>
            </w:r>
            <w:r>
              <w:rPr>
                <w:rFonts w:ascii="宋体" w:hAnsi="宋体" w:eastAsia="宋体" w:cs="宋体"/>
                <w:bCs/>
                <w:color w:val="000000"/>
                <w:sz w:val="24"/>
              </w:rPr>
              <w:t>长度</w:t>
            </w:r>
            <w:r>
              <w:rPr>
                <w:rFonts w:hint="eastAsia" w:ascii="宋体" w:hAnsi="宋体" w:eastAsia="宋体" w:cs="宋体"/>
                <w:bCs/>
                <w:color w:val="000000"/>
                <w:sz w:val="24"/>
              </w:rPr>
              <w:t>2765</w:t>
            </w:r>
            <w:r>
              <w:rPr>
                <w:rFonts w:ascii="宋体" w:hAnsi="宋体" w:eastAsia="宋体" w:cs="宋体"/>
                <w:bCs/>
                <w:color w:val="000000"/>
                <w:sz w:val="24"/>
              </w:rPr>
              <w:t>m</w:t>
            </w:r>
          </w:p>
        </w:tc>
        <w:tc>
          <w:tcPr>
            <w:tcW w:w="3044" w:type="dxa"/>
            <w:tcBorders>
              <w:top w:val="single" w:color="auto" w:sz="6" w:space="0"/>
              <w:left w:val="single" w:color="auto" w:sz="6" w:space="0"/>
              <w:bottom w:val="single" w:color="auto" w:sz="6" w:space="0"/>
              <w:right w:val="single" w:color="auto" w:sz="6" w:space="0"/>
            </w:tcBorders>
            <w:vAlign w:val="center"/>
          </w:tcPr>
          <w:p>
            <w:pPr>
              <w:spacing w:line="240" w:lineRule="atLeast"/>
              <w:jc w:val="center"/>
              <w:rPr>
                <w:rFonts w:ascii="宋体" w:hAnsi="宋体" w:eastAsia="宋体"/>
                <w:sz w:val="24"/>
              </w:rPr>
            </w:pPr>
            <w:r>
              <w:rPr>
                <w:rFonts w:hint="eastAsia" w:ascii="宋体" w:hAnsi="宋体" w:eastAsia="宋体" w:cs="宋体"/>
                <w:bCs/>
                <w:color w:val="000000"/>
                <w:sz w:val="24"/>
              </w:rPr>
              <w:t>管道采用DN400焊接钢管，</w:t>
            </w:r>
            <w:r>
              <w:rPr>
                <w:rFonts w:ascii="宋体" w:hAnsi="宋体" w:eastAsia="宋体" w:cs="宋体"/>
                <w:bCs/>
                <w:color w:val="000000"/>
                <w:sz w:val="24"/>
              </w:rPr>
              <w:t>长度</w:t>
            </w:r>
            <w:r>
              <w:rPr>
                <w:rFonts w:hint="eastAsia" w:ascii="宋体" w:hAnsi="宋体" w:eastAsia="宋体" w:cs="宋体"/>
                <w:bCs/>
                <w:color w:val="000000"/>
                <w:sz w:val="24"/>
              </w:rPr>
              <w:t>2765</w:t>
            </w:r>
            <w:r>
              <w:rPr>
                <w:rFonts w:ascii="宋体" w:hAnsi="宋体" w:eastAsia="宋体" w:cs="宋体"/>
                <w:bCs/>
                <w:color w:val="000000"/>
                <w:sz w:val="24"/>
              </w:rPr>
              <w:t>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vMerge w:val="restart"/>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总排口深度处理站内现有管线移位</w:t>
            </w:r>
          </w:p>
        </w:tc>
        <w:tc>
          <w:tcPr>
            <w:tcW w:w="2468" w:type="dxa"/>
            <w:tcBorders>
              <w:top w:val="single" w:color="auto" w:sz="6" w:space="0"/>
              <w:left w:val="single" w:color="auto" w:sz="6" w:space="0"/>
              <w:bottom w:val="single" w:color="auto" w:sz="6" w:space="0"/>
              <w:right w:val="single" w:color="auto" w:sz="6" w:space="0"/>
            </w:tcBorders>
            <w:vAlign w:val="center"/>
          </w:tcPr>
          <w:p>
            <w:pPr>
              <w:spacing w:line="240" w:lineRule="atLeast"/>
              <w:jc w:val="center"/>
              <w:rPr>
                <w:rFonts w:ascii="宋体" w:hAnsi="宋体" w:eastAsia="宋体" w:cs="宋体"/>
                <w:color w:val="000000"/>
                <w:sz w:val="24"/>
              </w:rPr>
            </w:pPr>
            <w:r>
              <w:rPr>
                <w:rFonts w:hint="eastAsia" w:ascii="宋体" w:hAnsi="宋体" w:eastAsia="宋体" w:cs="宋体"/>
                <w:bCs/>
                <w:color w:val="000000"/>
                <w:sz w:val="24"/>
              </w:rPr>
              <w:t>工业新水管道S1，管径DN900，</w:t>
            </w:r>
            <w:r>
              <w:rPr>
                <w:rFonts w:ascii="宋体" w:hAnsi="宋体" w:eastAsia="宋体" w:cs="宋体"/>
                <w:bCs/>
                <w:color w:val="000000"/>
                <w:sz w:val="24"/>
              </w:rPr>
              <w:t>长度28</w:t>
            </w:r>
            <w:r>
              <w:rPr>
                <w:rFonts w:hint="eastAsia" w:ascii="宋体" w:hAnsi="宋体" w:eastAsia="宋体" w:cs="宋体"/>
                <w:bCs/>
                <w:color w:val="000000"/>
                <w:sz w:val="24"/>
              </w:rPr>
              <w:t>0</w:t>
            </w:r>
            <w:r>
              <w:rPr>
                <w:rFonts w:ascii="宋体" w:hAnsi="宋体" w:eastAsia="宋体" w:cs="宋体"/>
                <w:bCs/>
                <w:color w:val="000000"/>
                <w:sz w:val="24"/>
              </w:rPr>
              <w:t>m</w:t>
            </w:r>
          </w:p>
        </w:tc>
        <w:tc>
          <w:tcPr>
            <w:tcW w:w="3044" w:type="dxa"/>
            <w:tcBorders>
              <w:top w:val="single" w:color="auto" w:sz="6" w:space="0"/>
              <w:left w:val="single" w:color="auto" w:sz="6" w:space="0"/>
              <w:bottom w:val="single" w:color="auto" w:sz="6" w:space="0"/>
              <w:right w:val="single" w:color="auto" w:sz="6" w:space="0"/>
            </w:tcBorders>
            <w:vAlign w:val="center"/>
          </w:tcPr>
          <w:p>
            <w:pPr>
              <w:spacing w:line="240" w:lineRule="atLeast"/>
              <w:jc w:val="center"/>
              <w:rPr>
                <w:rFonts w:ascii="宋体" w:hAnsi="宋体" w:eastAsia="宋体"/>
                <w:sz w:val="24"/>
              </w:rPr>
            </w:pPr>
            <w:r>
              <w:rPr>
                <w:rFonts w:hint="eastAsia" w:ascii="宋体" w:hAnsi="宋体" w:eastAsia="宋体" w:cs="宋体"/>
                <w:bCs/>
                <w:color w:val="000000"/>
                <w:sz w:val="24"/>
              </w:rPr>
              <w:t>工业新水管道S1，管径DN900，</w:t>
            </w:r>
            <w:r>
              <w:rPr>
                <w:rFonts w:ascii="宋体" w:hAnsi="宋体" w:eastAsia="宋体" w:cs="宋体"/>
                <w:bCs/>
                <w:color w:val="000000"/>
                <w:sz w:val="24"/>
              </w:rPr>
              <w:t>长度28</w:t>
            </w:r>
            <w:r>
              <w:rPr>
                <w:rFonts w:hint="eastAsia" w:ascii="宋体" w:hAnsi="宋体" w:eastAsia="宋体" w:cs="宋体"/>
                <w:bCs/>
                <w:color w:val="000000"/>
                <w:sz w:val="24"/>
              </w:rPr>
              <w:t>0</w:t>
            </w:r>
            <w:r>
              <w:rPr>
                <w:rFonts w:ascii="宋体" w:hAnsi="宋体" w:eastAsia="宋体" w:cs="宋体"/>
                <w:bCs/>
                <w:color w:val="000000"/>
                <w:sz w:val="24"/>
              </w:rPr>
              <w:t>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宋体"/>
                <w:color w:val="000000"/>
                <w:sz w:val="24"/>
              </w:rPr>
            </w:pPr>
            <w:r>
              <w:rPr>
                <w:rFonts w:hint="eastAsia" w:ascii="宋体" w:hAnsi="宋体" w:eastAsia="宋体" w:cs="宋体"/>
                <w:color w:val="000000"/>
                <w:sz w:val="24"/>
              </w:rPr>
              <w:t>工业循环水管S4</w:t>
            </w:r>
            <w:r>
              <w:rPr>
                <w:rFonts w:hint="eastAsia" w:ascii="宋体" w:hAnsi="宋体" w:eastAsia="宋体" w:cs="宋体"/>
                <w:bCs/>
                <w:color w:val="000000"/>
                <w:sz w:val="24"/>
              </w:rPr>
              <w:t>，管径DN</w:t>
            </w:r>
            <w:r>
              <w:rPr>
                <w:rFonts w:ascii="宋体" w:hAnsi="宋体" w:eastAsia="宋体" w:cs="宋体"/>
                <w:bCs/>
                <w:color w:val="000000"/>
                <w:sz w:val="24"/>
              </w:rPr>
              <w:t>5</w:t>
            </w:r>
            <w:r>
              <w:rPr>
                <w:rFonts w:hint="eastAsia" w:ascii="宋体" w:hAnsi="宋体" w:eastAsia="宋体" w:cs="宋体"/>
                <w:bCs/>
                <w:color w:val="000000"/>
                <w:sz w:val="24"/>
              </w:rPr>
              <w:t>00，</w:t>
            </w:r>
            <w:r>
              <w:rPr>
                <w:rFonts w:ascii="宋体" w:hAnsi="宋体" w:eastAsia="宋体" w:cs="宋体"/>
                <w:bCs/>
                <w:color w:val="000000"/>
                <w:sz w:val="24"/>
              </w:rPr>
              <w:t>长度28</w:t>
            </w:r>
            <w:r>
              <w:rPr>
                <w:rFonts w:hint="eastAsia" w:ascii="宋体" w:hAnsi="宋体" w:eastAsia="宋体" w:cs="宋体"/>
                <w:bCs/>
                <w:color w:val="000000"/>
                <w:sz w:val="24"/>
              </w:rPr>
              <w:t>0</w:t>
            </w:r>
            <w:r>
              <w:rPr>
                <w:rFonts w:ascii="宋体" w:hAnsi="宋体" w:eastAsia="宋体" w:cs="宋体"/>
                <w:bCs/>
                <w:color w:val="000000"/>
                <w:sz w:val="24"/>
              </w:rPr>
              <w:t>m</w:t>
            </w:r>
          </w:p>
        </w:tc>
        <w:tc>
          <w:tcPr>
            <w:tcW w:w="304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sz w:val="24"/>
              </w:rPr>
            </w:pPr>
            <w:r>
              <w:rPr>
                <w:rFonts w:hint="eastAsia" w:ascii="宋体" w:hAnsi="宋体" w:eastAsia="宋体" w:cs="宋体"/>
                <w:color w:val="000000"/>
                <w:sz w:val="24"/>
              </w:rPr>
              <w:t>工业循环水管S4</w:t>
            </w:r>
            <w:r>
              <w:rPr>
                <w:rFonts w:hint="eastAsia" w:ascii="宋体" w:hAnsi="宋体" w:eastAsia="宋体" w:cs="宋体"/>
                <w:bCs/>
                <w:color w:val="000000"/>
                <w:sz w:val="24"/>
              </w:rPr>
              <w:t>，管径DN</w:t>
            </w:r>
            <w:r>
              <w:rPr>
                <w:rFonts w:ascii="宋体" w:hAnsi="宋体" w:eastAsia="宋体" w:cs="宋体"/>
                <w:bCs/>
                <w:color w:val="000000"/>
                <w:sz w:val="24"/>
              </w:rPr>
              <w:t>5</w:t>
            </w:r>
            <w:r>
              <w:rPr>
                <w:rFonts w:hint="eastAsia" w:ascii="宋体" w:hAnsi="宋体" w:eastAsia="宋体" w:cs="宋体"/>
                <w:bCs/>
                <w:color w:val="000000"/>
                <w:sz w:val="24"/>
              </w:rPr>
              <w:t>00，</w:t>
            </w:r>
            <w:r>
              <w:rPr>
                <w:rFonts w:ascii="宋体" w:hAnsi="宋体" w:eastAsia="宋体" w:cs="宋体"/>
                <w:bCs/>
                <w:color w:val="000000"/>
                <w:sz w:val="24"/>
              </w:rPr>
              <w:t>长度28</w:t>
            </w:r>
            <w:r>
              <w:rPr>
                <w:rFonts w:hint="eastAsia" w:ascii="宋体" w:hAnsi="宋体" w:eastAsia="宋体" w:cs="宋体"/>
                <w:bCs/>
                <w:color w:val="000000"/>
                <w:sz w:val="24"/>
              </w:rPr>
              <w:t>0</w:t>
            </w:r>
            <w:r>
              <w:rPr>
                <w:rFonts w:ascii="宋体" w:hAnsi="宋体" w:eastAsia="宋体" w:cs="宋体"/>
                <w:bCs/>
                <w:color w:val="000000"/>
                <w:sz w:val="24"/>
              </w:rPr>
              <w:t>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宋体"/>
                <w:color w:val="000000"/>
                <w:sz w:val="24"/>
              </w:rPr>
            </w:pPr>
            <w:r>
              <w:rPr>
                <w:rFonts w:hint="eastAsia" w:ascii="宋体" w:hAnsi="宋体" w:eastAsia="宋体" w:cs="宋体"/>
                <w:color w:val="000000"/>
                <w:sz w:val="24"/>
              </w:rPr>
              <w:t>污水四期出水至联合泵站管P</w:t>
            </w:r>
            <w:r>
              <w:rPr>
                <w:rFonts w:hint="eastAsia" w:ascii="宋体" w:hAnsi="宋体" w:eastAsia="宋体" w:cs="宋体"/>
                <w:bCs/>
                <w:color w:val="000000"/>
                <w:sz w:val="24"/>
              </w:rPr>
              <w:t>，管径DN</w:t>
            </w:r>
            <w:r>
              <w:rPr>
                <w:rFonts w:ascii="宋体" w:hAnsi="宋体" w:eastAsia="宋体" w:cs="宋体"/>
                <w:bCs/>
                <w:color w:val="000000"/>
                <w:sz w:val="24"/>
              </w:rPr>
              <w:t>7</w:t>
            </w:r>
            <w:r>
              <w:rPr>
                <w:rFonts w:hint="eastAsia" w:ascii="宋体" w:hAnsi="宋体" w:eastAsia="宋体" w:cs="宋体"/>
                <w:bCs/>
                <w:color w:val="000000"/>
                <w:sz w:val="24"/>
              </w:rPr>
              <w:t>00，</w:t>
            </w:r>
            <w:r>
              <w:rPr>
                <w:rFonts w:ascii="宋体" w:hAnsi="宋体" w:eastAsia="宋体" w:cs="宋体"/>
                <w:bCs/>
                <w:color w:val="000000"/>
                <w:sz w:val="24"/>
              </w:rPr>
              <w:t>长度115m</w:t>
            </w:r>
          </w:p>
        </w:tc>
        <w:tc>
          <w:tcPr>
            <w:tcW w:w="304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sz w:val="24"/>
              </w:rPr>
            </w:pPr>
            <w:r>
              <w:rPr>
                <w:rFonts w:hint="eastAsia" w:ascii="宋体" w:hAnsi="宋体" w:eastAsia="宋体" w:cs="宋体"/>
                <w:color w:val="000000"/>
                <w:sz w:val="24"/>
              </w:rPr>
              <w:t>污水四期出水至联合泵站管P</w:t>
            </w:r>
            <w:r>
              <w:rPr>
                <w:rFonts w:hint="eastAsia" w:ascii="宋体" w:hAnsi="宋体" w:eastAsia="宋体" w:cs="宋体"/>
                <w:bCs/>
                <w:color w:val="000000"/>
                <w:sz w:val="24"/>
              </w:rPr>
              <w:t>，管径DN</w:t>
            </w:r>
            <w:r>
              <w:rPr>
                <w:rFonts w:ascii="宋体" w:hAnsi="宋体" w:eastAsia="宋体" w:cs="宋体"/>
                <w:bCs/>
                <w:color w:val="000000"/>
                <w:sz w:val="24"/>
              </w:rPr>
              <w:t>7</w:t>
            </w:r>
            <w:r>
              <w:rPr>
                <w:rFonts w:hint="eastAsia" w:ascii="宋体" w:hAnsi="宋体" w:eastAsia="宋体" w:cs="宋体"/>
                <w:bCs/>
                <w:color w:val="000000"/>
                <w:sz w:val="24"/>
              </w:rPr>
              <w:t>00，</w:t>
            </w:r>
            <w:r>
              <w:rPr>
                <w:rFonts w:ascii="宋体" w:hAnsi="宋体" w:eastAsia="宋体" w:cs="宋体"/>
                <w:bCs/>
                <w:color w:val="000000"/>
                <w:sz w:val="24"/>
              </w:rPr>
              <w:t>长度115m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宋体"/>
                <w:color w:val="000000"/>
                <w:sz w:val="24"/>
              </w:rPr>
            </w:pPr>
            <w:r>
              <w:rPr>
                <w:rFonts w:hint="eastAsia" w:ascii="宋体" w:hAnsi="宋体" w:eastAsia="宋体" w:cs="宋体"/>
                <w:bCs/>
                <w:color w:val="000000"/>
                <w:sz w:val="24"/>
              </w:rPr>
              <w:t>水源管道SY，管径DN</w:t>
            </w:r>
            <w:r>
              <w:rPr>
                <w:rFonts w:ascii="宋体" w:hAnsi="宋体" w:eastAsia="宋体" w:cs="宋体"/>
                <w:bCs/>
                <w:color w:val="000000"/>
                <w:sz w:val="24"/>
              </w:rPr>
              <w:t>1000</w:t>
            </w:r>
            <w:r>
              <w:rPr>
                <w:rFonts w:hint="eastAsia" w:ascii="宋体" w:hAnsi="宋体" w:eastAsia="宋体" w:cs="宋体"/>
                <w:bCs/>
                <w:color w:val="000000"/>
                <w:sz w:val="24"/>
              </w:rPr>
              <w:t>，</w:t>
            </w:r>
            <w:r>
              <w:rPr>
                <w:rFonts w:ascii="宋体" w:hAnsi="宋体" w:eastAsia="宋体" w:cs="宋体"/>
                <w:bCs/>
                <w:color w:val="000000"/>
                <w:sz w:val="24"/>
              </w:rPr>
              <w:t>长度10</w:t>
            </w:r>
            <w:r>
              <w:rPr>
                <w:rFonts w:hint="eastAsia" w:ascii="宋体" w:hAnsi="宋体" w:eastAsia="宋体" w:cs="宋体"/>
                <w:bCs/>
                <w:color w:val="000000"/>
                <w:sz w:val="24"/>
              </w:rPr>
              <w:t>0</w:t>
            </w:r>
            <w:r>
              <w:rPr>
                <w:rFonts w:ascii="宋体" w:hAnsi="宋体" w:eastAsia="宋体" w:cs="宋体"/>
                <w:bCs/>
                <w:color w:val="000000"/>
                <w:sz w:val="24"/>
              </w:rPr>
              <w:t>m</w:t>
            </w:r>
          </w:p>
        </w:tc>
        <w:tc>
          <w:tcPr>
            <w:tcW w:w="304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sz w:val="24"/>
              </w:rPr>
            </w:pPr>
            <w:r>
              <w:rPr>
                <w:rFonts w:hint="eastAsia" w:ascii="宋体" w:hAnsi="宋体" w:eastAsia="宋体" w:cs="宋体"/>
                <w:bCs/>
                <w:color w:val="000000"/>
                <w:sz w:val="24"/>
              </w:rPr>
              <w:t>水源管道SY，管径DN</w:t>
            </w:r>
            <w:r>
              <w:rPr>
                <w:rFonts w:ascii="宋体" w:hAnsi="宋体" w:eastAsia="宋体" w:cs="宋体"/>
                <w:bCs/>
                <w:color w:val="000000"/>
                <w:sz w:val="24"/>
              </w:rPr>
              <w:t>1000</w:t>
            </w:r>
            <w:r>
              <w:rPr>
                <w:rFonts w:hint="eastAsia" w:ascii="宋体" w:hAnsi="宋体" w:eastAsia="宋体" w:cs="宋体"/>
                <w:bCs/>
                <w:color w:val="000000"/>
                <w:sz w:val="24"/>
              </w:rPr>
              <w:t>，</w:t>
            </w:r>
            <w:r>
              <w:rPr>
                <w:rFonts w:ascii="宋体" w:hAnsi="宋体" w:eastAsia="宋体" w:cs="宋体"/>
                <w:bCs/>
                <w:color w:val="000000"/>
                <w:sz w:val="24"/>
              </w:rPr>
              <w:t>长度10</w:t>
            </w:r>
            <w:r>
              <w:rPr>
                <w:rFonts w:hint="eastAsia" w:ascii="宋体" w:hAnsi="宋体" w:eastAsia="宋体" w:cs="宋体"/>
                <w:bCs/>
                <w:color w:val="000000"/>
                <w:sz w:val="24"/>
              </w:rPr>
              <w:t>0</w:t>
            </w:r>
            <w:r>
              <w:rPr>
                <w:rFonts w:ascii="宋体" w:hAnsi="宋体" w:eastAsia="宋体" w:cs="宋体"/>
                <w:bCs/>
                <w:color w:val="000000"/>
                <w:sz w:val="24"/>
              </w:rPr>
              <w:t>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left w:val="single" w:color="auto" w:sz="12" w:space="0"/>
              <w:bottom w:val="single" w:color="auto" w:sz="6" w:space="0"/>
              <w:right w:val="single" w:color="auto" w:sz="6" w:space="0"/>
            </w:tcBorders>
            <w:vAlign w:val="center"/>
          </w:tcPr>
          <w:p>
            <w:pPr>
              <w:pStyle w:val="10"/>
              <w:snapToGrid w:val="0"/>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宋体"/>
                <w:color w:val="000000"/>
                <w:sz w:val="24"/>
              </w:rPr>
            </w:pPr>
            <w:r>
              <w:rPr>
                <w:rFonts w:hint="eastAsia" w:ascii="宋体" w:hAnsi="宋体" w:eastAsia="宋体" w:cs="宋体"/>
                <w:bCs/>
                <w:color w:val="000000"/>
                <w:sz w:val="24"/>
              </w:rPr>
              <w:t>污水五期泥管道，管径DN</w:t>
            </w:r>
            <w:r>
              <w:rPr>
                <w:rFonts w:ascii="宋体" w:hAnsi="宋体" w:eastAsia="宋体" w:cs="宋体"/>
                <w:bCs/>
                <w:color w:val="000000"/>
                <w:sz w:val="24"/>
              </w:rPr>
              <w:t>225</w:t>
            </w:r>
            <w:r>
              <w:rPr>
                <w:rFonts w:hint="eastAsia" w:ascii="宋体" w:hAnsi="宋体" w:eastAsia="宋体" w:cs="宋体"/>
                <w:bCs/>
                <w:color w:val="000000"/>
                <w:sz w:val="24"/>
              </w:rPr>
              <w:t>，</w:t>
            </w:r>
            <w:r>
              <w:rPr>
                <w:rFonts w:ascii="宋体" w:hAnsi="宋体" w:eastAsia="宋体" w:cs="宋体"/>
                <w:bCs/>
                <w:color w:val="000000"/>
                <w:sz w:val="24"/>
              </w:rPr>
              <w:t>长度18</w:t>
            </w:r>
            <w:r>
              <w:rPr>
                <w:rFonts w:hint="eastAsia" w:ascii="宋体" w:hAnsi="宋体" w:eastAsia="宋体" w:cs="宋体"/>
                <w:bCs/>
                <w:color w:val="000000"/>
                <w:sz w:val="24"/>
              </w:rPr>
              <w:t>0</w:t>
            </w:r>
            <w:r>
              <w:rPr>
                <w:rFonts w:ascii="宋体" w:hAnsi="宋体" w:eastAsia="宋体" w:cs="宋体"/>
                <w:bCs/>
                <w:color w:val="000000"/>
                <w:sz w:val="24"/>
              </w:rPr>
              <w:t>m</w:t>
            </w:r>
          </w:p>
        </w:tc>
        <w:tc>
          <w:tcPr>
            <w:tcW w:w="304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sz w:val="24"/>
              </w:rPr>
            </w:pPr>
            <w:r>
              <w:rPr>
                <w:rFonts w:hint="eastAsia" w:ascii="宋体" w:hAnsi="宋体" w:eastAsia="宋体" w:cs="宋体"/>
                <w:bCs/>
                <w:color w:val="000000"/>
                <w:sz w:val="24"/>
              </w:rPr>
              <w:t>污水五期泥管道，管径DN</w:t>
            </w:r>
            <w:r>
              <w:rPr>
                <w:rFonts w:ascii="宋体" w:hAnsi="宋体" w:eastAsia="宋体" w:cs="宋体"/>
                <w:bCs/>
                <w:color w:val="000000"/>
                <w:sz w:val="24"/>
              </w:rPr>
              <w:t>225</w:t>
            </w:r>
            <w:r>
              <w:rPr>
                <w:rFonts w:hint="eastAsia" w:ascii="宋体" w:hAnsi="宋体" w:eastAsia="宋体" w:cs="宋体"/>
                <w:bCs/>
                <w:color w:val="000000"/>
                <w:sz w:val="24"/>
              </w:rPr>
              <w:t>，</w:t>
            </w:r>
            <w:r>
              <w:rPr>
                <w:rFonts w:ascii="宋体" w:hAnsi="宋体" w:eastAsia="宋体" w:cs="宋体"/>
                <w:bCs/>
                <w:color w:val="000000"/>
                <w:sz w:val="24"/>
              </w:rPr>
              <w:t>长度18</w:t>
            </w:r>
            <w:r>
              <w:rPr>
                <w:rFonts w:hint="eastAsia" w:ascii="宋体" w:hAnsi="宋体" w:eastAsia="宋体" w:cs="宋体"/>
                <w:bCs/>
                <w:color w:val="000000"/>
                <w:sz w:val="24"/>
              </w:rPr>
              <w:t>0</w:t>
            </w:r>
            <w:r>
              <w:rPr>
                <w:rFonts w:ascii="宋体" w:hAnsi="宋体" w:eastAsia="宋体" w:cs="宋体"/>
                <w:bCs/>
                <w:color w:val="000000"/>
                <w:sz w:val="24"/>
              </w:rPr>
              <w:t>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sz w:val="24"/>
                <w:szCs w:val="24"/>
              </w:rPr>
            </w:pPr>
            <w:r>
              <w:rPr>
                <w:rFonts w:hint="eastAsia" w:ascii="宋体" w:hAnsi="宋体" w:eastAsia="宋体"/>
                <w:color w:val="000000"/>
                <w:sz w:val="24"/>
                <w:szCs w:val="24"/>
              </w:rPr>
              <w:t>一致</w:t>
            </w:r>
          </w:p>
        </w:tc>
      </w:tr>
    </w:tbl>
    <w:p>
      <w:pPr>
        <w:rPr>
          <w:rFonts w:hint="eastAsia" w:ascii="宋体" w:hAnsi="宋体" w:eastAsia="宋体"/>
        </w:rPr>
      </w:pPr>
    </w:p>
    <w:tbl>
      <w:tblPr>
        <w:tblStyle w:val="21"/>
        <w:tblpPr w:leftFromText="180" w:rightFromText="180" w:vertAnchor="text" w:horzAnchor="page" w:tblpX="1562" w:tblpY="297"/>
        <w:tblOverlap w:val="never"/>
        <w:tblW w:w="9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938"/>
        <w:gridCol w:w="1015"/>
        <w:gridCol w:w="2468"/>
        <w:gridCol w:w="304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blHeader/>
        </w:trPr>
        <w:tc>
          <w:tcPr>
            <w:tcW w:w="9034" w:type="dxa"/>
            <w:gridSpan w:val="6"/>
            <w:tcBorders>
              <w:top w:val="nil"/>
              <w:left w:val="nil"/>
              <w:bottom w:val="single" w:color="auto" w:sz="12" w:space="0"/>
              <w:right w:val="nil"/>
            </w:tcBorders>
            <w:vAlign w:val="center"/>
          </w:tcPr>
          <w:p>
            <w:pPr>
              <w:pStyle w:val="10"/>
              <w:adjustRightInd w:val="0"/>
              <w:snapToGrid w:val="0"/>
              <w:spacing w:line="240" w:lineRule="atLeast"/>
              <w:ind w:firstLine="0"/>
              <w:jc w:val="center"/>
              <w:rPr>
                <w:rFonts w:ascii="宋体" w:hAnsi="宋体" w:eastAsia="宋体"/>
                <w:b/>
                <w:szCs w:val="21"/>
              </w:rPr>
            </w:pPr>
            <w:r>
              <w:rPr>
                <w:rFonts w:ascii="宋体" w:hAnsi="宋体" w:eastAsia="宋体"/>
                <w:b/>
                <w:color w:val="000000"/>
                <w:sz w:val="24"/>
              </w:rPr>
              <w:t>表1  项目组成及建设内容</w:t>
            </w:r>
            <w:r>
              <w:rPr>
                <w:rFonts w:hint="eastAsia" w:ascii="宋体" w:hAnsi="宋体" w:eastAsia="宋体"/>
                <w:b/>
                <w:color w:val="000000"/>
                <w:sz w:val="24"/>
              </w:rPr>
              <w:t>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blHeader/>
        </w:trPr>
        <w:tc>
          <w:tcPr>
            <w:tcW w:w="769" w:type="dxa"/>
            <w:tcBorders>
              <w:top w:val="single" w:color="auto" w:sz="12" w:space="0"/>
              <w:left w:val="single" w:color="auto" w:sz="12"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类别</w:t>
            </w:r>
          </w:p>
        </w:tc>
        <w:tc>
          <w:tcPr>
            <w:tcW w:w="1953" w:type="dxa"/>
            <w:gridSpan w:val="2"/>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hint="eastAsia" w:ascii="宋体" w:hAnsi="宋体" w:eastAsia="宋体"/>
                <w:b/>
                <w:color w:val="000000"/>
                <w:sz w:val="24"/>
              </w:rPr>
              <w:t>系统</w:t>
            </w:r>
          </w:p>
        </w:tc>
        <w:tc>
          <w:tcPr>
            <w:tcW w:w="2468"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环评阶段设计</w:t>
            </w:r>
          </w:p>
        </w:tc>
        <w:tc>
          <w:tcPr>
            <w:tcW w:w="3044"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实际建设</w:t>
            </w:r>
          </w:p>
        </w:tc>
        <w:tc>
          <w:tcPr>
            <w:tcW w:w="800" w:type="dxa"/>
            <w:tcBorders>
              <w:top w:val="single" w:color="auto" w:sz="12" w:space="0"/>
              <w:left w:val="single" w:color="auto" w:sz="6" w:space="0"/>
              <w:bottom w:val="single" w:color="auto" w:sz="12" w:space="0"/>
              <w:right w:val="single" w:color="auto" w:sz="12" w:space="0"/>
            </w:tcBorders>
            <w:vAlign w:val="center"/>
          </w:tcPr>
          <w:p>
            <w:pPr>
              <w:pStyle w:val="10"/>
              <w:snapToGrid w:val="0"/>
              <w:ind w:firstLine="0"/>
              <w:jc w:val="center"/>
              <w:rPr>
                <w:rFonts w:ascii="宋体" w:hAnsi="宋体" w:eastAsia="宋体"/>
                <w:b/>
                <w:sz w:val="24"/>
              </w:rPr>
            </w:pPr>
            <w:r>
              <w:rPr>
                <w:rFonts w:ascii="宋体" w:hAnsi="宋体" w:eastAsia="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r>
              <w:rPr>
                <w:rFonts w:hint="eastAsia" w:ascii="宋体" w:hAnsi="宋体" w:eastAsia="宋体" w:cs="宋体"/>
                <w:color w:val="000000"/>
                <w:sz w:val="24"/>
              </w:rPr>
              <w:t>主体工程</w:t>
            </w:r>
          </w:p>
        </w:tc>
        <w:tc>
          <w:tcPr>
            <w:tcW w:w="938"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1015"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color w:val="000000"/>
                <w:sz w:val="24"/>
              </w:rPr>
              <w:t>污水四期泥管道</w:t>
            </w:r>
            <w:r>
              <w:rPr>
                <w:rFonts w:hint="eastAsia" w:ascii="宋体" w:hAnsi="宋体" w:eastAsia="宋体" w:cs="宋体"/>
                <w:bCs/>
                <w:color w:val="000000"/>
                <w:sz w:val="24"/>
              </w:rPr>
              <w:t>，管径DN</w:t>
            </w:r>
            <w:r>
              <w:rPr>
                <w:rFonts w:ascii="宋体" w:hAnsi="宋体" w:eastAsia="宋体" w:cs="宋体"/>
                <w:bCs/>
                <w:color w:val="000000"/>
                <w:sz w:val="24"/>
              </w:rPr>
              <w:t>2</w:t>
            </w:r>
            <w:r>
              <w:rPr>
                <w:rFonts w:hint="eastAsia" w:ascii="宋体" w:hAnsi="宋体" w:eastAsia="宋体" w:cs="宋体"/>
                <w:bCs/>
                <w:color w:val="000000"/>
                <w:sz w:val="24"/>
              </w:rPr>
              <w:t>00，</w:t>
            </w:r>
            <w:r>
              <w:rPr>
                <w:rFonts w:ascii="宋体" w:hAnsi="宋体" w:eastAsia="宋体" w:cs="宋体"/>
                <w:bCs/>
                <w:color w:val="000000"/>
                <w:sz w:val="24"/>
              </w:rPr>
              <w:t>长度80m</w:t>
            </w:r>
          </w:p>
        </w:tc>
        <w:tc>
          <w:tcPr>
            <w:tcW w:w="304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sz w:val="24"/>
              </w:rPr>
            </w:pPr>
            <w:r>
              <w:rPr>
                <w:rFonts w:hint="eastAsia" w:ascii="宋体" w:hAnsi="宋体" w:eastAsia="宋体" w:cs="宋体"/>
                <w:color w:val="000000"/>
                <w:sz w:val="24"/>
              </w:rPr>
              <w:t>污水四期泥管道</w:t>
            </w:r>
            <w:r>
              <w:rPr>
                <w:rFonts w:hint="eastAsia" w:ascii="宋体" w:hAnsi="宋体" w:eastAsia="宋体" w:cs="宋体"/>
                <w:bCs/>
                <w:color w:val="000000"/>
                <w:sz w:val="24"/>
              </w:rPr>
              <w:t>，管径DN</w:t>
            </w:r>
            <w:r>
              <w:rPr>
                <w:rFonts w:ascii="宋体" w:hAnsi="宋体" w:eastAsia="宋体" w:cs="宋体"/>
                <w:bCs/>
                <w:color w:val="000000"/>
                <w:sz w:val="24"/>
              </w:rPr>
              <w:t>2</w:t>
            </w:r>
            <w:r>
              <w:rPr>
                <w:rFonts w:hint="eastAsia" w:ascii="宋体" w:hAnsi="宋体" w:eastAsia="宋体" w:cs="宋体"/>
                <w:bCs/>
                <w:color w:val="000000"/>
                <w:sz w:val="24"/>
              </w:rPr>
              <w:t>00，</w:t>
            </w:r>
            <w:r>
              <w:rPr>
                <w:rFonts w:ascii="宋体" w:hAnsi="宋体" w:eastAsia="宋体" w:cs="宋体"/>
                <w:bCs/>
                <w:color w:val="000000"/>
                <w:sz w:val="24"/>
              </w:rPr>
              <w:t>长度80m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938"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color w:val="000000"/>
                <w:sz w:val="24"/>
              </w:rPr>
              <w:t>污水四期出水至二膜输水管线管道</w:t>
            </w:r>
            <w:r>
              <w:rPr>
                <w:rFonts w:hint="eastAsia" w:ascii="宋体" w:hAnsi="宋体" w:eastAsia="宋体" w:cs="宋体"/>
                <w:bCs/>
                <w:color w:val="000000"/>
                <w:sz w:val="24"/>
              </w:rPr>
              <w:t>，管径DN</w:t>
            </w:r>
            <w:r>
              <w:rPr>
                <w:rFonts w:ascii="宋体" w:hAnsi="宋体" w:eastAsia="宋体" w:cs="宋体"/>
                <w:bCs/>
                <w:color w:val="000000"/>
                <w:sz w:val="24"/>
              </w:rPr>
              <w:t>7</w:t>
            </w:r>
            <w:r>
              <w:rPr>
                <w:rFonts w:hint="eastAsia" w:ascii="宋体" w:hAnsi="宋体" w:eastAsia="宋体" w:cs="宋体"/>
                <w:bCs/>
                <w:color w:val="000000"/>
                <w:sz w:val="24"/>
              </w:rPr>
              <w:t>00，</w:t>
            </w:r>
            <w:r>
              <w:rPr>
                <w:rFonts w:ascii="宋体" w:hAnsi="宋体" w:eastAsia="宋体" w:cs="宋体"/>
                <w:bCs/>
                <w:color w:val="000000"/>
                <w:sz w:val="24"/>
              </w:rPr>
              <w:t>长度100m</w:t>
            </w:r>
          </w:p>
        </w:tc>
        <w:tc>
          <w:tcPr>
            <w:tcW w:w="304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sz w:val="24"/>
              </w:rPr>
            </w:pPr>
            <w:r>
              <w:rPr>
                <w:rFonts w:hint="eastAsia" w:ascii="宋体" w:hAnsi="宋体" w:eastAsia="宋体" w:cs="宋体"/>
                <w:color w:val="000000"/>
                <w:sz w:val="24"/>
              </w:rPr>
              <w:t>污水四期出水至二膜输水管线管道</w:t>
            </w:r>
            <w:r>
              <w:rPr>
                <w:rFonts w:hint="eastAsia" w:ascii="宋体" w:hAnsi="宋体" w:eastAsia="宋体" w:cs="宋体"/>
                <w:bCs/>
                <w:color w:val="000000"/>
                <w:sz w:val="24"/>
              </w:rPr>
              <w:t>，管径DN</w:t>
            </w:r>
            <w:r>
              <w:rPr>
                <w:rFonts w:ascii="宋体" w:hAnsi="宋体" w:eastAsia="宋体" w:cs="宋体"/>
                <w:bCs/>
                <w:color w:val="000000"/>
                <w:sz w:val="24"/>
              </w:rPr>
              <w:t>7</w:t>
            </w:r>
            <w:r>
              <w:rPr>
                <w:rFonts w:hint="eastAsia" w:ascii="宋体" w:hAnsi="宋体" w:eastAsia="宋体" w:cs="宋体"/>
                <w:bCs/>
                <w:color w:val="000000"/>
                <w:sz w:val="24"/>
              </w:rPr>
              <w:t>00，</w:t>
            </w:r>
            <w:r>
              <w:rPr>
                <w:rFonts w:ascii="宋体" w:hAnsi="宋体" w:eastAsia="宋体" w:cs="宋体"/>
                <w:bCs/>
                <w:color w:val="000000"/>
                <w:sz w:val="24"/>
              </w:rPr>
              <w:t>长度100m</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1953" w:type="dxa"/>
            <w:gridSpan w:val="2"/>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四期生活污水系统污泥处理设施</w:t>
            </w:r>
          </w:p>
        </w:tc>
        <w:tc>
          <w:tcPr>
            <w:tcW w:w="246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长18.0m，宽6.0m，总占地面积108.0m</w:t>
            </w:r>
            <w:r>
              <w:rPr>
                <w:rFonts w:hint="eastAsia" w:ascii="宋体" w:hAnsi="宋体" w:eastAsia="宋体" w:cs="宋体"/>
                <w:bCs/>
                <w:color w:val="000000"/>
                <w:sz w:val="24"/>
                <w:vertAlign w:val="superscript"/>
              </w:rPr>
              <w:t>2</w:t>
            </w:r>
            <w:r>
              <w:rPr>
                <w:rFonts w:hint="eastAsia" w:ascii="宋体" w:hAnsi="宋体" w:eastAsia="宋体" w:cs="宋体"/>
                <w:bCs/>
                <w:color w:val="000000"/>
                <w:sz w:val="24"/>
              </w:rPr>
              <w:t>。设置有</w:t>
            </w:r>
            <w:r>
              <w:rPr>
                <w:rFonts w:ascii="宋体" w:hAnsi="宋体" w:eastAsia="宋体" w:cs="宋体"/>
                <w:bCs/>
                <w:color w:val="000000"/>
                <w:sz w:val="24"/>
              </w:rPr>
              <w:t>胶带机、斗式提升机等设备</w:t>
            </w:r>
          </w:p>
        </w:tc>
        <w:tc>
          <w:tcPr>
            <w:tcW w:w="304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长18.0m，宽6.0m，总占地面积108.0m</w:t>
            </w:r>
            <w:r>
              <w:rPr>
                <w:rFonts w:hint="eastAsia" w:ascii="宋体" w:hAnsi="宋体" w:eastAsia="宋体" w:cs="宋体"/>
                <w:bCs/>
                <w:color w:val="000000"/>
                <w:sz w:val="24"/>
                <w:vertAlign w:val="superscript"/>
              </w:rPr>
              <w:t>2</w:t>
            </w:r>
            <w:r>
              <w:rPr>
                <w:rFonts w:hint="eastAsia" w:ascii="宋体" w:hAnsi="宋体" w:eastAsia="宋体" w:cs="宋体"/>
                <w:bCs/>
                <w:color w:val="000000"/>
                <w:sz w:val="24"/>
              </w:rPr>
              <w:t>。设置有</w:t>
            </w:r>
            <w:r>
              <w:rPr>
                <w:rFonts w:ascii="宋体" w:hAnsi="宋体" w:eastAsia="宋体" w:cs="宋体"/>
                <w:bCs/>
                <w:color w:val="000000"/>
                <w:sz w:val="24"/>
              </w:rPr>
              <w:t>胶带机、斗式提升机等设备</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1953" w:type="dxa"/>
            <w:gridSpan w:val="2"/>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原煤</w:t>
            </w:r>
            <w:r>
              <w:rPr>
                <w:rFonts w:ascii="宋体" w:hAnsi="宋体" w:eastAsia="宋体" w:cs="宋体"/>
                <w:bCs/>
                <w:color w:val="000000"/>
                <w:sz w:val="24"/>
              </w:rPr>
              <w:t>输送依托现有的皮带走廊</w:t>
            </w:r>
          </w:p>
        </w:tc>
        <w:tc>
          <w:tcPr>
            <w:tcW w:w="304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原煤</w:t>
            </w:r>
            <w:r>
              <w:rPr>
                <w:rFonts w:ascii="宋体" w:hAnsi="宋体" w:eastAsia="宋体" w:cs="宋体"/>
                <w:bCs/>
                <w:color w:val="000000"/>
                <w:sz w:val="24"/>
              </w:rPr>
              <w:t>输送依托现有的皮带走廊</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0"/>
              <w:adjustRightInd w:val="0"/>
              <w:snapToGrid w:val="0"/>
              <w:spacing w:line="240" w:lineRule="atLeast"/>
              <w:ind w:firstLine="0"/>
              <w:jc w:val="center"/>
              <w:rPr>
                <w:rFonts w:ascii="宋体" w:hAnsi="宋体" w:eastAsia="宋体"/>
                <w:sz w:val="24"/>
              </w:rPr>
            </w:pPr>
          </w:p>
        </w:tc>
        <w:tc>
          <w:tcPr>
            <w:tcW w:w="1953" w:type="dxa"/>
            <w:gridSpan w:val="2"/>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p>
        </w:tc>
        <w:tc>
          <w:tcPr>
            <w:tcW w:w="246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煤棚</w:t>
            </w:r>
            <w:r>
              <w:rPr>
                <w:rFonts w:ascii="宋体" w:hAnsi="宋体" w:eastAsia="宋体" w:cs="宋体"/>
                <w:bCs/>
                <w:color w:val="000000"/>
                <w:sz w:val="24"/>
              </w:rPr>
              <w:t>依托</w:t>
            </w:r>
            <w:r>
              <w:rPr>
                <w:rFonts w:hint="eastAsia" w:ascii="宋体" w:hAnsi="宋体" w:eastAsia="宋体" w:cs="宋体"/>
                <w:bCs/>
                <w:color w:val="000000"/>
                <w:sz w:val="24"/>
              </w:rPr>
              <w:t>现有</w:t>
            </w:r>
            <w:r>
              <w:rPr>
                <w:rFonts w:ascii="宋体" w:hAnsi="宋体" w:eastAsia="宋体" w:cs="宋体"/>
                <w:bCs/>
                <w:color w:val="000000"/>
                <w:sz w:val="24"/>
              </w:rPr>
              <w:t>的干煤棚</w:t>
            </w:r>
          </w:p>
        </w:tc>
        <w:tc>
          <w:tcPr>
            <w:tcW w:w="304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color w:val="000000"/>
                <w:sz w:val="24"/>
              </w:rPr>
            </w:pPr>
            <w:r>
              <w:rPr>
                <w:rFonts w:hint="eastAsia" w:ascii="宋体" w:hAnsi="宋体" w:eastAsia="宋体" w:cs="宋体"/>
                <w:bCs/>
                <w:color w:val="000000"/>
                <w:sz w:val="24"/>
              </w:rPr>
              <w:t>煤棚</w:t>
            </w:r>
            <w:r>
              <w:rPr>
                <w:rFonts w:ascii="宋体" w:hAnsi="宋体" w:eastAsia="宋体" w:cs="宋体"/>
                <w:bCs/>
                <w:color w:val="000000"/>
                <w:sz w:val="24"/>
              </w:rPr>
              <w:t>依托</w:t>
            </w:r>
            <w:r>
              <w:rPr>
                <w:rFonts w:hint="eastAsia" w:ascii="宋体" w:hAnsi="宋体" w:eastAsia="宋体" w:cs="宋体"/>
                <w:bCs/>
                <w:color w:val="000000"/>
                <w:sz w:val="24"/>
              </w:rPr>
              <w:t>现有</w:t>
            </w:r>
            <w:r>
              <w:rPr>
                <w:rFonts w:ascii="宋体" w:hAnsi="宋体" w:eastAsia="宋体" w:cs="宋体"/>
                <w:bCs/>
                <w:color w:val="000000"/>
                <w:sz w:val="24"/>
              </w:rPr>
              <w:t>的干煤棚</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sz w:val="24"/>
              </w:rPr>
            </w:pPr>
            <w:r>
              <w:rPr>
                <w:rFonts w:hint="eastAsia" w:ascii="宋体" w:hAnsi="宋体" w:eastAsia="宋体" w:cs="宋体"/>
                <w:color w:val="000000"/>
                <w:sz w:val="24"/>
              </w:rPr>
              <w:t>储运工程</w:t>
            </w:r>
          </w:p>
        </w:tc>
        <w:tc>
          <w:tcPr>
            <w:tcW w:w="1953"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甲醇储罐</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包括容积</w:t>
            </w:r>
            <w:r>
              <w:rPr>
                <w:rFonts w:ascii="宋体" w:hAnsi="宋体" w:eastAsia="宋体"/>
                <w:color w:val="000000"/>
                <w:sz w:val="24"/>
                <w:szCs w:val="24"/>
              </w:rPr>
              <w:t>5</w:t>
            </w:r>
            <w:r>
              <w:rPr>
                <w:rFonts w:hint="eastAsia" w:ascii="宋体" w:hAnsi="宋体" w:eastAsia="宋体"/>
                <w:color w:val="000000"/>
                <w:sz w:val="24"/>
                <w:szCs w:val="24"/>
              </w:rPr>
              <w:t>0m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甲醇储罐一座，储罐周围设置</w:t>
            </w:r>
            <w:r>
              <w:rPr>
                <w:rFonts w:ascii="宋体" w:hAnsi="宋体" w:eastAsia="宋体"/>
                <w:color w:val="000000"/>
                <w:sz w:val="24"/>
                <w:szCs w:val="24"/>
              </w:rPr>
              <w:t>6</w:t>
            </w:r>
            <w:r>
              <w:rPr>
                <w:rFonts w:hint="eastAsia" w:ascii="宋体" w:hAnsi="宋体" w:eastAsia="宋体"/>
                <w:color w:val="000000"/>
                <w:sz w:val="24"/>
                <w:szCs w:val="24"/>
              </w:rPr>
              <w:t>×</w:t>
            </w:r>
            <w:r>
              <w:rPr>
                <w:rFonts w:ascii="宋体" w:hAnsi="宋体" w:eastAsia="宋体"/>
                <w:color w:val="000000"/>
                <w:sz w:val="24"/>
                <w:szCs w:val="24"/>
              </w:rPr>
              <w:t>6</w:t>
            </w:r>
            <w:r>
              <w:rPr>
                <w:rFonts w:hint="eastAsia" w:ascii="宋体" w:hAnsi="宋体" w:eastAsia="宋体"/>
                <w:color w:val="000000"/>
                <w:sz w:val="24"/>
                <w:szCs w:val="24"/>
              </w:rPr>
              <w:t>×1.6m围堤</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包括容积</w:t>
            </w:r>
            <w:r>
              <w:rPr>
                <w:rFonts w:ascii="宋体" w:hAnsi="宋体" w:eastAsia="宋体"/>
                <w:color w:val="000000"/>
                <w:sz w:val="24"/>
                <w:szCs w:val="24"/>
              </w:rPr>
              <w:t>5</w:t>
            </w:r>
            <w:r>
              <w:rPr>
                <w:rFonts w:hint="eastAsia" w:ascii="宋体" w:hAnsi="宋体" w:eastAsia="宋体"/>
                <w:color w:val="000000"/>
                <w:sz w:val="24"/>
                <w:szCs w:val="24"/>
              </w:rPr>
              <w:t>0m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甲醇储罐一座，储罐周围设置</w:t>
            </w:r>
            <w:r>
              <w:rPr>
                <w:rFonts w:ascii="宋体" w:hAnsi="宋体" w:eastAsia="宋体"/>
                <w:color w:val="000000"/>
                <w:sz w:val="24"/>
                <w:szCs w:val="24"/>
              </w:rPr>
              <w:t>6</w:t>
            </w:r>
            <w:r>
              <w:rPr>
                <w:rFonts w:hint="eastAsia" w:ascii="宋体" w:hAnsi="宋体" w:eastAsia="宋体"/>
                <w:color w:val="000000"/>
                <w:sz w:val="24"/>
                <w:szCs w:val="24"/>
              </w:rPr>
              <w:t>×</w:t>
            </w:r>
            <w:r>
              <w:rPr>
                <w:rFonts w:ascii="宋体" w:hAnsi="宋体" w:eastAsia="宋体"/>
                <w:color w:val="000000"/>
                <w:sz w:val="24"/>
                <w:szCs w:val="24"/>
              </w:rPr>
              <w:t>6</w:t>
            </w:r>
            <w:r>
              <w:rPr>
                <w:rFonts w:hint="eastAsia" w:ascii="宋体" w:hAnsi="宋体" w:eastAsia="宋体"/>
                <w:color w:val="000000"/>
                <w:sz w:val="24"/>
                <w:szCs w:val="24"/>
              </w:rPr>
              <w:t>×1.6m围堤</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sz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NaOH储罐</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15</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储罐，储罐周围设置</w:t>
            </w:r>
            <w:r>
              <w:rPr>
                <w:rFonts w:ascii="宋体" w:hAnsi="宋体" w:eastAsia="宋体"/>
                <w:color w:val="000000"/>
                <w:sz w:val="24"/>
                <w:szCs w:val="24"/>
              </w:rPr>
              <w:t>5</w:t>
            </w:r>
            <w:r>
              <w:rPr>
                <w:rFonts w:hint="eastAsia" w:ascii="宋体" w:hAnsi="宋体" w:eastAsia="宋体"/>
                <w:color w:val="000000"/>
                <w:sz w:val="24"/>
                <w:szCs w:val="24"/>
              </w:rPr>
              <w:t>m×</w:t>
            </w:r>
            <w:r>
              <w:rPr>
                <w:rFonts w:ascii="宋体" w:hAnsi="宋体" w:eastAsia="宋体"/>
                <w:color w:val="000000"/>
                <w:sz w:val="24"/>
                <w:szCs w:val="24"/>
              </w:rPr>
              <w:t>5</w:t>
            </w:r>
            <w:r>
              <w:rPr>
                <w:rFonts w:hint="eastAsia" w:ascii="宋体" w:hAnsi="宋体" w:eastAsia="宋体"/>
                <w:color w:val="000000"/>
                <w:sz w:val="24"/>
                <w:szCs w:val="24"/>
              </w:rPr>
              <w:t>m×1.6m围堤</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15</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储罐，储罐周围设置</w:t>
            </w:r>
            <w:r>
              <w:rPr>
                <w:rFonts w:ascii="宋体" w:hAnsi="宋体" w:eastAsia="宋体"/>
                <w:color w:val="000000"/>
                <w:sz w:val="24"/>
                <w:szCs w:val="24"/>
              </w:rPr>
              <w:t>5</w:t>
            </w:r>
            <w:r>
              <w:rPr>
                <w:rFonts w:hint="eastAsia" w:ascii="宋体" w:hAnsi="宋体" w:eastAsia="宋体"/>
                <w:color w:val="000000"/>
                <w:sz w:val="24"/>
                <w:szCs w:val="24"/>
              </w:rPr>
              <w:t>m×</w:t>
            </w:r>
            <w:r>
              <w:rPr>
                <w:rFonts w:ascii="宋体" w:hAnsi="宋体" w:eastAsia="宋体"/>
                <w:color w:val="000000"/>
                <w:sz w:val="24"/>
                <w:szCs w:val="24"/>
              </w:rPr>
              <w:t>5</w:t>
            </w:r>
            <w:r>
              <w:rPr>
                <w:rFonts w:hint="eastAsia" w:ascii="宋体" w:hAnsi="宋体" w:eastAsia="宋体"/>
                <w:color w:val="000000"/>
                <w:sz w:val="24"/>
                <w:szCs w:val="24"/>
              </w:rPr>
              <w:t>m×1.6m围堤</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ind w:right="8" w:rightChars="4" w:firstLine="562"/>
              <w:jc w:val="center"/>
              <w:rPr>
                <w:rFonts w:ascii="宋体" w:hAnsi="宋体" w:eastAsia="宋体"/>
                <w:sz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ascii="宋体" w:hAnsi="宋体" w:eastAsia="宋体"/>
                <w:color w:val="000000"/>
                <w:sz w:val="24"/>
              </w:rPr>
              <w:t>次氯酸钠</w:t>
            </w:r>
            <w:r>
              <w:rPr>
                <w:rFonts w:hint="eastAsia" w:ascii="宋体" w:hAnsi="宋体" w:eastAsia="宋体" w:cs="宋体"/>
                <w:color w:val="000000"/>
                <w:sz w:val="24"/>
              </w:rPr>
              <w:t>储罐</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储罐储罐，周围设置</w:t>
            </w:r>
            <w:r>
              <w:rPr>
                <w:rFonts w:ascii="宋体" w:hAnsi="宋体" w:eastAsia="宋体"/>
                <w:color w:val="000000"/>
                <w:sz w:val="24"/>
                <w:szCs w:val="24"/>
              </w:rPr>
              <w:t>5</w:t>
            </w:r>
            <w:r>
              <w:rPr>
                <w:rFonts w:hint="eastAsia" w:ascii="宋体" w:hAnsi="宋体" w:eastAsia="宋体"/>
                <w:color w:val="000000"/>
                <w:sz w:val="24"/>
                <w:szCs w:val="24"/>
              </w:rPr>
              <w:t>m×</w:t>
            </w:r>
            <w:r>
              <w:rPr>
                <w:rFonts w:ascii="宋体" w:hAnsi="宋体" w:eastAsia="宋体"/>
                <w:color w:val="000000"/>
                <w:sz w:val="24"/>
                <w:szCs w:val="24"/>
              </w:rPr>
              <w:t>5</w:t>
            </w:r>
            <w:r>
              <w:rPr>
                <w:rFonts w:hint="eastAsia" w:ascii="宋体" w:hAnsi="宋体" w:eastAsia="宋体"/>
                <w:color w:val="000000"/>
                <w:sz w:val="24"/>
                <w:szCs w:val="24"/>
              </w:rPr>
              <w:t>m×1.6m围堤</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储罐储罐，周围设置</w:t>
            </w:r>
            <w:r>
              <w:rPr>
                <w:rFonts w:ascii="宋体" w:hAnsi="宋体" w:eastAsia="宋体"/>
                <w:color w:val="000000"/>
                <w:sz w:val="24"/>
                <w:szCs w:val="24"/>
              </w:rPr>
              <w:t>5</w:t>
            </w:r>
            <w:r>
              <w:rPr>
                <w:rFonts w:hint="eastAsia" w:ascii="宋体" w:hAnsi="宋体" w:eastAsia="宋体"/>
                <w:color w:val="000000"/>
                <w:sz w:val="24"/>
                <w:szCs w:val="24"/>
              </w:rPr>
              <w:t>m×</w:t>
            </w:r>
            <w:r>
              <w:rPr>
                <w:rFonts w:ascii="宋体" w:hAnsi="宋体" w:eastAsia="宋体"/>
                <w:color w:val="000000"/>
                <w:sz w:val="24"/>
                <w:szCs w:val="24"/>
              </w:rPr>
              <w:t>5</w:t>
            </w:r>
            <w:r>
              <w:rPr>
                <w:rFonts w:hint="eastAsia" w:ascii="宋体" w:hAnsi="宋体" w:eastAsia="宋体"/>
                <w:color w:val="000000"/>
                <w:sz w:val="24"/>
                <w:szCs w:val="24"/>
              </w:rPr>
              <w:t>m×1.6m围堤</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ind w:right="8" w:rightChars="4" w:firstLine="562"/>
              <w:jc w:val="center"/>
              <w:rPr>
                <w:rFonts w:ascii="宋体" w:hAnsi="宋体" w:eastAsia="宋体"/>
                <w:sz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olor w:val="000000"/>
                <w:sz w:val="24"/>
              </w:rPr>
              <w:t>除磷药剂储罐</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ind w:right="8" w:rightChars="4" w:firstLine="562"/>
              <w:jc w:val="center"/>
              <w:rPr>
                <w:rFonts w:ascii="宋体" w:hAnsi="宋体" w:eastAsia="宋体"/>
                <w:sz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8" w:rightChars="4"/>
              <w:jc w:val="center"/>
              <w:rPr>
                <w:rFonts w:ascii="宋体" w:hAnsi="宋体" w:eastAsia="宋体" w:cs="宋体"/>
                <w:color w:val="000000"/>
                <w:sz w:val="24"/>
              </w:rPr>
            </w:pPr>
            <w:r>
              <w:rPr>
                <w:rFonts w:hint="eastAsia" w:ascii="宋体" w:hAnsi="宋体" w:eastAsia="宋体" w:cs="宋体"/>
                <w:color w:val="000000"/>
                <w:sz w:val="24"/>
              </w:rPr>
              <w:t>P</w:t>
            </w:r>
            <w:r>
              <w:rPr>
                <w:rFonts w:ascii="宋体" w:hAnsi="宋体" w:eastAsia="宋体" w:cs="宋体"/>
                <w:color w:val="000000"/>
                <w:sz w:val="24"/>
              </w:rPr>
              <w:t>AC</w:t>
            </w:r>
            <w:r>
              <w:rPr>
                <w:rFonts w:hint="eastAsia" w:ascii="宋体" w:hAnsi="宋体" w:eastAsia="宋体" w:cs="宋体"/>
                <w:color w:val="000000"/>
                <w:sz w:val="24"/>
              </w:rPr>
              <w:t>储罐</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s="宋体"/>
                <w:color w:val="000000"/>
                <w:sz w:val="24"/>
                <w:szCs w:val="24"/>
              </w:rPr>
            </w:pPr>
            <w:r>
              <w:rPr>
                <w:rFonts w:hint="eastAsia" w:ascii="宋体" w:hAnsi="宋体" w:eastAsia="宋体"/>
                <w:color w:val="000000"/>
                <w:sz w:val="24"/>
                <w:szCs w:val="24"/>
              </w:rPr>
              <w:t>1个容积</w:t>
            </w:r>
            <w:r>
              <w:rPr>
                <w:rFonts w:ascii="宋体" w:hAnsi="宋体" w:eastAsia="宋体"/>
                <w:color w:val="000000"/>
                <w:sz w:val="24"/>
                <w:szCs w:val="24"/>
              </w:rPr>
              <w:t>8</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储罐</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bottom w:val="single" w:color="auto" w:sz="6" w:space="0"/>
              <w:right w:val="single" w:color="auto" w:sz="6" w:space="0"/>
            </w:tcBorders>
            <w:vAlign w:val="center"/>
          </w:tcPr>
          <w:p>
            <w:pPr>
              <w:pStyle w:val="12"/>
              <w:adjustRightInd w:val="0"/>
              <w:snapToGrid w:val="0"/>
              <w:spacing w:line="240" w:lineRule="atLeast"/>
              <w:ind w:right="8" w:rightChars="4"/>
              <w:rPr>
                <w:rFonts w:ascii="宋体" w:hAnsi="宋体" w:eastAsia="宋体"/>
                <w:sz w:val="24"/>
                <w:szCs w:val="24"/>
              </w:rPr>
            </w:pPr>
            <w:r>
              <w:rPr>
                <w:rFonts w:hint="eastAsia" w:ascii="宋体" w:hAnsi="宋体" w:eastAsia="宋体"/>
                <w:color w:val="000000"/>
                <w:sz w:val="24"/>
                <w:szCs w:val="24"/>
              </w:rPr>
              <w:t>依托工程</w:t>
            </w:r>
          </w:p>
        </w:tc>
        <w:tc>
          <w:tcPr>
            <w:tcW w:w="1953" w:type="dxa"/>
            <w:gridSpan w:val="2"/>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办公楼</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依托太钢厂区办公楼</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依托太钢厂区办公楼</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2"/>
              <w:adjustRightInd w:val="0"/>
              <w:snapToGrid w:val="0"/>
              <w:spacing w:line="240" w:lineRule="atLeast"/>
              <w:ind w:right="8" w:rightChars="4" w:firstLine="482"/>
              <w:jc w:val="center"/>
              <w:rPr>
                <w:rFonts w:ascii="宋体" w:hAnsi="宋体" w:eastAsia="宋体"/>
                <w:sz w:val="24"/>
                <w:szCs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食堂</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依托太钢厂区食堂</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依托太钢厂区食堂</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2"/>
              <w:adjustRightInd w:val="0"/>
              <w:snapToGrid w:val="0"/>
              <w:spacing w:line="240" w:lineRule="atLeast"/>
              <w:ind w:right="8" w:rightChars="4" w:firstLine="482"/>
              <w:jc w:val="center"/>
              <w:rPr>
                <w:rFonts w:ascii="宋体" w:hAnsi="宋体" w:eastAsia="宋体"/>
                <w:sz w:val="24"/>
                <w:szCs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宿舍</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依托太钢厂区宿舍</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依托太钢厂区宿舍</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sz w:val="24"/>
                <w:szCs w:val="24"/>
              </w:rPr>
            </w:pPr>
            <w:r>
              <w:rPr>
                <w:rFonts w:hint="eastAsia" w:ascii="宋体" w:hAnsi="宋体" w:eastAsia="宋体"/>
                <w:color w:val="000000"/>
                <w:sz w:val="24"/>
                <w:szCs w:val="24"/>
              </w:rPr>
              <w:t>环保工程</w:t>
            </w:r>
          </w:p>
        </w:tc>
        <w:tc>
          <w:tcPr>
            <w:tcW w:w="1953" w:type="dxa"/>
            <w:gridSpan w:val="2"/>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废气治理措施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压滤间污泥每日进行清理，加强项目周围绿化，加强日常管理</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压滤间污泥每日进行清理，加强项目周围绿化，加强日常管理</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sz w:val="24"/>
                <w:szCs w:val="24"/>
              </w:rPr>
            </w:pPr>
          </w:p>
        </w:tc>
        <w:tc>
          <w:tcPr>
            <w:tcW w:w="1953" w:type="dxa"/>
            <w:gridSpan w:val="2"/>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废水防渗措施</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污水处理设施、药剂存储设施为重点防渗区；排放水池为一般防渗区；运输道路、电气室、操作室等未</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adjustRightInd w:val="0"/>
              <w:snapToGrid w:val="0"/>
              <w:spacing w:line="240" w:lineRule="atLeast"/>
              <w:jc w:val="center"/>
              <w:rPr>
                <w:rFonts w:ascii="宋体" w:hAnsi="宋体" w:eastAsia="宋体"/>
                <w:color w:val="000000"/>
                <w:sz w:val="24"/>
                <w:szCs w:val="24"/>
              </w:rPr>
            </w:pPr>
            <w:r>
              <w:rPr>
                <w:rFonts w:hint="eastAsia" w:ascii="宋体" w:hAnsi="宋体" w:eastAsia="宋体"/>
                <w:color w:val="000000"/>
                <w:sz w:val="24"/>
                <w:szCs w:val="24"/>
              </w:rPr>
              <w:t>污水处理设施、药剂存储设施为重点防渗区；排放水池为一般防渗区；运输道路、电气室、操作室等未简单防渗区。各区域严</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adjustRightInd w:val="0"/>
              <w:snapToGrid w:val="0"/>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bl>
    <w:p>
      <w:pPr>
        <w:rPr>
          <w:rFonts w:hint="eastAsia" w:ascii="宋体" w:hAnsi="宋体" w:eastAsia="宋体"/>
        </w:rPr>
      </w:pPr>
    </w:p>
    <w:tbl>
      <w:tblPr>
        <w:tblStyle w:val="21"/>
        <w:tblpPr w:leftFromText="180" w:rightFromText="180" w:vertAnchor="text" w:horzAnchor="page" w:tblpX="1562" w:tblpY="297"/>
        <w:tblOverlap w:val="never"/>
        <w:tblW w:w="9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953"/>
        <w:gridCol w:w="2468"/>
        <w:gridCol w:w="304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blHeader/>
        </w:trPr>
        <w:tc>
          <w:tcPr>
            <w:tcW w:w="9034" w:type="dxa"/>
            <w:gridSpan w:val="5"/>
            <w:tcBorders>
              <w:top w:val="nil"/>
              <w:left w:val="nil"/>
              <w:bottom w:val="single" w:color="auto" w:sz="12" w:space="0"/>
              <w:right w:val="nil"/>
            </w:tcBorders>
            <w:vAlign w:val="center"/>
          </w:tcPr>
          <w:p>
            <w:pPr>
              <w:pStyle w:val="10"/>
              <w:adjustRightInd w:val="0"/>
              <w:snapToGrid w:val="0"/>
              <w:spacing w:line="240" w:lineRule="atLeast"/>
              <w:ind w:firstLine="0"/>
              <w:jc w:val="center"/>
              <w:rPr>
                <w:rFonts w:ascii="宋体" w:hAnsi="宋体" w:eastAsia="宋体"/>
                <w:b/>
                <w:szCs w:val="21"/>
              </w:rPr>
            </w:pPr>
            <w:r>
              <w:rPr>
                <w:rFonts w:ascii="宋体" w:hAnsi="宋体" w:eastAsia="宋体"/>
                <w:b/>
                <w:color w:val="000000"/>
                <w:sz w:val="24"/>
              </w:rPr>
              <w:t>表1  项目组成及建设内容</w:t>
            </w:r>
            <w:r>
              <w:rPr>
                <w:rFonts w:hint="eastAsia" w:ascii="宋体" w:hAnsi="宋体" w:eastAsia="宋体"/>
                <w:b/>
                <w:color w:val="000000"/>
                <w:sz w:val="24"/>
              </w:rPr>
              <w:t>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blHeader/>
        </w:trPr>
        <w:tc>
          <w:tcPr>
            <w:tcW w:w="769" w:type="dxa"/>
            <w:tcBorders>
              <w:top w:val="single" w:color="auto" w:sz="12" w:space="0"/>
              <w:left w:val="single" w:color="auto" w:sz="12"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类别</w:t>
            </w:r>
          </w:p>
        </w:tc>
        <w:tc>
          <w:tcPr>
            <w:tcW w:w="1953"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hint="eastAsia" w:ascii="宋体" w:hAnsi="宋体" w:eastAsia="宋体"/>
                <w:b/>
                <w:color w:val="000000"/>
                <w:sz w:val="24"/>
              </w:rPr>
              <w:t>系统</w:t>
            </w:r>
          </w:p>
        </w:tc>
        <w:tc>
          <w:tcPr>
            <w:tcW w:w="2468"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环评阶段设计</w:t>
            </w:r>
          </w:p>
        </w:tc>
        <w:tc>
          <w:tcPr>
            <w:tcW w:w="3044" w:type="dxa"/>
            <w:tcBorders>
              <w:top w:val="single" w:color="auto" w:sz="12" w:space="0"/>
              <w:left w:val="single" w:color="auto" w:sz="6" w:space="0"/>
              <w:bottom w:val="single" w:color="auto" w:sz="12" w:space="0"/>
              <w:right w:val="single" w:color="auto" w:sz="6" w:space="0"/>
            </w:tcBorders>
            <w:vAlign w:val="center"/>
          </w:tcPr>
          <w:p>
            <w:pPr>
              <w:pStyle w:val="10"/>
              <w:snapToGrid w:val="0"/>
              <w:ind w:firstLine="0"/>
              <w:jc w:val="center"/>
              <w:rPr>
                <w:rFonts w:ascii="宋体" w:hAnsi="宋体" w:eastAsia="宋体"/>
                <w:b/>
                <w:sz w:val="24"/>
              </w:rPr>
            </w:pPr>
            <w:r>
              <w:rPr>
                <w:rFonts w:ascii="宋体" w:hAnsi="宋体" w:eastAsia="宋体"/>
                <w:b/>
                <w:sz w:val="24"/>
              </w:rPr>
              <w:t>实际建设</w:t>
            </w:r>
          </w:p>
        </w:tc>
        <w:tc>
          <w:tcPr>
            <w:tcW w:w="800" w:type="dxa"/>
            <w:tcBorders>
              <w:top w:val="single" w:color="auto" w:sz="12" w:space="0"/>
              <w:left w:val="single" w:color="auto" w:sz="6" w:space="0"/>
              <w:bottom w:val="single" w:color="auto" w:sz="12" w:space="0"/>
              <w:right w:val="single" w:color="auto" w:sz="12" w:space="0"/>
            </w:tcBorders>
            <w:vAlign w:val="center"/>
          </w:tcPr>
          <w:p>
            <w:pPr>
              <w:pStyle w:val="10"/>
              <w:snapToGrid w:val="0"/>
              <w:ind w:firstLine="0"/>
              <w:jc w:val="center"/>
              <w:rPr>
                <w:rFonts w:ascii="宋体" w:hAnsi="宋体" w:eastAsia="宋体"/>
                <w:b/>
                <w:sz w:val="24"/>
              </w:rPr>
            </w:pPr>
            <w:r>
              <w:rPr>
                <w:rFonts w:ascii="宋体" w:hAnsi="宋体" w:eastAsia="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restart"/>
            <w:tcBorders>
              <w:top w:val="single" w:color="auto" w:sz="6" w:space="0"/>
              <w:left w:val="single" w:color="auto" w:sz="12" w:space="0"/>
              <w:bottom w:val="single" w:color="auto" w:sz="6" w:space="0"/>
              <w:right w:val="single" w:color="auto" w:sz="6" w:space="0"/>
            </w:tcBorders>
            <w:vAlign w:val="center"/>
          </w:tcPr>
          <w:p>
            <w:pPr>
              <w:pStyle w:val="12"/>
              <w:spacing w:line="240" w:lineRule="atLeast"/>
              <w:ind w:right="8" w:rightChars="4"/>
              <w:jc w:val="center"/>
              <w:rPr>
                <w:rFonts w:ascii="宋体" w:hAnsi="宋体" w:eastAsia="宋体"/>
                <w:sz w:val="24"/>
                <w:szCs w:val="24"/>
              </w:rPr>
            </w:pPr>
            <w:r>
              <w:rPr>
                <w:rFonts w:hint="eastAsia" w:ascii="宋体" w:hAnsi="宋体" w:eastAsia="宋体"/>
                <w:color w:val="000000"/>
                <w:sz w:val="24"/>
                <w:szCs w:val="24"/>
              </w:rPr>
              <w:t>环保工程</w:t>
            </w:r>
          </w:p>
        </w:tc>
        <w:tc>
          <w:tcPr>
            <w:tcW w:w="1953"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ind w:right="8" w:rightChars="4"/>
              <w:jc w:val="center"/>
              <w:rPr>
                <w:rFonts w:hint="eastAsia" w:ascii="宋体" w:hAnsi="宋体" w:eastAsia="宋体"/>
                <w:color w:val="000000"/>
                <w:sz w:val="24"/>
                <w:szCs w:val="24"/>
              </w:rPr>
            </w:pP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hint="eastAsia" w:ascii="宋体" w:hAnsi="宋体" w:eastAsia="宋体"/>
                <w:color w:val="000000"/>
                <w:sz w:val="24"/>
                <w:szCs w:val="24"/>
              </w:rPr>
            </w:pPr>
            <w:r>
              <w:rPr>
                <w:rFonts w:hint="eastAsia" w:ascii="宋体" w:hAnsi="宋体" w:eastAsia="宋体"/>
                <w:color w:val="000000"/>
                <w:sz w:val="24"/>
                <w:szCs w:val="24"/>
              </w:rPr>
              <w:t>简单防渗区。各区域严格按照《环境影响评价技术导则地下水环境》(HJ610-2016)分区防渗要求严格防渗</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hint="eastAsia" w:ascii="宋体" w:hAnsi="宋体" w:eastAsia="宋体"/>
                <w:color w:val="000000"/>
                <w:sz w:val="24"/>
                <w:szCs w:val="24"/>
              </w:rPr>
            </w:pPr>
            <w:r>
              <w:rPr>
                <w:rFonts w:hint="eastAsia" w:ascii="宋体" w:hAnsi="宋体" w:eastAsia="宋体"/>
                <w:color w:val="000000"/>
                <w:sz w:val="24"/>
                <w:szCs w:val="24"/>
              </w:rPr>
              <w:t>格按照《环境影响评价技术导则地下水环境》(HJ610-2016)分区防渗要求严格防渗</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hint="eastAsia"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2"/>
              <w:spacing w:line="240" w:lineRule="atLeast"/>
              <w:ind w:right="8" w:rightChars="4"/>
              <w:jc w:val="center"/>
              <w:rPr>
                <w:rFonts w:ascii="宋体" w:hAnsi="宋体" w:eastAsia="宋体"/>
                <w:sz w:val="24"/>
                <w:szCs w:val="24"/>
              </w:rPr>
            </w:pPr>
          </w:p>
        </w:tc>
        <w:tc>
          <w:tcPr>
            <w:tcW w:w="1953"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事故池</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甲醇储罐南侧建设一座400m</w:t>
            </w:r>
            <w:r>
              <w:rPr>
                <w:rFonts w:hint="eastAsia" w:ascii="宋体" w:hAnsi="宋体" w:eastAsia="宋体"/>
                <w:color w:val="000000"/>
                <w:sz w:val="24"/>
                <w:szCs w:val="24"/>
                <w:vertAlign w:val="superscript"/>
              </w:rPr>
              <w:t>3</w:t>
            </w:r>
            <w:r>
              <w:rPr>
                <w:rFonts w:hint="eastAsia" w:ascii="宋体" w:hAnsi="宋体" w:eastAsia="宋体"/>
                <w:color w:val="000000"/>
                <w:sz w:val="24"/>
                <w:szCs w:val="24"/>
              </w:rPr>
              <w:t>事故池</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储罐周围设置</w:t>
            </w:r>
            <w:r>
              <w:rPr>
                <w:rFonts w:ascii="宋体" w:hAnsi="宋体" w:eastAsia="宋体"/>
                <w:color w:val="000000"/>
                <w:sz w:val="24"/>
                <w:szCs w:val="24"/>
              </w:rPr>
              <w:t>6</w:t>
            </w:r>
            <w:r>
              <w:rPr>
                <w:rFonts w:hint="eastAsia" w:ascii="宋体" w:hAnsi="宋体" w:eastAsia="宋体"/>
                <w:color w:val="000000"/>
                <w:sz w:val="24"/>
                <w:szCs w:val="24"/>
              </w:rPr>
              <w:t>m×</w:t>
            </w:r>
            <w:r>
              <w:rPr>
                <w:rFonts w:ascii="宋体" w:hAnsi="宋体" w:eastAsia="宋体"/>
                <w:color w:val="000000"/>
                <w:sz w:val="24"/>
                <w:szCs w:val="24"/>
              </w:rPr>
              <w:t>6</w:t>
            </w:r>
            <w:r>
              <w:rPr>
                <w:rFonts w:hint="eastAsia" w:ascii="宋体" w:hAnsi="宋体" w:eastAsia="宋体"/>
                <w:color w:val="000000"/>
                <w:sz w:val="24"/>
                <w:szCs w:val="24"/>
              </w:rPr>
              <w:t>m×1.6m围堤，设置泵和管道就近引至污水四期生化池、作为生化营养液利用。甲醇为30%浓度。</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6" w:space="0"/>
              <w:right w:val="single" w:color="auto" w:sz="6" w:space="0"/>
            </w:tcBorders>
            <w:vAlign w:val="center"/>
          </w:tcPr>
          <w:p>
            <w:pPr>
              <w:pStyle w:val="12"/>
              <w:spacing w:line="240" w:lineRule="atLeast"/>
              <w:ind w:right="8" w:rightChars="4" w:firstLine="482"/>
              <w:jc w:val="center"/>
              <w:rPr>
                <w:rFonts w:ascii="宋体" w:hAnsi="宋体" w:eastAsia="宋体"/>
                <w:sz w:val="24"/>
                <w:szCs w:val="24"/>
              </w:rPr>
            </w:pPr>
          </w:p>
        </w:tc>
        <w:tc>
          <w:tcPr>
            <w:tcW w:w="1953"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噪声</w:t>
            </w:r>
          </w:p>
        </w:tc>
        <w:tc>
          <w:tcPr>
            <w:tcW w:w="2468"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基础减振、厂房隔声</w:t>
            </w:r>
          </w:p>
        </w:tc>
        <w:tc>
          <w:tcPr>
            <w:tcW w:w="3044" w:type="dxa"/>
            <w:tcBorders>
              <w:top w:val="single" w:color="auto" w:sz="6" w:space="0"/>
              <w:left w:val="single" w:color="auto" w:sz="6" w:space="0"/>
              <w:bottom w:val="single" w:color="auto" w:sz="6"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基础减振、厂房隔声</w:t>
            </w:r>
          </w:p>
        </w:tc>
        <w:tc>
          <w:tcPr>
            <w:tcW w:w="800" w:type="dxa"/>
            <w:tcBorders>
              <w:top w:val="single" w:color="auto" w:sz="6" w:space="0"/>
              <w:left w:val="single" w:color="auto" w:sz="6" w:space="0"/>
              <w:bottom w:val="single" w:color="auto" w:sz="6" w:space="0"/>
              <w:right w:val="single" w:color="auto" w:sz="12" w:space="0"/>
            </w:tcBorders>
            <w:vAlign w:val="center"/>
          </w:tcPr>
          <w:p>
            <w:pPr>
              <w:pStyle w:val="12"/>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9" w:type="dxa"/>
            <w:vMerge w:val="continue"/>
            <w:tcBorders>
              <w:top w:val="single" w:color="auto" w:sz="6" w:space="0"/>
              <w:left w:val="single" w:color="auto" w:sz="12" w:space="0"/>
              <w:bottom w:val="single" w:color="auto" w:sz="12" w:space="0"/>
              <w:right w:val="single" w:color="auto" w:sz="6" w:space="0"/>
            </w:tcBorders>
            <w:vAlign w:val="center"/>
          </w:tcPr>
          <w:p>
            <w:pPr>
              <w:pStyle w:val="12"/>
              <w:spacing w:line="240" w:lineRule="atLeast"/>
              <w:ind w:right="8" w:rightChars="4" w:firstLine="482"/>
              <w:jc w:val="center"/>
              <w:rPr>
                <w:rFonts w:ascii="宋体" w:hAnsi="宋体" w:eastAsia="宋体"/>
                <w:sz w:val="24"/>
                <w:szCs w:val="24"/>
              </w:rPr>
            </w:pPr>
          </w:p>
        </w:tc>
        <w:tc>
          <w:tcPr>
            <w:tcW w:w="1953" w:type="dxa"/>
            <w:tcBorders>
              <w:top w:val="single" w:color="auto" w:sz="6" w:space="0"/>
              <w:left w:val="single" w:color="auto" w:sz="6" w:space="0"/>
              <w:bottom w:val="single" w:color="auto" w:sz="12" w:space="0"/>
              <w:right w:val="single" w:color="auto" w:sz="6" w:space="0"/>
            </w:tcBorders>
            <w:vAlign w:val="center"/>
          </w:tcPr>
          <w:p>
            <w:pPr>
              <w:pStyle w:val="12"/>
              <w:spacing w:line="240" w:lineRule="atLeast"/>
              <w:ind w:right="8" w:rightChars="4"/>
              <w:jc w:val="center"/>
              <w:rPr>
                <w:rFonts w:ascii="宋体" w:hAnsi="宋体" w:eastAsia="宋体" w:cs="宋体"/>
                <w:color w:val="000000"/>
                <w:sz w:val="24"/>
                <w:szCs w:val="24"/>
              </w:rPr>
            </w:pPr>
            <w:r>
              <w:rPr>
                <w:rFonts w:hint="eastAsia" w:ascii="宋体" w:hAnsi="宋体" w:eastAsia="宋体"/>
                <w:color w:val="000000"/>
                <w:sz w:val="24"/>
                <w:szCs w:val="24"/>
              </w:rPr>
              <w:t>绿化</w:t>
            </w:r>
          </w:p>
        </w:tc>
        <w:tc>
          <w:tcPr>
            <w:tcW w:w="2468" w:type="dxa"/>
            <w:tcBorders>
              <w:top w:val="single" w:color="auto" w:sz="6" w:space="0"/>
              <w:left w:val="single" w:color="auto" w:sz="6" w:space="0"/>
              <w:bottom w:val="single" w:color="auto" w:sz="12"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绿化面积</w:t>
            </w:r>
            <w:r>
              <w:rPr>
                <w:rFonts w:ascii="宋体" w:hAnsi="宋体" w:eastAsia="宋体"/>
                <w:color w:val="000000"/>
                <w:sz w:val="24"/>
                <w:szCs w:val="24"/>
              </w:rPr>
              <w:t>4400</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2</w:t>
            </w:r>
            <w:r>
              <w:rPr>
                <w:rFonts w:hint="eastAsia" w:ascii="宋体" w:hAnsi="宋体" w:eastAsia="宋体"/>
                <w:color w:val="000000"/>
                <w:sz w:val="24"/>
                <w:szCs w:val="24"/>
              </w:rPr>
              <w:t>，绿化率</w:t>
            </w:r>
            <w:r>
              <w:rPr>
                <w:rFonts w:ascii="宋体" w:hAnsi="宋体" w:eastAsia="宋体"/>
                <w:color w:val="000000"/>
                <w:sz w:val="24"/>
                <w:szCs w:val="24"/>
              </w:rPr>
              <w:t>15</w:t>
            </w:r>
            <w:r>
              <w:rPr>
                <w:rFonts w:hint="eastAsia" w:ascii="宋体" w:hAnsi="宋体" w:eastAsia="宋体"/>
                <w:color w:val="000000"/>
                <w:sz w:val="24"/>
                <w:szCs w:val="24"/>
              </w:rPr>
              <w:t>%</w:t>
            </w:r>
          </w:p>
        </w:tc>
        <w:tc>
          <w:tcPr>
            <w:tcW w:w="3044" w:type="dxa"/>
            <w:tcBorders>
              <w:top w:val="single" w:color="auto" w:sz="6" w:space="0"/>
              <w:left w:val="single" w:color="auto" w:sz="6" w:space="0"/>
              <w:bottom w:val="single" w:color="auto" w:sz="12" w:space="0"/>
              <w:right w:val="single" w:color="auto" w:sz="6" w:space="0"/>
            </w:tcBorders>
            <w:vAlign w:val="center"/>
          </w:tcPr>
          <w:p>
            <w:pPr>
              <w:pStyle w:val="12"/>
              <w:spacing w:line="240" w:lineRule="atLeast"/>
              <w:jc w:val="center"/>
              <w:rPr>
                <w:rFonts w:ascii="宋体" w:hAnsi="宋体" w:eastAsia="宋体"/>
                <w:color w:val="000000"/>
                <w:sz w:val="24"/>
                <w:szCs w:val="24"/>
              </w:rPr>
            </w:pPr>
            <w:r>
              <w:rPr>
                <w:rFonts w:hint="eastAsia" w:ascii="宋体" w:hAnsi="宋体" w:eastAsia="宋体"/>
                <w:color w:val="000000"/>
                <w:sz w:val="24"/>
                <w:szCs w:val="24"/>
              </w:rPr>
              <w:t>绿化面积</w:t>
            </w:r>
            <w:r>
              <w:rPr>
                <w:rFonts w:ascii="宋体" w:hAnsi="宋体" w:eastAsia="宋体"/>
                <w:color w:val="000000"/>
                <w:sz w:val="24"/>
                <w:szCs w:val="24"/>
              </w:rPr>
              <w:t>4400</w:t>
            </w:r>
            <w:r>
              <w:rPr>
                <w:rFonts w:hint="eastAsia" w:ascii="宋体" w:hAnsi="宋体" w:eastAsia="宋体"/>
                <w:color w:val="000000"/>
                <w:sz w:val="24"/>
                <w:szCs w:val="24"/>
              </w:rPr>
              <w:t>m</w:t>
            </w:r>
            <w:r>
              <w:rPr>
                <w:rFonts w:hint="eastAsia" w:ascii="宋体" w:hAnsi="宋体" w:eastAsia="宋体"/>
                <w:color w:val="000000"/>
                <w:sz w:val="24"/>
                <w:szCs w:val="24"/>
                <w:vertAlign w:val="superscript"/>
              </w:rPr>
              <w:t>2</w:t>
            </w:r>
            <w:r>
              <w:rPr>
                <w:rFonts w:hint="eastAsia" w:ascii="宋体" w:hAnsi="宋体" w:eastAsia="宋体"/>
                <w:color w:val="000000"/>
                <w:sz w:val="24"/>
                <w:szCs w:val="24"/>
              </w:rPr>
              <w:t>，绿化率</w:t>
            </w:r>
            <w:r>
              <w:rPr>
                <w:rFonts w:ascii="宋体" w:hAnsi="宋体" w:eastAsia="宋体"/>
                <w:color w:val="000000"/>
                <w:sz w:val="24"/>
                <w:szCs w:val="24"/>
              </w:rPr>
              <w:t>15</w:t>
            </w:r>
            <w:r>
              <w:rPr>
                <w:rFonts w:hint="eastAsia" w:ascii="宋体" w:hAnsi="宋体" w:eastAsia="宋体"/>
                <w:color w:val="000000"/>
                <w:sz w:val="24"/>
                <w:szCs w:val="24"/>
              </w:rPr>
              <w:t>%</w:t>
            </w:r>
          </w:p>
        </w:tc>
        <w:tc>
          <w:tcPr>
            <w:tcW w:w="800" w:type="dxa"/>
            <w:tcBorders>
              <w:top w:val="single" w:color="auto" w:sz="6" w:space="0"/>
              <w:left w:val="single" w:color="auto" w:sz="6" w:space="0"/>
              <w:bottom w:val="single" w:color="auto" w:sz="12" w:space="0"/>
              <w:right w:val="single" w:color="auto" w:sz="12" w:space="0"/>
            </w:tcBorders>
            <w:vAlign w:val="center"/>
          </w:tcPr>
          <w:p>
            <w:pPr>
              <w:pStyle w:val="12"/>
              <w:spacing w:line="240" w:lineRule="atLeast"/>
              <w:rPr>
                <w:rFonts w:ascii="宋体" w:hAnsi="宋体" w:eastAsia="宋体"/>
                <w:color w:val="000000"/>
                <w:sz w:val="24"/>
                <w:szCs w:val="24"/>
              </w:rPr>
            </w:pPr>
            <w:r>
              <w:rPr>
                <w:rFonts w:hint="eastAsia" w:ascii="宋体" w:hAnsi="宋体" w:eastAsia="宋体"/>
                <w:color w:val="000000"/>
                <w:sz w:val="24"/>
                <w:szCs w:val="24"/>
              </w:rPr>
              <w:t>一致</w:t>
            </w:r>
          </w:p>
        </w:tc>
      </w:tr>
    </w:tbl>
    <w:p>
      <w:pPr>
        <w:pStyle w:val="60"/>
        <w:adjustRightInd w:val="0"/>
        <w:snapToGrid w:val="0"/>
        <w:spacing w:before="0" w:beforeAutospacing="0" w:after="0" w:afterAutospacing="0" w:line="240" w:lineRule="atLeast"/>
        <w:ind w:firstLine="560" w:firstLineChars="200"/>
        <w:jc w:val="both"/>
        <w:outlineLvl w:val="1"/>
        <w:rPr>
          <w:rFonts w:hint="eastAsia" w:ascii="宋体" w:hAnsi="宋体" w:eastAsia="宋体" w:cs="Times New Roman"/>
          <w:color w:val="000000"/>
          <w:sz w:val="28"/>
          <w:szCs w:val="28"/>
        </w:rPr>
      </w:pP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（二）建设过程及环保审批情况</w:t>
      </w:r>
    </w:p>
    <w:p>
      <w:pPr>
        <w:shd w:val="clear" w:color="auto" w:fill="FFFFFF"/>
        <w:adjustRightInd w:val="0"/>
        <w:snapToGrid w:val="0"/>
        <w:spacing w:line="460" w:lineRule="exact"/>
        <w:ind w:firstLine="560" w:firstLineChars="200"/>
        <w:rPr>
          <w:rFonts w:ascii="宋体" w:hAnsi="宋体" w:eastAsia="宋体" w:cs="Times New Roman"/>
          <w:color w:val="000000"/>
          <w:sz w:val="28"/>
          <w:szCs w:val="28"/>
        </w:rPr>
      </w:pPr>
      <w:r>
        <w:rPr>
          <w:rFonts w:ascii="宋体" w:hAnsi="宋体" w:eastAsia="宋体" w:cs="Times New Roman"/>
          <w:color w:val="000000"/>
          <w:sz w:val="28"/>
          <w:szCs w:val="28"/>
        </w:rPr>
        <w:t>1、项目环境影响报告表编制与审批情况</w:t>
      </w:r>
    </w:p>
    <w:p>
      <w:pPr>
        <w:autoSpaceDE w:val="0"/>
        <w:autoSpaceDN w:val="0"/>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山西清源环境咨询有限公司</w:t>
      </w:r>
      <w:r>
        <w:rPr>
          <w:rFonts w:ascii="宋体" w:hAnsi="宋体" w:eastAsia="宋体" w:cs="Times New Roman"/>
          <w:color w:val="auto"/>
          <w:sz w:val="28"/>
          <w:szCs w:val="28"/>
        </w:rPr>
        <w:t>于201</w:t>
      </w:r>
      <w:r>
        <w:rPr>
          <w:rFonts w:hint="eastAsia" w:ascii="宋体" w:hAnsi="宋体" w:eastAsia="宋体" w:cs="Times New Roman"/>
          <w:color w:val="auto"/>
          <w:sz w:val="28"/>
          <w:szCs w:val="28"/>
        </w:rPr>
        <w:t>8</w:t>
      </w:r>
      <w:r>
        <w:rPr>
          <w:rFonts w:ascii="宋体" w:hAnsi="宋体" w:eastAsia="宋体" w:cs="Times New Roman"/>
          <w:color w:val="auto"/>
          <w:sz w:val="28"/>
          <w:szCs w:val="28"/>
        </w:rPr>
        <w:t>年</w:t>
      </w:r>
      <w:r>
        <w:rPr>
          <w:rFonts w:hint="eastAsia" w:ascii="宋体" w:hAnsi="宋体" w:eastAsia="宋体" w:cs="Times New Roman"/>
          <w:color w:val="auto"/>
          <w:sz w:val="28"/>
          <w:szCs w:val="28"/>
        </w:rPr>
        <w:t>2</w:t>
      </w:r>
      <w:r>
        <w:rPr>
          <w:rFonts w:ascii="宋体" w:hAnsi="宋体" w:eastAsia="宋体" w:cs="Times New Roman"/>
          <w:color w:val="auto"/>
          <w:sz w:val="28"/>
          <w:szCs w:val="28"/>
        </w:rPr>
        <w:t>月编</w:t>
      </w:r>
      <w:r>
        <w:rPr>
          <w:rFonts w:ascii="宋体" w:hAnsi="宋体" w:eastAsia="宋体" w:cs="Times New Roman"/>
          <w:sz w:val="28"/>
          <w:szCs w:val="28"/>
        </w:rPr>
        <w:t>制完成了《</w:t>
      </w:r>
      <w:r>
        <w:rPr>
          <w:rFonts w:hint="eastAsia" w:ascii="宋体" w:hAnsi="宋体" w:eastAsia="宋体" w:cs="Times New Roman"/>
          <w:sz w:val="28"/>
          <w:szCs w:val="28"/>
        </w:rPr>
        <w:t>山西太钢不锈钢股份有限公司工业废水处理系统升级改造工程节水减排改造项目</w:t>
      </w:r>
      <w:r>
        <w:rPr>
          <w:rFonts w:ascii="宋体" w:hAnsi="宋体" w:eastAsia="宋体" w:cs="Times New Roman"/>
          <w:sz w:val="28"/>
          <w:szCs w:val="28"/>
        </w:rPr>
        <w:t>环境影响报告表》。</w:t>
      </w:r>
      <w:r>
        <w:rPr>
          <w:rFonts w:hint="eastAsia" w:ascii="宋体" w:hAnsi="宋体" w:eastAsia="宋体" w:cs="Times New Roman"/>
          <w:sz w:val="28"/>
          <w:szCs w:val="28"/>
        </w:rPr>
        <w:t>太原市环境保护局尖草坪分局于</w:t>
      </w:r>
      <w:r>
        <w:rPr>
          <w:rFonts w:ascii="宋体" w:hAnsi="宋体" w:eastAsia="宋体" w:cs="宋体"/>
          <w:sz w:val="24"/>
        </w:rPr>
        <w:t>2018年2</w:t>
      </w:r>
      <w:r>
        <w:rPr>
          <w:rFonts w:hint="eastAsia" w:ascii="宋体" w:hAnsi="宋体" w:eastAsia="宋体" w:cs="Times New Roman"/>
          <w:sz w:val="28"/>
          <w:szCs w:val="28"/>
        </w:rPr>
        <w:t>月以并环尖审批[2018]第2号文对该项目环境影响报告表进行了批复。</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2、开工与竣工时间、调试运行时间</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项目于2018年3月开工建设，于</w:t>
      </w:r>
      <w:r>
        <w:rPr>
          <w:rFonts w:hint="eastAsia" w:ascii="宋体" w:hAnsi="宋体" w:eastAsia="宋体" w:cs="Times New Roman"/>
          <w:sz w:val="28"/>
          <w:szCs w:val="28"/>
        </w:rPr>
        <w:t>20</w:t>
      </w:r>
      <w:r>
        <w:rPr>
          <w:rFonts w:ascii="宋体" w:hAnsi="宋体" w:eastAsia="宋体" w:cs="Times New Roman"/>
          <w:sz w:val="28"/>
          <w:szCs w:val="28"/>
        </w:rPr>
        <w:t>19</w:t>
      </w:r>
      <w:r>
        <w:rPr>
          <w:rFonts w:hint="eastAsia" w:ascii="宋体" w:hAnsi="宋体" w:eastAsia="宋体" w:cs="Times New Roman"/>
          <w:sz w:val="28"/>
          <w:szCs w:val="28"/>
        </w:rPr>
        <w:t>年12月</w:t>
      </w:r>
      <w:r>
        <w:rPr>
          <w:rFonts w:ascii="宋体" w:hAnsi="宋体" w:eastAsia="宋体" w:cs="Times New Roman"/>
          <w:sz w:val="28"/>
          <w:szCs w:val="28"/>
        </w:rPr>
        <w:t>竣工，于201</w:t>
      </w:r>
      <w:r>
        <w:rPr>
          <w:rFonts w:hint="eastAsia" w:ascii="宋体" w:hAnsi="宋体" w:eastAsia="宋体" w:cs="Times New Roman"/>
          <w:sz w:val="28"/>
          <w:szCs w:val="28"/>
        </w:rPr>
        <w:t>9</w:t>
      </w:r>
      <w:r>
        <w:rPr>
          <w:rFonts w:ascii="宋体" w:hAnsi="宋体" w:eastAsia="宋体" w:cs="Times New Roman"/>
          <w:sz w:val="28"/>
          <w:szCs w:val="28"/>
        </w:rPr>
        <w:t>年12月至2021</w:t>
      </w:r>
      <w:r>
        <w:rPr>
          <w:rFonts w:hint="eastAsia" w:ascii="宋体" w:hAnsi="宋体" w:eastAsia="宋体" w:cs="Times New Roman"/>
          <w:sz w:val="28"/>
          <w:szCs w:val="28"/>
        </w:rPr>
        <w:t>年</w:t>
      </w:r>
      <w:r>
        <w:rPr>
          <w:rFonts w:ascii="宋体" w:hAnsi="宋体" w:eastAsia="宋体" w:cs="Times New Roman"/>
          <w:sz w:val="28"/>
          <w:szCs w:val="28"/>
        </w:rPr>
        <w:t>1</w:t>
      </w:r>
      <w:r>
        <w:rPr>
          <w:rFonts w:hint="eastAsia" w:ascii="宋体" w:hAnsi="宋体" w:eastAsia="宋体" w:cs="Times New Roman"/>
          <w:sz w:val="28"/>
          <w:szCs w:val="28"/>
        </w:rPr>
        <w:t>月</w:t>
      </w:r>
      <w:r>
        <w:rPr>
          <w:rFonts w:ascii="宋体" w:hAnsi="宋体" w:eastAsia="宋体" w:cs="Times New Roman"/>
          <w:sz w:val="28"/>
          <w:szCs w:val="28"/>
        </w:rPr>
        <w:t>进行试生产并进行环保设施调试。调试期间，委托</w:t>
      </w:r>
      <w:r>
        <w:rPr>
          <w:rFonts w:hint="eastAsia" w:ascii="宋体" w:hAnsi="宋体" w:eastAsia="宋体" w:cs="Times New Roman"/>
          <w:sz w:val="28"/>
          <w:szCs w:val="28"/>
        </w:rPr>
        <w:t>山西华普检测技术有限公司</w:t>
      </w:r>
      <w:r>
        <w:rPr>
          <w:rFonts w:ascii="宋体" w:hAnsi="宋体" w:eastAsia="宋体" w:cs="Times New Roman"/>
          <w:sz w:val="28"/>
          <w:szCs w:val="28"/>
        </w:rPr>
        <w:t>、</w:t>
      </w:r>
      <w:r>
        <w:rPr>
          <w:rFonts w:hint="eastAsia" w:ascii="宋体" w:hAnsi="宋体" w:eastAsia="宋体" w:cs="Times New Roman"/>
          <w:sz w:val="28"/>
          <w:szCs w:val="28"/>
        </w:rPr>
        <w:t>山西太钢环境监测有限公司</w:t>
      </w:r>
      <w:r>
        <w:rPr>
          <w:rFonts w:ascii="宋体" w:hAnsi="宋体" w:eastAsia="宋体" w:cs="Times New Roman"/>
          <w:sz w:val="28"/>
          <w:szCs w:val="28"/>
        </w:rPr>
        <w:t>于20</w:t>
      </w:r>
      <w:r>
        <w:rPr>
          <w:rFonts w:hint="eastAsia" w:ascii="宋体" w:hAnsi="宋体" w:eastAsia="宋体" w:cs="Times New Roman"/>
          <w:sz w:val="28"/>
          <w:szCs w:val="28"/>
        </w:rPr>
        <w:t>21</w:t>
      </w:r>
      <w:r>
        <w:rPr>
          <w:rFonts w:ascii="宋体" w:hAnsi="宋体" w:eastAsia="宋体" w:cs="Times New Roman"/>
          <w:sz w:val="28"/>
          <w:szCs w:val="28"/>
        </w:rPr>
        <w:t>年</w:t>
      </w:r>
      <w:r>
        <w:rPr>
          <w:rFonts w:hint="eastAsia" w:ascii="宋体" w:hAnsi="宋体" w:eastAsia="宋体" w:cs="Times New Roman"/>
          <w:sz w:val="28"/>
          <w:szCs w:val="28"/>
        </w:rPr>
        <w:t>1</w:t>
      </w:r>
      <w:r>
        <w:rPr>
          <w:rFonts w:ascii="宋体" w:hAnsi="宋体" w:eastAsia="宋体" w:cs="Times New Roman"/>
          <w:sz w:val="28"/>
          <w:szCs w:val="28"/>
        </w:rPr>
        <w:t>月</w:t>
      </w:r>
      <w:r>
        <w:rPr>
          <w:rFonts w:hint="eastAsia" w:ascii="宋体" w:hAnsi="宋体" w:eastAsia="宋体" w:cs="Times New Roman"/>
          <w:sz w:val="28"/>
          <w:szCs w:val="28"/>
        </w:rPr>
        <w:t>25</w:t>
      </w:r>
      <w:r>
        <w:rPr>
          <w:rFonts w:ascii="宋体" w:hAnsi="宋体" w:eastAsia="宋体" w:cs="Times New Roman"/>
          <w:sz w:val="28"/>
          <w:szCs w:val="28"/>
        </w:rPr>
        <w:t>日至</w:t>
      </w:r>
      <w:r>
        <w:rPr>
          <w:rFonts w:hint="eastAsia" w:ascii="宋体" w:hAnsi="宋体" w:eastAsia="宋体" w:cs="Times New Roman"/>
          <w:sz w:val="28"/>
          <w:szCs w:val="28"/>
        </w:rPr>
        <w:t>27</w:t>
      </w:r>
      <w:r>
        <w:rPr>
          <w:rFonts w:ascii="宋体" w:hAnsi="宋体" w:eastAsia="宋体" w:cs="Times New Roman"/>
          <w:sz w:val="28"/>
          <w:szCs w:val="28"/>
        </w:rPr>
        <w:t>日按照验收监测方案开展了验收监测和环境管理检查。</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3、排污许可证申领情况</w:t>
      </w:r>
    </w:p>
    <w:p>
      <w:pPr>
        <w:overflowPunct w:val="0"/>
        <w:adjustRightInd w:val="0"/>
        <w:snapToGrid w:val="0"/>
        <w:spacing w:line="460" w:lineRule="exact"/>
        <w:ind w:firstLine="560" w:firstLineChars="200"/>
        <w:rPr>
          <w:rFonts w:ascii="宋体" w:hAnsi="宋体" w:eastAsia="宋体" w:cs="Times New Roman"/>
          <w:color w:val="000000"/>
          <w:sz w:val="28"/>
          <w:szCs w:val="28"/>
        </w:rPr>
      </w:pPr>
      <w:bookmarkStart w:id="0" w:name="_Hlk5126001"/>
      <w:r>
        <w:rPr>
          <w:rFonts w:ascii="宋体" w:hAnsi="宋体" w:eastAsia="宋体" w:cs="Times New Roman"/>
          <w:color w:val="000000"/>
          <w:sz w:val="28"/>
          <w:szCs w:val="28"/>
        </w:rPr>
        <w:t>山西太钢不锈钢股份有限公司</w:t>
      </w:r>
      <w:bookmarkEnd w:id="0"/>
      <w:r>
        <w:rPr>
          <w:rFonts w:ascii="宋体" w:hAnsi="宋体" w:eastAsia="宋体" w:cs="Times New Roman"/>
          <w:color w:val="000000"/>
          <w:sz w:val="28"/>
          <w:szCs w:val="28"/>
        </w:rPr>
        <w:t>于2020</w:t>
      </w:r>
      <w:r>
        <w:rPr>
          <w:rFonts w:hint="eastAsia" w:ascii="宋体" w:hAnsi="宋体" w:eastAsia="宋体" w:cs="Times New Roman"/>
          <w:color w:val="000000"/>
          <w:sz w:val="28"/>
          <w:szCs w:val="28"/>
        </w:rPr>
        <w:t>年10月</w:t>
      </w:r>
      <w:r>
        <w:rPr>
          <w:rFonts w:ascii="宋体" w:hAnsi="宋体" w:eastAsia="宋体" w:cs="Times New Roman"/>
          <w:color w:val="000000"/>
          <w:sz w:val="28"/>
          <w:szCs w:val="28"/>
        </w:rPr>
        <w:t>30</w:t>
      </w:r>
      <w:r>
        <w:rPr>
          <w:rFonts w:hint="eastAsia" w:ascii="宋体" w:hAnsi="宋体" w:eastAsia="宋体" w:cs="Times New Roman"/>
          <w:color w:val="000000"/>
          <w:sz w:val="28"/>
          <w:szCs w:val="28"/>
        </w:rPr>
        <w:t>日</w:t>
      </w:r>
      <w:r>
        <w:rPr>
          <w:rFonts w:ascii="宋体" w:hAnsi="宋体" w:eastAsia="宋体" w:cs="Times New Roman"/>
          <w:color w:val="000000"/>
          <w:sz w:val="28"/>
          <w:szCs w:val="28"/>
        </w:rPr>
        <w:t>申领了排污许可证，许可证编号</w:t>
      </w:r>
      <w:r>
        <w:rPr>
          <w:rFonts w:hint="eastAsia" w:ascii="宋体" w:hAnsi="宋体" w:eastAsia="宋体" w:cs="Times New Roman"/>
          <w:color w:val="000000"/>
          <w:sz w:val="28"/>
          <w:szCs w:val="28"/>
        </w:rPr>
        <w:t>91140000701011888X001P</w:t>
      </w:r>
      <w:r>
        <w:rPr>
          <w:rFonts w:ascii="宋体" w:hAnsi="宋体" w:eastAsia="宋体" w:cs="Times New Roman"/>
          <w:color w:val="000000"/>
          <w:sz w:val="28"/>
          <w:szCs w:val="28"/>
        </w:rPr>
        <w:t>。</w:t>
      </w:r>
    </w:p>
    <w:p>
      <w:pPr>
        <w:shd w:val="clear" w:color="auto" w:fill="FFFFFF"/>
        <w:adjustRightInd w:val="0"/>
        <w:snapToGrid w:val="0"/>
        <w:spacing w:line="460" w:lineRule="exact"/>
        <w:ind w:firstLine="560" w:firstLineChars="200"/>
        <w:rPr>
          <w:rFonts w:ascii="宋体" w:hAnsi="宋体" w:eastAsia="宋体" w:cs="Times New Roman"/>
          <w:color w:val="000000"/>
          <w:sz w:val="28"/>
          <w:szCs w:val="28"/>
        </w:rPr>
      </w:pPr>
      <w:r>
        <w:rPr>
          <w:rFonts w:ascii="宋体" w:hAnsi="宋体" w:eastAsia="宋体" w:cs="Times New Roman"/>
          <w:color w:val="000000"/>
          <w:sz w:val="28"/>
          <w:szCs w:val="28"/>
        </w:rPr>
        <w:t>4、项目从立项至调试过程中无环境投诉、违法或处罚记录等。</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（三）投资情况</w:t>
      </w:r>
    </w:p>
    <w:p>
      <w:pPr>
        <w:tabs>
          <w:tab w:val="left" w:pos="4305"/>
        </w:tabs>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项目实际</w:t>
      </w:r>
      <w:r>
        <w:rPr>
          <w:rFonts w:ascii="宋体" w:hAnsi="宋体" w:eastAsia="宋体" w:cs="Times New Roman"/>
          <w:color w:val="000000"/>
          <w:sz w:val="28"/>
          <w:szCs w:val="28"/>
        </w:rPr>
        <w:t>总投</w:t>
      </w:r>
      <w:r>
        <w:rPr>
          <w:rFonts w:ascii="宋体" w:hAnsi="宋体" w:eastAsia="宋体" w:cs="Times New Roman"/>
          <w:sz w:val="28"/>
          <w:szCs w:val="28"/>
        </w:rPr>
        <w:t>资</w:t>
      </w:r>
      <w:r>
        <w:rPr>
          <w:rFonts w:hint="eastAsia" w:ascii="宋体" w:hAnsi="宋体" w:eastAsia="宋体" w:cs="Times New Roman"/>
          <w:sz w:val="28"/>
          <w:szCs w:val="28"/>
        </w:rPr>
        <w:t>1</w:t>
      </w:r>
      <w:r>
        <w:rPr>
          <w:rFonts w:ascii="宋体" w:hAnsi="宋体" w:eastAsia="宋体" w:cs="Times New Roman"/>
          <w:sz w:val="28"/>
          <w:szCs w:val="28"/>
        </w:rPr>
        <w:t>8196万元，其中环保投资</w:t>
      </w:r>
      <w:r>
        <w:rPr>
          <w:rFonts w:hint="eastAsia" w:ascii="宋体" w:hAnsi="宋体" w:eastAsia="宋体" w:cs="Times New Roman"/>
          <w:sz w:val="28"/>
          <w:szCs w:val="28"/>
        </w:rPr>
        <w:t>2</w:t>
      </w:r>
      <w:r>
        <w:rPr>
          <w:rFonts w:ascii="宋体" w:hAnsi="宋体" w:eastAsia="宋体" w:cs="Times New Roman"/>
          <w:sz w:val="28"/>
          <w:szCs w:val="28"/>
        </w:rPr>
        <w:t>02万元，占总投资的</w:t>
      </w:r>
      <w:r>
        <w:rPr>
          <w:rFonts w:hint="eastAsia" w:ascii="宋体" w:hAnsi="宋体" w:eastAsia="宋体" w:cs="Times New Roman"/>
          <w:sz w:val="28"/>
          <w:szCs w:val="28"/>
        </w:rPr>
        <w:t>1</w:t>
      </w:r>
      <w:r>
        <w:rPr>
          <w:rFonts w:ascii="宋体" w:hAnsi="宋体" w:eastAsia="宋体" w:cs="Times New Roman"/>
          <w:sz w:val="28"/>
          <w:szCs w:val="28"/>
        </w:rPr>
        <w:t>.11%。</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（四）验收范围</w:t>
      </w:r>
    </w:p>
    <w:p>
      <w:pPr>
        <w:overflowPunct w:val="0"/>
        <w:adjustRightInd w:val="0"/>
        <w:snapToGrid w:val="0"/>
        <w:spacing w:line="460" w:lineRule="exact"/>
        <w:ind w:firstLine="560" w:firstLineChars="200"/>
        <w:jc w:val="left"/>
        <w:rPr>
          <w:rFonts w:ascii="宋体" w:hAnsi="宋体" w:eastAsia="宋体" w:cs="Times New Roman"/>
          <w:sz w:val="28"/>
          <w:szCs w:val="28"/>
        </w:rPr>
      </w:pPr>
      <w:r>
        <w:rPr>
          <w:rFonts w:ascii="宋体" w:hAnsi="宋体" w:eastAsia="宋体" w:cs="Times New Roman"/>
          <w:color w:val="000000"/>
          <w:sz w:val="28"/>
          <w:szCs w:val="28"/>
        </w:rPr>
        <w:t>本次竣工环</w:t>
      </w:r>
      <w:r>
        <w:rPr>
          <w:rFonts w:ascii="宋体" w:hAnsi="宋体" w:eastAsia="宋体" w:cs="Times New Roman"/>
          <w:sz w:val="28"/>
          <w:szCs w:val="28"/>
        </w:rPr>
        <w:t>境</w:t>
      </w:r>
      <w:r>
        <w:rPr>
          <w:rFonts w:ascii="宋体" w:hAnsi="宋体" w:eastAsia="宋体" w:cs="Times New Roman"/>
          <w:color w:val="000000"/>
          <w:sz w:val="28"/>
          <w:szCs w:val="28"/>
        </w:rPr>
        <w:t>保护验收</w:t>
      </w:r>
      <w:r>
        <w:rPr>
          <w:rFonts w:hint="eastAsia" w:ascii="宋体" w:hAnsi="宋体" w:eastAsia="宋体" w:cs="Times New Roman"/>
          <w:color w:val="000000"/>
          <w:sz w:val="28"/>
          <w:szCs w:val="28"/>
        </w:rPr>
        <w:t>山西太钢不锈钢股份有限公司工业废水处理系统升级改造工程节水减排改造项目</w:t>
      </w:r>
      <w:r>
        <w:rPr>
          <w:rFonts w:ascii="宋体" w:hAnsi="宋体" w:eastAsia="宋体" w:cs="Times New Roman"/>
          <w:color w:val="000000"/>
          <w:sz w:val="28"/>
          <w:szCs w:val="28"/>
        </w:rPr>
        <w:t>的主体工程、</w:t>
      </w:r>
      <w:r>
        <w:rPr>
          <w:rFonts w:hint="eastAsia" w:ascii="宋体" w:hAnsi="宋体" w:eastAsia="宋体" w:cs="Times New Roman"/>
          <w:color w:val="000000"/>
          <w:sz w:val="28"/>
          <w:szCs w:val="28"/>
        </w:rPr>
        <w:t>储运工程</w:t>
      </w:r>
      <w:r>
        <w:rPr>
          <w:rFonts w:ascii="宋体" w:hAnsi="宋体" w:eastAsia="宋体" w:cs="Times New Roman"/>
          <w:color w:val="000000"/>
          <w:sz w:val="28"/>
          <w:szCs w:val="28"/>
        </w:rPr>
        <w:t>、</w:t>
      </w:r>
      <w:r>
        <w:rPr>
          <w:rFonts w:hint="eastAsia" w:ascii="宋体" w:hAnsi="宋体" w:eastAsia="宋体" w:cs="Times New Roman"/>
          <w:color w:val="000000"/>
          <w:sz w:val="28"/>
          <w:szCs w:val="28"/>
        </w:rPr>
        <w:t>依托工程</w:t>
      </w:r>
      <w:r>
        <w:rPr>
          <w:rFonts w:ascii="宋体" w:hAnsi="宋体" w:eastAsia="宋体" w:cs="Times New Roman"/>
          <w:color w:val="000000"/>
          <w:sz w:val="28"/>
          <w:szCs w:val="28"/>
        </w:rPr>
        <w:t>、</w:t>
      </w:r>
      <w:r>
        <w:rPr>
          <w:rFonts w:hint="eastAsia" w:ascii="宋体" w:hAnsi="宋体" w:eastAsia="宋体" w:cs="Times New Roman"/>
          <w:color w:val="000000"/>
          <w:sz w:val="28"/>
          <w:szCs w:val="28"/>
        </w:rPr>
        <w:t>环保工程</w:t>
      </w:r>
      <w:r>
        <w:rPr>
          <w:rFonts w:ascii="宋体" w:hAnsi="宋体" w:eastAsia="宋体" w:cs="Times New Roman"/>
          <w:color w:val="000000"/>
          <w:sz w:val="28"/>
          <w:szCs w:val="28"/>
        </w:rPr>
        <w:t>等</w:t>
      </w:r>
      <w:r>
        <w:rPr>
          <w:rFonts w:hint="eastAsia" w:ascii="宋体" w:hAnsi="宋体" w:eastAsia="宋体" w:cs="Times New Roman"/>
          <w:color w:val="000000"/>
          <w:sz w:val="28"/>
          <w:szCs w:val="28"/>
        </w:rPr>
        <w:t>。</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二、工程变动情况</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经核实，本项目</w:t>
      </w:r>
      <w:r>
        <w:rPr>
          <w:rFonts w:hint="eastAsia" w:ascii="宋体" w:hAnsi="宋体" w:eastAsia="宋体" w:cs="Times New Roman"/>
          <w:color w:val="000000"/>
          <w:sz w:val="28"/>
          <w:szCs w:val="28"/>
        </w:rPr>
        <w:t>各项内容</w:t>
      </w:r>
      <w:r>
        <w:rPr>
          <w:rFonts w:ascii="宋体" w:hAnsi="宋体" w:eastAsia="宋体" w:cs="Times New Roman"/>
          <w:color w:val="000000"/>
          <w:sz w:val="28"/>
          <w:szCs w:val="28"/>
        </w:rPr>
        <w:t>在建设过程中无变动。</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三、环境保护设施建设情况</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（一）废气产生及治理设施</w:t>
      </w:r>
    </w:p>
    <w:p>
      <w:pPr>
        <w:adjustRightInd w:val="0"/>
        <w:snapToGrid w:val="0"/>
        <w:spacing w:line="460" w:lineRule="exact"/>
        <w:ind w:firstLine="560" w:firstLineChars="200"/>
        <w:rPr>
          <w:rFonts w:ascii="宋体" w:hAnsi="宋体" w:eastAsia="宋体"/>
          <w:bCs/>
          <w:color w:val="000000"/>
          <w:sz w:val="28"/>
          <w:szCs w:val="28"/>
        </w:rPr>
      </w:pPr>
      <w:r>
        <w:rPr>
          <w:rFonts w:ascii="宋体" w:hAnsi="宋体" w:eastAsia="宋体"/>
          <w:bCs/>
          <w:color w:val="000000"/>
          <w:sz w:val="28"/>
          <w:szCs w:val="28"/>
        </w:rPr>
        <w:t>本项目</w:t>
      </w:r>
      <w:r>
        <w:rPr>
          <w:rFonts w:hint="eastAsia" w:ascii="宋体" w:hAnsi="宋体" w:eastAsia="宋体"/>
          <w:bCs/>
          <w:color w:val="000000"/>
          <w:sz w:val="28"/>
          <w:szCs w:val="28"/>
        </w:rPr>
        <w:t>产生的污染气体主要是：</w:t>
      </w:r>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1</w:t>
      </w:r>
      <w:r>
        <w:rPr>
          <w:rFonts w:ascii="宋体" w:hAnsi="宋体" w:eastAsia="宋体" w:cs="Times New Roman"/>
          <w:color w:val="000000"/>
          <w:sz w:val="28"/>
          <w:szCs w:val="28"/>
        </w:rPr>
        <w:t>、</w:t>
      </w:r>
      <w:r>
        <w:rPr>
          <w:rFonts w:hint="eastAsia" w:ascii="宋体" w:hAnsi="宋体" w:eastAsia="宋体" w:cs="Times New Roman"/>
          <w:color w:val="000000"/>
          <w:sz w:val="28"/>
          <w:szCs w:val="28"/>
        </w:rPr>
        <w:t>含有氨和硫化氢的恶臭，排放方式为无组织排放。产生恶臭的有厌氧池、好氧池、污泥浓缩池、污泥压滤间等；恶臭污染源治理措施：在满足建筑要求的情况下，种植高大乔木以减少降低恶臭及恶臭气体向周围扩散，降低对周围环境的影响。加强日常运行管理，控制污泥发酵。定期清洗污泥脱水机。</w:t>
      </w:r>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2、原煤输送过程产生的粉尘,电煤输送采用封闭式皮带运输机通廊，产尘量较小。</w:t>
      </w:r>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3、本项目原煤堆场利用现有的干煤棚，不新建原煤堆场；</w:t>
      </w:r>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4、由于污泥本身含有一定水分，原煤和污泥进入搅拌机后还要加水，故产尘量不大。</w:t>
      </w:r>
    </w:p>
    <w:p>
      <w:pPr>
        <w:pStyle w:val="10"/>
        <w:adjustRightInd w:val="0"/>
        <w:snapToGrid w:val="0"/>
        <w:spacing w:line="460" w:lineRule="exact"/>
        <w:ind w:firstLine="560" w:firstLineChars="200"/>
        <w:rPr>
          <w:rFonts w:ascii="宋体" w:hAnsi="宋体" w:eastAsia="宋体"/>
          <w:color w:val="000000"/>
          <w:sz w:val="28"/>
          <w:szCs w:val="28"/>
        </w:rPr>
      </w:pPr>
      <w:r>
        <w:rPr>
          <w:rFonts w:hint="eastAsia" w:ascii="宋体" w:hAnsi="宋体" w:eastAsia="宋体"/>
          <w:color w:val="000000"/>
          <w:sz w:val="28"/>
          <w:szCs w:val="28"/>
        </w:rPr>
        <w:t>（二）废水产生及治理设施</w:t>
      </w:r>
    </w:p>
    <w:p>
      <w:pPr>
        <w:adjustRightInd w:val="0"/>
        <w:snapToGrid w:val="0"/>
        <w:spacing w:line="460" w:lineRule="exact"/>
        <w:ind w:firstLine="200"/>
        <w:rPr>
          <w:rFonts w:ascii="宋体" w:hAnsi="宋体" w:eastAsia="宋体" w:cs="Times New Roman"/>
          <w:color w:val="000000"/>
          <w:sz w:val="28"/>
          <w:szCs w:val="28"/>
        </w:rPr>
      </w:pPr>
      <w:r>
        <w:rPr>
          <w:rFonts w:hint="eastAsia" w:ascii="宋体" w:hAnsi="宋体" w:eastAsia="宋体" w:cs="Times New Roman"/>
          <w:color w:val="000000"/>
          <w:sz w:val="28"/>
          <w:szCs w:val="28"/>
        </w:rPr>
        <w:t>本项目主要为职工日常办公及食堂的生活污水，通过生活污水管网收集后送太钢生活污水处理设施处理。</w:t>
      </w:r>
    </w:p>
    <w:p>
      <w:pPr>
        <w:pStyle w:val="10"/>
        <w:adjustRightInd w:val="0"/>
        <w:snapToGrid w:val="0"/>
        <w:spacing w:line="460" w:lineRule="exact"/>
        <w:ind w:firstLine="560" w:firstLineChars="200"/>
        <w:rPr>
          <w:rFonts w:ascii="宋体" w:hAnsi="宋体" w:eastAsia="宋体"/>
          <w:color w:val="000000"/>
          <w:sz w:val="28"/>
          <w:szCs w:val="28"/>
        </w:rPr>
      </w:pPr>
      <w:r>
        <w:rPr>
          <w:rFonts w:hint="eastAsia" w:ascii="宋体" w:hAnsi="宋体" w:eastAsia="宋体"/>
          <w:color w:val="000000"/>
          <w:sz w:val="28"/>
          <w:szCs w:val="28"/>
        </w:rPr>
        <w:t>本项目污泥压滤机压滤废水收集后返回污水处理设施处理。</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bookmarkStart w:id="1" w:name="_Toc5029893"/>
      <w:r>
        <w:rPr>
          <w:rFonts w:ascii="宋体" w:hAnsi="宋体" w:eastAsia="宋体" w:cs="Times New Roman"/>
          <w:color w:val="000000"/>
          <w:sz w:val="28"/>
          <w:szCs w:val="28"/>
        </w:rPr>
        <w:t>（三）固体废物</w:t>
      </w:r>
      <w:bookmarkEnd w:id="1"/>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bookmarkStart w:id="2" w:name="_Hlk38827306"/>
      <w:r>
        <w:rPr>
          <w:rFonts w:hint="eastAsia" w:ascii="宋体" w:hAnsi="宋体" w:eastAsia="宋体" w:cs="Times New Roman"/>
          <w:color w:val="000000"/>
          <w:sz w:val="28"/>
          <w:szCs w:val="28"/>
        </w:rPr>
        <w:t>固体废物主要是污水处理过程的沉淀池污泥以及职工生活产生的废纸屑、废办公用品、果皮等生活垃圾,太钢厂区环卫部门统一处理。 本项目污泥首先进入本项目浓缩池进行浓缩处理以降低污泥含水率及体积便于后续污泥处理。浓缩后污泥送入污泥压滤间使用板框压滤机进行压滤脱水。压滤后的泥饼每天进行清运最终送往太钢2*300MW燃煤机组混入电煤进行焚烧处理。</w:t>
      </w:r>
    </w:p>
    <w:bookmarkEnd w:id="2"/>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bookmarkStart w:id="3" w:name="_Toc5029894"/>
      <w:r>
        <w:rPr>
          <w:rFonts w:ascii="宋体" w:hAnsi="宋体" w:eastAsia="宋体" w:cs="Times New Roman"/>
          <w:color w:val="000000"/>
          <w:sz w:val="28"/>
          <w:szCs w:val="28"/>
        </w:rPr>
        <w:t>（四）噪声</w:t>
      </w:r>
      <w:bookmarkEnd w:id="3"/>
    </w:p>
    <w:p>
      <w:pPr>
        <w:overflowPunct w:val="0"/>
        <w:adjustRightInd w:val="0"/>
        <w:snapToGrid w:val="0"/>
        <w:spacing w:line="460" w:lineRule="exact"/>
        <w:ind w:firstLine="560" w:firstLineChars="200"/>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产生高噪声的设备主要为污水处理厂鼓风机、污泥压滤机、搅拌机、各种泵类以及污水提升泵站提升泵等。治理措施主要是将噪声较大的设备如污水泵、污泥泵、空气压缩机等均设在室内，经过建筑隔声以及基础减震等。</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w:t>
      </w:r>
      <w:r>
        <w:rPr>
          <w:rFonts w:hint="eastAsia" w:ascii="宋体" w:hAnsi="宋体" w:eastAsia="宋体" w:cs="Times New Roman"/>
          <w:color w:val="000000"/>
          <w:sz w:val="28"/>
          <w:szCs w:val="28"/>
        </w:rPr>
        <w:t>五</w:t>
      </w:r>
      <w:r>
        <w:rPr>
          <w:rFonts w:ascii="宋体" w:hAnsi="宋体" w:eastAsia="宋体" w:cs="Times New Roman"/>
          <w:color w:val="000000"/>
          <w:sz w:val="28"/>
          <w:szCs w:val="28"/>
        </w:rPr>
        <w:t>）环保设施建设情况与环评报告及批复对照</w:t>
      </w:r>
    </w:p>
    <w:p>
      <w:pPr>
        <w:pStyle w:val="60"/>
        <w:adjustRightInd w:val="0"/>
        <w:snapToGrid w:val="0"/>
        <w:spacing w:before="0" w:beforeAutospacing="0" w:after="0" w:afterAutospacing="0" w:line="460" w:lineRule="exact"/>
        <w:ind w:firstLine="560" w:firstLineChars="200"/>
        <w:jc w:val="both"/>
        <w:rPr>
          <w:rFonts w:ascii="宋体" w:hAnsi="宋体" w:eastAsia="宋体" w:cs="Times New Roman"/>
          <w:b/>
          <w:color w:val="000000"/>
        </w:rPr>
      </w:pPr>
      <w:r>
        <w:rPr>
          <w:rFonts w:ascii="宋体" w:hAnsi="宋体" w:eastAsia="宋体" w:cs="Times New Roman"/>
          <w:color w:val="000000"/>
          <w:sz w:val="28"/>
          <w:szCs w:val="28"/>
        </w:rPr>
        <w:t>环保设施建设情况与环评报告要求对照见表2。</w:t>
      </w:r>
    </w:p>
    <w:tbl>
      <w:tblPr>
        <w:tblStyle w:val="21"/>
        <w:tblpPr w:leftFromText="180" w:rightFromText="180" w:vertAnchor="text" w:tblpXSpec="center" w:tblpY="1"/>
        <w:tblOverlap w:val="never"/>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4394"/>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8755" w:type="dxa"/>
            <w:gridSpan w:val="4"/>
            <w:tcBorders>
              <w:top w:val="nil"/>
              <w:left w:val="nil"/>
              <w:bottom w:val="single" w:color="auto" w:sz="12" w:space="0"/>
              <w:right w:val="nil"/>
            </w:tcBorders>
            <w:vAlign w:val="center"/>
          </w:tcPr>
          <w:p>
            <w:pPr>
              <w:spacing w:line="276" w:lineRule="auto"/>
              <w:ind w:right="36" w:rightChars="17"/>
              <w:jc w:val="center"/>
              <w:rPr>
                <w:rFonts w:hint="eastAsia" w:ascii="宋体" w:hAnsi="宋体" w:eastAsia="宋体" w:cs="宋体"/>
                <w:b/>
                <w:bCs/>
                <w:szCs w:val="21"/>
              </w:rPr>
            </w:pPr>
            <w:r>
              <w:rPr>
                <w:rFonts w:ascii="宋体" w:hAnsi="宋体" w:eastAsia="宋体" w:cs="Times New Roman"/>
                <w:b/>
                <w:color w:val="000000"/>
                <w:sz w:val="24"/>
              </w:rPr>
              <w:t>表2  环保设施建设情况与环评报告对照表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675" w:type="dxa"/>
            <w:tcBorders>
              <w:top w:val="single" w:color="auto" w:sz="12" w:space="0"/>
              <w:left w:val="single" w:color="auto" w:sz="12" w:space="0"/>
              <w:bottom w:val="single" w:color="auto" w:sz="12" w:space="0"/>
              <w:right w:val="single" w:color="auto" w:sz="6" w:space="0"/>
            </w:tcBorders>
            <w:vAlign w:val="center"/>
          </w:tcPr>
          <w:p>
            <w:pPr>
              <w:spacing w:line="276" w:lineRule="auto"/>
              <w:jc w:val="center"/>
              <w:rPr>
                <w:rFonts w:ascii="宋体" w:hAnsi="宋体" w:eastAsia="宋体"/>
                <w:b/>
                <w:bCs/>
                <w:szCs w:val="21"/>
              </w:rPr>
            </w:pPr>
            <w:r>
              <w:rPr>
                <w:rFonts w:hint="eastAsia" w:ascii="宋体" w:hAnsi="宋体" w:eastAsia="宋体" w:cs="宋体"/>
                <w:b/>
                <w:bCs/>
                <w:szCs w:val="21"/>
              </w:rPr>
              <w:t>类型</w:t>
            </w:r>
          </w:p>
        </w:tc>
        <w:tc>
          <w:tcPr>
            <w:tcW w:w="1276" w:type="dxa"/>
            <w:tcBorders>
              <w:top w:val="single" w:color="auto" w:sz="12" w:space="0"/>
              <w:left w:val="single" w:color="auto" w:sz="6" w:space="0"/>
              <w:bottom w:val="single" w:color="auto" w:sz="12" w:space="0"/>
              <w:right w:val="single" w:color="auto" w:sz="6" w:space="0"/>
            </w:tcBorders>
            <w:vAlign w:val="center"/>
          </w:tcPr>
          <w:p>
            <w:pPr>
              <w:spacing w:line="276" w:lineRule="auto"/>
              <w:jc w:val="center"/>
              <w:rPr>
                <w:rFonts w:ascii="宋体" w:hAnsi="宋体" w:eastAsia="宋体"/>
                <w:b/>
                <w:bCs/>
                <w:szCs w:val="21"/>
              </w:rPr>
            </w:pPr>
            <w:r>
              <w:rPr>
                <w:rFonts w:hint="eastAsia" w:ascii="宋体" w:hAnsi="宋体" w:eastAsia="宋体" w:cs="宋体"/>
                <w:b/>
                <w:bCs/>
                <w:szCs w:val="21"/>
              </w:rPr>
              <w:t>排放源</w:t>
            </w:r>
          </w:p>
        </w:tc>
        <w:tc>
          <w:tcPr>
            <w:tcW w:w="4394" w:type="dxa"/>
            <w:tcBorders>
              <w:top w:val="single" w:color="auto" w:sz="12" w:space="0"/>
              <w:left w:val="single" w:color="auto" w:sz="6" w:space="0"/>
              <w:bottom w:val="single" w:color="auto" w:sz="12" w:space="0"/>
              <w:right w:val="single" w:color="auto" w:sz="6" w:space="0"/>
            </w:tcBorders>
            <w:vAlign w:val="center"/>
          </w:tcPr>
          <w:p>
            <w:pPr>
              <w:spacing w:line="276" w:lineRule="auto"/>
              <w:jc w:val="center"/>
              <w:rPr>
                <w:rFonts w:ascii="宋体" w:hAnsi="宋体" w:eastAsia="宋体"/>
                <w:b/>
                <w:bCs/>
                <w:szCs w:val="21"/>
              </w:rPr>
            </w:pPr>
            <w:r>
              <w:rPr>
                <w:rFonts w:hint="eastAsia" w:ascii="宋体" w:hAnsi="宋体" w:eastAsia="宋体" w:cs="宋体"/>
                <w:b/>
                <w:bCs/>
                <w:szCs w:val="21"/>
              </w:rPr>
              <w:t>环评要求</w:t>
            </w:r>
          </w:p>
        </w:tc>
        <w:tc>
          <w:tcPr>
            <w:tcW w:w="2410" w:type="dxa"/>
            <w:tcBorders>
              <w:top w:val="single" w:color="auto" w:sz="12" w:space="0"/>
              <w:left w:val="single" w:color="auto" w:sz="6" w:space="0"/>
              <w:bottom w:val="single" w:color="auto" w:sz="12" w:space="0"/>
              <w:right w:val="single" w:color="auto" w:sz="12" w:space="0"/>
            </w:tcBorders>
            <w:vAlign w:val="center"/>
          </w:tcPr>
          <w:p>
            <w:pPr>
              <w:spacing w:line="276" w:lineRule="auto"/>
              <w:ind w:right="36" w:rightChars="17"/>
              <w:jc w:val="center"/>
              <w:rPr>
                <w:rFonts w:ascii="宋体" w:hAnsi="宋体" w:eastAsia="宋体"/>
                <w:b/>
                <w:bCs/>
                <w:szCs w:val="21"/>
              </w:rPr>
            </w:pPr>
            <w:r>
              <w:rPr>
                <w:rFonts w:hint="eastAsia" w:ascii="宋体" w:hAnsi="宋体" w:eastAsia="宋体" w:cs="宋体"/>
                <w:b/>
                <w:bCs/>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75" w:type="dxa"/>
            <w:tcBorders>
              <w:top w:val="single" w:color="auto" w:sz="12"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szCs w:val="21"/>
              </w:rPr>
            </w:pPr>
            <w:r>
              <w:rPr>
                <w:rFonts w:hint="eastAsia" w:ascii="宋体" w:hAnsi="宋体" w:eastAsia="宋体" w:cs="宋体"/>
                <w:szCs w:val="21"/>
              </w:rPr>
              <w:t>大气污染物</w:t>
            </w:r>
          </w:p>
        </w:tc>
        <w:tc>
          <w:tcPr>
            <w:tcW w:w="1276"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生化反应池、污泥浓缩池、污泥脱水间</w:t>
            </w:r>
          </w:p>
          <w:p>
            <w:pPr>
              <w:pStyle w:val="2"/>
              <w:adjustRightInd w:val="0"/>
              <w:snapToGrid w:val="0"/>
              <w:spacing w:after="0" w:line="240" w:lineRule="atLeast"/>
              <w:rPr>
                <w:rFonts w:ascii="宋体" w:hAnsi="宋体" w:eastAsia="宋体"/>
              </w:rPr>
            </w:pPr>
            <w:r>
              <w:rPr>
                <w:rFonts w:hint="eastAsia" w:ascii="宋体" w:hAnsi="宋体" w:eastAsia="宋体"/>
              </w:rPr>
              <w:t>恶臭、H</w:t>
            </w:r>
            <w:r>
              <w:rPr>
                <w:rFonts w:hint="eastAsia" w:ascii="宋体" w:hAnsi="宋体" w:eastAsia="宋体"/>
                <w:vertAlign w:val="subscript"/>
              </w:rPr>
              <w:t>2</w:t>
            </w:r>
            <w:r>
              <w:rPr>
                <w:rFonts w:hint="eastAsia" w:ascii="宋体" w:hAnsi="宋体" w:eastAsia="宋体"/>
              </w:rPr>
              <w:t>S、NH</w:t>
            </w:r>
            <w:r>
              <w:rPr>
                <w:rFonts w:hint="eastAsia" w:ascii="宋体" w:hAnsi="宋体" w:eastAsia="宋体"/>
                <w:vertAlign w:val="subscript"/>
              </w:rPr>
              <w:t>3</w:t>
            </w:r>
          </w:p>
        </w:tc>
        <w:tc>
          <w:tcPr>
            <w:tcW w:w="4394"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240" w:lineRule="atLeast"/>
              <w:rPr>
                <w:rFonts w:ascii="宋体" w:hAnsi="宋体" w:eastAsia="宋体"/>
                <w:szCs w:val="21"/>
              </w:rPr>
            </w:pPr>
            <w:r>
              <w:rPr>
                <w:rFonts w:hint="eastAsia" w:ascii="宋体" w:hAnsi="宋体" w:eastAsia="宋体" w:cs="宋体"/>
                <w:szCs w:val="21"/>
              </w:rPr>
              <w:t>污泥脱水间内污泥每日清理外运；项目加强绿化，四周在不影响建筑设计要求的情况下优先种植高大乔木，加强日常管理。</w:t>
            </w:r>
          </w:p>
        </w:tc>
        <w:tc>
          <w:tcPr>
            <w:tcW w:w="2410" w:type="dxa"/>
            <w:tcBorders>
              <w:top w:val="single" w:color="auto" w:sz="12" w:space="0"/>
              <w:left w:val="single" w:color="auto" w:sz="6" w:space="0"/>
              <w:bottom w:val="single" w:color="auto" w:sz="6" w:space="0"/>
              <w:right w:val="single" w:color="auto" w:sz="12" w:space="0"/>
            </w:tcBorders>
            <w:vAlign w:val="center"/>
          </w:tcPr>
          <w:p>
            <w:pPr>
              <w:adjustRightInd w:val="0"/>
              <w:snapToGrid w:val="0"/>
              <w:spacing w:line="240" w:lineRule="atLeast"/>
              <w:ind w:right="36" w:rightChars="17"/>
              <w:jc w:val="center"/>
              <w:rPr>
                <w:rFonts w:ascii="宋体" w:hAnsi="宋体" w:eastAsia="宋体"/>
                <w:szCs w:val="21"/>
              </w:rPr>
            </w:pPr>
            <w:r>
              <w:rPr>
                <w:rFonts w:hint="eastAsia" w:ascii="宋体" w:hAnsi="宋体" w:eastAsia="宋体" w:cs="宋体"/>
                <w:szCs w:val="21"/>
              </w:rPr>
              <w:t>污泥脱水间内污泥每日清理外运，四周在不影响建筑设计要求的情况下优先种植高大乔木</w:t>
            </w:r>
            <w:r>
              <w:rPr>
                <w:rFonts w:hint="eastAsia" w:ascii="宋体" w:hAnsi="宋体" w:eastAsia="宋体"/>
                <w:color w:val="000000"/>
                <w:szCs w:val="21"/>
              </w:rPr>
              <w:t>绿化面积</w:t>
            </w:r>
            <w:r>
              <w:rPr>
                <w:rFonts w:ascii="宋体" w:hAnsi="宋体" w:eastAsia="宋体"/>
                <w:color w:val="000000"/>
                <w:szCs w:val="21"/>
              </w:rPr>
              <w:t>4400</w:t>
            </w:r>
            <w:r>
              <w:rPr>
                <w:rFonts w:hint="eastAsia" w:ascii="宋体" w:hAnsi="宋体" w:eastAsia="宋体"/>
                <w:color w:val="000000"/>
                <w:szCs w:val="21"/>
              </w:rPr>
              <w:t>m</w:t>
            </w:r>
            <w:r>
              <w:rPr>
                <w:rFonts w:hint="eastAsia" w:ascii="宋体" w:hAnsi="宋体" w:eastAsia="宋体"/>
                <w:color w:val="000000"/>
                <w:szCs w:val="21"/>
                <w:vertAlign w:val="superscript"/>
              </w:rPr>
              <w:t>2</w:t>
            </w:r>
            <w:r>
              <w:rPr>
                <w:rFonts w:hint="eastAsia" w:ascii="宋体" w:hAnsi="宋体" w:eastAsia="宋体"/>
                <w:color w:val="000000"/>
                <w:szCs w:val="21"/>
              </w:rPr>
              <w:t>，绿化率</w:t>
            </w:r>
            <w:r>
              <w:rPr>
                <w:rFonts w:ascii="宋体" w:hAnsi="宋体" w:eastAsia="宋体"/>
                <w:color w:val="000000"/>
                <w:szCs w:val="21"/>
              </w:rPr>
              <w:t>15</w:t>
            </w:r>
            <w:r>
              <w:rPr>
                <w:rFonts w:hint="eastAsia" w:ascii="宋体" w:hAnsi="宋体" w:eastAsia="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jc w:val="center"/>
        </w:trPr>
        <w:tc>
          <w:tcPr>
            <w:tcW w:w="675" w:type="dxa"/>
            <w:vMerge w:val="restart"/>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ascii="宋体" w:hAnsi="宋体" w:eastAsia="宋体" w:cs="宋体"/>
                <w:szCs w:val="21"/>
              </w:rPr>
              <w:t>水污染物</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szCs w:val="21"/>
              </w:rPr>
            </w:pPr>
            <w:r>
              <w:rPr>
                <w:rFonts w:hint="eastAsia" w:ascii="宋体" w:hAnsi="宋体" w:eastAsia="宋体"/>
                <w:szCs w:val="21"/>
              </w:rPr>
              <w:t>污水及污泥处理设施、加药设施</w:t>
            </w:r>
          </w:p>
          <w:p>
            <w:pPr>
              <w:adjustRightInd w:val="0"/>
              <w:snapToGrid w:val="0"/>
              <w:spacing w:line="240" w:lineRule="atLeast"/>
              <w:jc w:val="center"/>
              <w:rPr>
                <w:rFonts w:hint="eastAsia" w:ascii="宋体" w:hAnsi="宋体" w:eastAsia="宋体"/>
                <w:szCs w:val="21"/>
              </w:rPr>
            </w:pPr>
            <w:r>
              <w:rPr>
                <w:rFonts w:hint="eastAsia" w:ascii="宋体" w:hAnsi="宋体" w:eastAsia="宋体"/>
                <w:szCs w:val="21"/>
              </w:rPr>
              <w:t>设施底部渗液、渗水</w:t>
            </w:r>
          </w:p>
        </w:tc>
        <w:tc>
          <w:tcPr>
            <w:tcW w:w="4394" w:type="dxa"/>
            <w:tcBorders>
              <w:top w:val="single" w:color="auto" w:sz="6" w:space="0"/>
              <w:left w:val="single" w:color="auto" w:sz="6" w:space="0"/>
              <w:bottom w:val="single" w:color="auto" w:sz="6" w:space="0"/>
              <w:right w:val="single" w:color="auto" w:sz="6" w:space="0"/>
            </w:tcBorders>
            <w:vAlign w:val="top"/>
          </w:tcPr>
          <w:p>
            <w:pPr>
              <w:adjustRightInd w:val="0"/>
              <w:snapToGrid w:val="0"/>
              <w:spacing w:line="240" w:lineRule="atLeast"/>
              <w:rPr>
                <w:rFonts w:hint="eastAsia" w:ascii="宋体" w:hAnsi="宋体" w:eastAsia="宋体" w:cs="宋体"/>
                <w:szCs w:val="21"/>
              </w:rPr>
            </w:pPr>
            <w:r>
              <w:rPr>
                <w:rFonts w:hint="eastAsia" w:ascii="宋体" w:hAnsi="宋体" w:eastAsia="宋体" w:cs="宋体"/>
                <w:szCs w:val="21"/>
              </w:rPr>
              <w:t>采取分区防渗措施，生产设施、药剂存储投加设施、污泥脱水间等重点防渗区要求等效黏土防渗层Mb≥6.0m，K&lt;10-7cm/s，要求混凝土池体采用防渗钢筋混凝土，池体及围堰内表面涂刷水泥基渗透结晶型防水涂料(渗透系数不大于1.0×10-7cm/s)，池底、药剂存储设施及污泥脱水间地面采用“抗渗钢筋混凝土整体基础+素混凝土垫层+长丝无纺土工布+原土夯实”，混凝土强度等级不低于C30，结构厚度不小于250mm，混凝土的抗渗等级不低于P8，水泥基渗透结晶型防水涂料厚度不小于1.0mm。项目内部污水管线基础、泵房等一般防渗区要求等效黏土防渗层Mb≥1.5m，K&lt;10-7cm/s，要求通过在抗渗混凝土面层中掺水泥基渗透结晶型防水剂，其下铺砌砂石基层，原土夯实达到防渗的目的，渗透系数不大于1.0×10-7cm/s，抗渗混凝土的抗渗等级不低于P8，其厚度不小于100mm；水池结构厚度不小于250mm，混凝土的抗渗等级不低于P8；</w:t>
            </w:r>
          </w:p>
        </w:tc>
        <w:tc>
          <w:tcPr>
            <w:tcW w:w="2410"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rPr>
                <w:rFonts w:hint="eastAsia" w:ascii="宋体" w:hAnsi="宋体" w:eastAsia="宋体" w:cs="宋体"/>
                <w:szCs w:val="21"/>
              </w:rPr>
            </w:pPr>
            <w:r>
              <w:rPr>
                <w:rFonts w:hint="eastAsia" w:ascii="宋体" w:hAnsi="宋体" w:eastAsia="宋体" w:cs="宋体"/>
                <w:szCs w:val="21"/>
              </w:rPr>
              <w:t>满足《环境影响评价技术导则地下水环境》中11.2表7中防渗技术要求，重点防渗区等效黏土防渗层Mb</w:t>
            </w:r>
            <w:r>
              <w:rPr>
                <w:rFonts w:ascii="宋体" w:hAnsi="宋体" w:eastAsia="宋体" w:cs="宋体"/>
                <w:szCs w:val="21"/>
              </w:rPr>
              <w:t>≥</w:t>
            </w:r>
            <w:r>
              <w:rPr>
                <w:rFonts w:hint="eastAsia" w:ascii="宋体" w:hAnsi="宋体" w:eastAsia="宋体" w:cs="宋体"/>
                <w:szCs w:val="21"/>
              </w:rPr>
              <w:t>6.0m，K&lt;10-7cm/s，一般防渗区等效黏土防渗层Mb</w:t>
            </w:r>
            <w:r>
              <w:rPr>
                <w:rFonts w:ascii="宋体" w:hAnsi="宋体" w:eastAsia="宋体" w:cs="宋体"/>
                <w:szCs w:val="21"/>
              </w:rPr>
              <w:t>≥</w:t>
            </w:r>
            <w:r>
              <w:rPr>
                <w:rFonts w:hint="eastAsia" w:ascii="宋体" w:hAnsi="宋体" w:eastAsia="宋体" w:cs="宋体"/>
                <w:szCs w:val="21"/>
              </w:rPr>
              <w:t>1.5m，K&lt;10-7cm/s，简单防渗区进行一般地面硬化要求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675" w:type="dxa"/>
            <w:vMerge w:val="continue"/>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职工生活</w:t>
            </w:r>
          </w:p>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生活污水</w:t>
            </w:r>
          </w:p>
        </w:tc>
        <w:tc>
          <w:tcPr>
            <w:tcW w:w="439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rPr>
                <w:rFonts w:ascii="宋体" w:hAnsi="宋体" w:eastAsia="宋体" w:cs="宋体"/>
                <w:szCs w:val="21"/>
              </w:rPr>
            </w:pPr>
            <w:r>
              <w:rPr>
                <w:rFonts w:hint="eastAsia" w:ascii="宋体" w:hAnsi="宋体" w:eastAsia="宋体" w:cs="宋体"/>
                <w:szCs w:val="21"/>
              </w:rPr>
              <w:t>依托太钢生活污水处理设施处理</w:t>
            </w:r>
          </w:p>
        </w:tc>
        <w:tc>
          <w:tcPr>
            <w:tcW w:w="2410"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依托太钢生活污水处理设施处理达标排放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675"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噪声</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鼓风机、泵类、压滤机</w:t>
            </w:r>
          </w:p>
        </w:tc>
        <w:tc>
          <w:tcPr>
            <w:tcW w:w="4394" w:type="dxa"/>
            <w:tcBorders>
              <w:top w:val="single" w:color="auto" w:sz="6" w:space="0"/>
              <w:left w:val="single" w:color="auto" w:sz="6" w:space="0"/>
              <w:bottom w:val="single" w:color="auto" w:sz="6" w:space="0"/>
              <w:right w:val="single" w:color="auto" w:sz="6" w:space="0"/>
            </w:tcBorders>
            <w:vAlign w:val="center"/>
          </w:tcPr>
          <w:p>
            <w:pPr>
              <w:pStyle w:val="47"/>
              <w:widowControl/>
              <w:adjustRightInd w:val="0"/>
              <w:snapToGrid w:val="0"/>
              <w:spacing w:line="240" w:lineRule="atLeast"/>
              <w:rPr>
                <w:rFonts w:ascii="宋体" w:hAnsi="宋体" w:eastAsia="宋体" w:cs="宋体"/>
                <w:kern w:val="0"/>
              </w:rPr>
            </w:pPr>
            <w:r>
              <w:rPr>
                <w:rFonts w:hint="eastAsia" w:ascii="宋体" w:hAnsi="宋体" w:eastAsia="宋体" w:cs="宋体"/>
                <w:kern w:val="0"/>
              </w:rPr>
              <w:t>建筑隔声、减震垫、消声器</w:t>
            </w:r>
          </w:p>
        </w:tc>
        <w:tc>
          <w:tcPr>
            <w:tcW w:w="2410"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kern w:val="0"/>
              </w:rPr>
              <w:t>建筑隔声、减震垫、消声器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675" w:type="dxa"/>
            <w:vMerge w:val="restart"/>
            <w:tcBorders>
              <w:top w:val="single" w:color="auto" w:sz="6" w:space="0"/>
              <w:left w:val="single" w:color="auto" w:sz="12" w:space="0"/>
              <w:right w:val="single" w:color="auto" w:sz="6" w:space="0"/>
            </w:tcBorders>
            <w:vAlign w:val="center"/>
          </w:tcPr>
          <w:p>
            <w:pPr>
              <w:adjustRightInd w:val="0"/>
              <w:snapToGrid w:val="0"/>
              <w:spacing w:line="240" w:lineRule="atLeast"/>
              <w:jc w:val="center"/>
              <w:rPr>
                <w:rFonts w:hint="eastAsia" w:ascii="宋体" w:hAnsi="宋体" w:eastAsia="宋体" w:cs="宋体"/>
                <w:szCs w:val="21"/>
              </w:rPr>
            </w:pPr>
            <w:r>
              <w:rPr>
                <w:rFonts w:hint="eastAsia" w:ascii="宋体" w:hAnsi="宋体" w:eastAsia="宋体" w:cs="宋体"/>
                <w:szCs w:val="21"/>
              </w:rPr>
              <w:t>固体废物</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污泥</w:t>
            </w:r>
          </w:p>
        </w:tc>
        <w:tc>
          <w:tcPr>
            <w:tcW w:w="439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浓缩压滤脱水后含水率小于60%，与原项目中和站污泥一并处理</w:t>
            </w:r>
          </w:p>
        </w:tc>
        <w:tc>
          <w:tcPr>
            <w:tcW w:w="2410"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浓缩压滤脱水后含水率小于60%，与原项目中和站污泥一并处理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675" w:type="dxa"/>
            <w:vMerge w:val="continue"/>
            <w:tcBorders>
              <w:left w:val="single" w:color="auto" w:sz="12" w:space="0"/>
              <w:bottom w:val="single" w:color="auto" w:sz="12" w:space="0"/>
              <w:right w:val="single" w:color="auto" w:sz="6" w:space="0"/>
            </w:tcBorders>
            <w:vAlign w:val="center"/>
          </w:tcPr>
          <w:p>
            <w:pPr>
              <w:adjustRightInd w:val="0"/>
              <w:snapToGrid w:val="0"/>
              <w:spacing w:line="240" w:lineRule="atLeast"/>
              <w:jc w:val="center"/>
              <w:rPr>
                <w:rFonts w:hint="eastAsia" w:ascii="宋体" w:hAnsi="宋体" w:eastAsia="宋体" w:cs="宋体"/>
                <w:szCs w:val="21"/>
              </w:rPr>
            </w:pPr>
          </w:p>
        </w:tc>
        <w:tc>
          <w:tcPr>
            <w:tcW w:w="1276" w:type="dxa"/>
            <w:tcBorders>
              <w:top w:val="single" w:color="auto" w:sz="6" w:space="0"/>
              <w:left w:val="single" w:color="auto" w:sz="6" w:space="0"/>
              <w:bottom w:val="single" w:color="auto" w:sz="12"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生活垃圾</w:t>
            </w:r>
          </w:p>
        </w:tc>
        <w:tc>
          <w:tcPr>
            <w:tcW w:w="4394" w:type="dxa"/>
            <w:tcBorders>
              <w:top w:val="single" w:color="auto" w:sz="6" w:space="0"/>
              <w:left w:val="single" w:color="auto" w:sz="6" w:space="0"/>
              <w:bottom w:val="single" w:color="auto" w:sz="12" w:space="0"/>
              <w:right w:val="single" w:color="auto" w:sz="6"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太钢厂区环卫部门统一处理</w:t>
            </w:r>
          </w:p>
        </w:tc>
        <w:tc>
          <w:tcPr>
            <w:tcW w:w="2410" w:type="dxa"/>
            <w:tcBorders>
              <w:top w:val="single" w:color="auto" w:sz="6" w:space="0"/>
              <w:left w:val="single" w:color="auto" w:sz="6" w:space="0"/>
              <w:bottom w:val="single" w:color="auto" w:sz="12" w:space="0"/>
              <w:right w:val="single" w:color="auto" w:sz="12" w:space="0"/>
            </w:tcBorders>
            <w:vAlign w:val="center"/>
          </w:tcPr>
          <w:p>
            <w:pPr>
              <w:adjustRightInd w:val="0"/>
              <w:snapToGrid w:val="0"/>
              <w:spacing w:line="240" w:lineRule="atLeast"/>
              <w:jc w:val="center"/>
              <w:rPr>
                <w:rFonts w:ascii="宋体" w:hAnsi="宋体" w:eastAsia="宋体" w:cs="宋体"/>
                <w:szCs w:val="21"/>
              </w:rPr>
            </w:pPr>
            <w:r>
              <w:rPr>
                <w:rFonts w:hint="eastAsia" w:ascii="宋体" w:hAnsi="宋体" w:eastAsia="宋体" w:cs="宋体"/>
                <w:szCs w:val="21"/>
              </w:rPr>
              <w:t>太钢厂区环卫部门统一处理</w:t>
            </w:r>
          </w:p>
        </w:tc>
      </w:tr>
    </w:tbl>
    <w:p>
      <w:pPr>
        <w:pStyle w:val="60"/>
        <w:snapToGrid w:val="0"/>
        <w:spacing w:before="0" w:beforeAutospacing="0" w:after="0" w:afterAutospacing="0" w:line="500" w:lineRule="exact"/>
        <w:ind w:firstLine="560" w:firstLineChars="200"/>
        <w:jc w:val="both"/>
        <w:rPr>
          <w:rFonts w:ascii="宋体" w:hAnsi="宋体" w:eastAsia="宋体" w:cs="Times New Roman"/>
          <w:b/>
          <w:color w:val="000000"/>
        </w:rPr>
      </w:pPr>
      <w:r>
        <w:rPr>
          <w:rFonts w:ascii="宋体" w:hAnsi="宋体" w:eastAsia="宋体" w:cs="Times New Roman"/>
          <w:color w:val="000000"/>
          <w:sz w:val="28"/>
          <w:szCs w:val="28"/>
        </w:rPr>
        <w:t>环保设施实际建设情况与环评批复要求对照见表</w:t>
      </w:r>
      <w:r>
        <w:rPr>
          <w:rFonts w:hint="eastAsia" w:ascii="宋体" w:hAnsi="宋体" w:eastAsia="宋体" w:cs="Times New Roman"/>
          <w:color w:val="000000"/>
          <w:sz w:val="28"/>
          <w:szCs w:val="28"/>
        </w:rPr>
        <w:t>3</w:t>
      </w:r>
      <w:r>
        <w:rPr>
          <w:rFonts w:ascii="宋体" w:hAnsi="宋体" w:eastAsia="宋体" w:cs="Times New Roman"/>
          <w:color w:val="000000"/>
          <w:sz w:val="28"/>
          <w:szCs w:val="28"/>
        </w:rPr>
        <w:t>。</w:t>
      </w:r>
    </w:p>
    <w:tbl>
      <w:tblPr>
        <w:tblStyle w:val="22"/>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4033"/>
        <w:gridCol w:w="4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blHeader/>
        </w:trPr>
        <w:tc>
          <w:tcPr>
            <w:tcW w:w="9039" w:type="dxa"/>
            <w:gridSpan w:val="3"/>
            <w:tcBorders>
              <w:top w:val="nil"/>
              <w:left w:val="nil"/>
              <w:bottom w:val="single" w:color="auto" w:sz="12" w:space="0"/>
              <w:right w:val="nil"/>
            </w:tcBorders>
            <w:vAlign w:val="center"/>
          </w:tcPr>
          <w:p>
            <w:pPr>
              <w:snapToGrid w:val="0"/>
              <w:jc w:val="center"/>
              <w:rPr>
                <w:rFonts w:ascii="宋体" w:hAnsi="宋体" w:eastAsia="宋体" w:cs="Times New Roman"/>
                <w:b/>
                <w:sz w:val="24"/>
              </w:rPr>
            </w:pPr>
            <w:r>
              <w:rPr>
                <w:rFonts w:ascii="宋体" w:hAnsi="宋体" w:eastAsia="宋体" w:cs="Times New Roman"/>
                <w:b/>
                <w:color w:val="000000"/>
                <w:sz w:val="24"/>
              </w:rPr>
              <w:t>表</w:t>
            </w:r>
            <w:r>
              <w:rPr>
                <w:rFonts w:hint="eastAsia" w:ascii="宋体" w:hAnsi="宋体" w:eastAsia="宋体" w:cs="Times New Roman"/>
                <w:b/>
                <w:color w:val="000000"/>
                <w:sz w:val="24"/>
              </w:rPr>
              <w:t>3</w:t>
            </w:r>
            <w:r>
              <w:rPr>
                <w:rFonts w:ascii="宋体" w:hAnsi="宋体" w:eastAsia="宋体" w:cs="Times New Roman"/>
                <w:b/>
                <w:color w:val="000000"/>
                <w:sz w:val="24"/>
              </w:rPr>
              <w:t xml:space="preserve">  环保设施实际建设情况与环评批复要求对照表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91" w:type="dxa"/>
            <w:tcBorders>
              <w:top w:val="single" w:color="auto" w:sz="12" w:space="0"/>
              <w:left w:val="single" w:color="auto" w:sz="12" w:space="0"/>
              <w:bottom w:val="single" w:color="auto" w:sz="12" w:space="0"/>
              <w:right w:val="single" w:color="auto" w:sz="6" w:space="0"/>
            </w:tcBorders>
            <w:vAlign w:val="center"/>
          </w:tcPr>
          <w:p>
            <w:pPr>
              <w:adjustRightInd w:val="0"/>
              <w:snapToGrid w:val="0"/>
              <w:spacing w:line="240" w:lineRule="atLeast"/>
              <w:jc w:val="center"/>
              <w:rPr>
                <w:rFonts w:ascii="宋体" w:hAnsi="宋体" w:eastAsia="宋体" w:cs="Times New Roman"/>
                <w:b/>
                <w:szCs w:val="21"/>
              </w:rPr>
            </w:pPr>
            <w:r>
              <w:rPr>
                <w:rFonts w:ascii="宋体" w:hAnsi="宋体" w:eastAsia="宋体" w:cs="Times New Roman"/>
                <w:b/>
                <w:szCs w:val="21"/>
              </w:rPr>
              <w:t>序号</w:t>
            </w:r>
          </w:p>
        </w:tc>
        <w:tc>
          <w:tcPr>
            <w:tcW w:w="4033" w:type="dxa"/>
            <w:tcBorders>
              <w:top w:val="single" w:color="auto" w:sz="12" w:space="0"/>
              <w:left w:val="single" w:color="auto" w:sz="6" w:space="0"/>
              <w:bottom w:val="single" w:color="auto" w:sz="12" w:space="0"/>
              <w:right w:val="single" w:color="auto" w:sz="6" w:space="0"/>
            </w:tcBorders>
            <w:vAlign w:val="center"/>
          </w:tcPr>
          <w:p>
            <w:pPr>
              <w:adjustRightInd w:val="0"/>
              <w:snapToGrid w:val="0"/>
              <w:spacing w:line="240" w:lineRule="atLeast"/>
              <w:jc w:val="center"/>
              <w:rPr>
                <w:rFonts w:ascii="宋体" w:hAnsi="宋体" w:eastAsia="宋体" w:cs="Times New Roman"/>
                <w:b/>
                <w:szCs w:val="21"/>
              </w:rPr>
            </w:pPr>
            <w:r>
              <w:rPr>
                <w:rFonts w:ascii="宋体" w:hAnsi="宋体" w:eastAsia="宋体" w:cs="Times New Roman"/>
                <w:b/>
                <w:szCs w:val="21"/>
              </w:rPr>
              <w:t>环评批复要求措施</w:t>
            </w:r>
          </w:p>
        </w:tc>
        <w:tc>
          <w:tcPr>
            <w:tcW w:w="4315" w:type="dxa"/>
            <w:tcBorders>
              <w:top w:val="single" w:color="auto" w:sz="12" w:space="0"/>
              <w:left w:val="single" w:color="auto" w:sz="6" w:space="0"/>
              <w:bottom w:val="single" w:color="auto" w:sz="12" w:space="0"/>
              <w:right w:val="single" w:color="auto" w:sz="12" w:space="0"/>
            </w:tcBorders>
            <w:vAlign w:val="center"/>
          </w:tcPr>
          <w:p>
            <w:pPr>
              <w:adjustRightInd w:val="0"/>
              <w:snapToGrid w:val="0"/>
              <w:spacing w:line="240" w:lineRule="atLeast"/>
              <w:jc w:val="center"/>
              <w:rPr>
                <w:rFonts w:ascii="宋体" w:hAnsi="宋体" w:eastAsia="宋体" w:cs="Times New Roman"/>
                <w:b/>
                <w:szCs w:val="21"/>
              </w:rPr>
            </w:pPr>
            <w:r>
              <w:rPr>
                <w:rFonts w:ascii="宋体" w:hAnsi="宋体"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91" w:type="dxa"/>
            <w:tcBorders>
              <w:top w:val="single" w:color="auto" w:sz="12"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szCs w:val="21"/>
              </w:rPr>
            </w:pPr>
            <w:r>
              <w:rPr>
                <w:rFonts w:ascii="宋体" w:hAnsi="宋体" w:eastAsia="宋体" w:cs="Times New Roman"/>
                <w:szCs w:val="21"/>
              </w:rPr>
              <w:t>1</w:t>
            </w:r>
          </w:p>
        </w:tc>
        <w:tc>
          <w:tcPr>
            <w:tcW w:w="4033"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240" w:lineRule="atLeast"/>
              <w:ind w:right="-80"/>
              <w:rPr>
                <w:rFonts w:ascii="宋体" w:hAnsi="宋体" w:eastAsia="宋体" w:cs="Times New Roman"/>
                <w:szCs w:val="21"/>
              </w:rPr>
            </w:pPr>
            <w:r>
              <w:rPr>
                <w:rFonts w:hint="eastAsia" w:ascii="宋体" w:hAnsi="宋体" w:eastAsia="宋体"/>
                <w:szCs w:val="21"/>
              </w:rPr>
              <w:t>加强项目周围绿化，并加强日常管理，以有效削减水处理设施产生的恶臭，无组织恶臭、</w:t>
            </w:r>
            <w:r>
              <w:rPr>
                <w:rFonts w:hint="eastAsia" w:ascii="宋体" w:hAnsi="宋体" w:eastAsia="宋体"/>
              </w:rPr>
              <w:t>H</w:t>
            </w:r>
            <w:r>
              <w:rPr>
                <w:rFonts w:hint="eastAsia" w:ascii="宋体" w:hAnsi="宋体" w:eastAsia="宋体"/>
                <w:vertAlign w:val="subscript"/>
              </w:rPr>
              <w:t>2</w:t>
            </w:r>
            <w:r>
              <w:rPr>
                <w:rFonts w:hint="eastAsia" w:ascii="宋体" w:hAnsi="宋体" w:eastAsia="宋体"/>
              </w:rPr>
              <w:t>S、NH</w:t>
            </w:r>
            <w:r>
              <w:rPr>
                <w:rFonts w:hint="eastAsia" w:ascii="宋体" w:hAnsi="宋体" w:eastAsia="宋体"/>
                <w:vertAlign w:val="subscript"/>
              </w:rPr>
              <w:t>3</w:t>
            </w:r>
            <w:r>
              <w:rPr>
                <w:rFonts w:hint="eastAsia" w:ascii="宋体" w:hAnsi="宋体" w:eastAsia="宋体"/>
                <w:szCs w:val="21"/>
              </w:rPr>
              <w:t>、甲烷满足《城镇污水处理厂污染物排放标准》（G</w:t>
            </w:r>
            <w:r>
              <w:rPr>
                <w:rFonts w:ascii="宋体" w:hAnsi="宋体" w:eastAsia="宋体"/>
                <w:szCs w:val="21"/>
              </w:rPr>
              <w:t>B18918-2002</w:t>
            </w:r>
            <w:r>
              <w:rPr>
                <w:rFonts w:hint="eastAsia" w:ascii="宋体" w:hAnsi="宋体" w:eastAsia="宋体"/>
                <w:szCs w:val="21"/>
              </w:rPr>
              <w:t>）表5中二级排放标准。</w:t>
            </w:r>
          </w:p>
        </w:tc>
        <w:tc>
          <w:tcPr>
            <w:tcW w:w="4315" w:type="dxa"/>
            <w:tcBorders>
              <w:top w:val="single" w:color="auto" w:sz="12" w:space="0"/>
              <w:left w:val="single" w:color="auto" w:sz="6" w:space="0"/>
              <w:bottom w:val="single" w:color="auto" w:sz="6" w:space="0"/>
              <w:right w:val="single" w:color="auto" w:sz="12"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通过对污水的深度处理，可使水处理设施的无组织恶臭＜2</w:t>
            </w:r>
            <w:r>
              <w:rPr>
                <w:rFonts w:ascii="宋体" w:hAnsi="宋体" w:eastAsia="宋体"/>
                <w:szCs w:val="21"/>
              </w:rPr>
              <w:t>0</w:t>
            </w:r>
            <w:r>
              <w:rPr>
                <w:rFonts w:hint="eastAsia" w:ascii="宋体" w:hAnsi="宋体" w:eastAsia="宋体"/>
                <w:szCs w:val="21"/>
              </w:rPr>
              <w:t>、</w:t>
            </w:r>
            <w:r>
              <w:rPr>
                <w:rFonts w:hint="eastAsia" w:ascii="宋体" w:hAnsi="宋体" w:eastAsia="宋体"/>
              </w:rPr>
              <w:t>H</w:t>
            </w:r>
            <w:r>
              <w:rPr>
                <w:rFonts w:hint="eastAsia" w:ascii="宋体" w:hAnsi="宋体" w:eastAsia="宋体"/>
                <w:vertAlign w:val="subscript"/>
              </w:rPr>
              <w:t>2</w:t>
            </w:r>
            <w:r>
              <w:rPr>
                <w:rFonts w:hint="eastAsia" w:ascii="宋体" w:hAnsi="宋体" w:eastAsia="宋体"/>
              </w:rPr>
              <w:t>S</w:t>
            </w:r>
            <w:r>
              <w:rPr>
                <w:rFonts w:hint="eastAsia" w:ascii="宋体" w:hAnsi="宋体" w:eastAsia="宋体"/>
                <w:szCs w:val="21"/>
              </w:rPr>
              <w:t>＜</w:t>
            </w:r>
            <w:r>
              <w:rPr>
                <w:rFonts w:ascii="宋体" w:hAnsi="宋体" w:eastAsia="宋体"/>
                <w:color w:val="000000"/>
                <w:szCs w:val="21"/>
              </w:rPr>
              <w:t>0.06mg/m</w:t>
            </w:r>
            <w:r>
              <w:rPr>
                <w:rFonts w:ascii="宋体" w:hAnsi="宋体" w:eastAsia="宋体"/>
                <w:color w:val="000000"/>
                <w:szCs w:val="21"/>
                <w:vertAlign w:val="superscript"/>
              </w:rPr>
              <w:t>3</w:t>
            </w:r>
            <w:r>
              <w:rPr>
                <w:rFonts w:hint="eastAsia" w:ascii="宋体" w:hAnsi="宋体" w:eastAsia="宋体"/>
              </w:rPr>
              <w:t>、NH</w:t>
            </w:r>
            <w:r>
              <w:rPr>
                <w:rFonts w:hint="eastAsia" w:ascii="宋体" w:hAnsi="宋体" w:eastAsia="宋体"/>
                <w:vertAlign w:val="subscript"/>
              </w:rPr>
              <w:t>3</w:t>
            </w:r>
            <w:r>
              <w:rPr>
                <w:rFonts w:hint="eastAsia" w:ascii="宋体" w:hAnsi="宋体" w:eastAsia="宋体"/>
                <w:szCs w:val="21"/>
              </w:rPr>
              <w:t>＜</w:t>
            </w:r>
            <w:r>
              <w:rPr>
                <w:rFonts w:ascii="宋体" w:hAnsi="宋体" w:eastAsia="宋体"/>
                <w:color w:val="000000"/>
                <w:szCs w:val="21"/>
              </w:rPr>
              <w:t>15mg/m</w:t>
            </w:r>
            <w:r>
              <w:rPr>
                <w:rFonts w:ascii="宋体" w:hAnsi="宋体" w:eastAsia="宋体"/>
                <w:color w:val="000000"/>
                <w:szCs w:val="21"/>
                <w:vertAlign w:val="superscript"/>
              </w:rPr>
              <w:t>3</w:t>
            </w:r>
            <w:r>
              <w:rPr>
                <w:rFonts w:hint="eastAsia" w:ascii="宋体" w:hAnsi="宋体" w:eastAsia="宋体"/>
                <w:szCs w:val="21"/>
              </w:rPr>
              <w:t>满足《城镇污水处理厂污染物排放标准》（G</w:t>
            </w:r>
            <w:r>
              <w:rPr>
                <w:rFonts w:ascii="宋体" w:hAnsi="宋体" w:eastAsia="宋体"/>
                <w:szCs w:val="21"/>
              </w:rPr>
              <w:t>B18918-2002</w:t>
            </w:r>
            <w:r>
              <w:rPr>
                <w:rFonts w:hint="eastAsia" w:ascii="宋体" w:hAnsi="宋体" w:eastAsia="宋体"/>
                <w:szCs w:val="21"/>
              </w:rPr>
              <w:t>）表5中二级排放标准。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9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szCs w:val="21"/>
              </w:rPr>
            </w:pPr>
            <w:r>
              <w:rPr>
                <w:rFonts w:ascii="宋体" w:hAnsi="宋体" w:eastAsia="宋体" w:cs="Times New Roman"/>
                <w:szCs w:val="21"/>
              </w:rPr>
              <w:t>2</w:t>
            </w:r>
          </w:p>
        </w:tc>
        <w:tc>
          <w:tcPr>
            <w:tcW w:w="403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2"/>
              <w:rPr>
                <w:rFonts w:ascii="宋体" w:hAnsi="宋体" w:eastAsia="宋体" w:cs="Times New Roman"/>
                <w:szCs w:val="21"/>
              </w:rPr>
            </w:pPr>
            <w:r>
              <w:rPr>
                <w:rFonts w:hint="eastAsia" w:ascii="宋体" w:hAnsi="宋体" w:eastAsia="宋体"/>
                <w:szCs w:val="21"/>
              </w:rPr>
              <w:t>项目处理后的废水排放执行《钢铁工业水污染物排放标准》（G</w:t>
            </w:r>
            <w:r>
              <w:rPr>
                <w:rFonts w:ascii="宋体" w:hAnsi="宋体" w:eastAsia="宋体"/>
                <w:szCs w:val="21"/>
              </w:rPr>
              <w:t>B13456-2012</w:t>
            </w:r>
            <w:r>
              <w:rPr>
                <w:rFonts w:hint="eastAsia" w:ascii="宋体" w:hAnsi="宋体" w:eastAsia="宋体"/>
                <w:szCs w:val="21"/>
              </w:rPr>
              <w:t>）表2中钢铁联合企业直接排放标准，项目产生的生活污水经太钢厂区生活污水管网送至生活污水处理站处理，处理后污水直接排入东暗涵。</w:t>
            </w:r>
          </w:p>
        </w:tc>
        <w:tc>
          <w:tcPr>
            <w:tcW w:w="4315"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经处理后的废水排放</w:t>
            </w:r>
            <w:r>
              <w:rPr>
                <w:rFonts w:ascii="宋体" w:hAnsi="宋体" w:eastAsia="宋体"/>
                <w:szCs w:val="21"/>
              </w:rPr>
              <w:t>pH</w:t>
            </w:r>
            <w:r>
              <w:rPr>
                <w:rFonts w:hint="eastAsia" w:ascii="宋体" w:hAnsi="宋体" w:eastAsia="宋体"/>
                <w:szCs w:val="21"/>
              </w:rPr>
              <w:t>为</w:t>
            </w:r>
            <w:r>
              <w:rPr>
                <w:rFonts w:ascii="宋体" w:hAnsi="宋体" w:eastAsia="宋体"/>
                <w:szCs w:val="21"/>
              </w:rPr>
              <w:t>7.75</w:t>
            </w:r>
            <w:r>
              <w:rPr>
                <w:rFonts w:hint="eastAsia" w:ascii="宋体" w:hAnsi="宋体" w:eastAsia="宋体"/>
                <w:szCs w:val="21"/>
              </w:rPr>
              <w:t>-</w:t>
            </w:r>
            <w:r>
              <w:rPr>
                <w:rFonts w:ascii="宋体" w:hAnsi="宋体" w:eastAsia="宋体"/>
                <w:szCs w:val="21"/>
              </w:rPr>
              <w:t>8.02</w:t>
            </w:r>
            <w:r>
              <w:rPr>
                <w:rFonts w:hint="eastAsia" w:ascii="宋体" w:hAnsi="宋体" w:eastAsia="宋体"/>
                <w:szCs w:val="21"/>
              </w:rPr>
              <w:t>，石油类为</w:t>
            </w:r>
            <w:r>
              <w:rPr>
                <w:rFonts w:ascii="宋体" w:hAnsi="宋体" w:eastAsia="宋体"/>
                <w:szCs w:val="21"/>
              </w:rPr>
              <w:t>0.161</w:t>
            </w:r>
            <w:r>
              <w:rPr>
                <w:rFonts w:hint="eastAsia" w:ascii="宋体" w:hAnsi="宋体" w:eastAsia="宋体"/>
                <w:szCs w:val="21"/>
              </w:rPr>
              <w:t>-</w:t>
            </w:r>
            <w:r>
              <w:rPr>
                <w:rFonts w:ascii="宋体" w:hAnsi="宋体" w:eastAsia="宋体"/>
                <w:szCs w:val="21"/>
              </w:rPr>
              <w:t>0.940</w:t>
            </w:r>
            <w:r>
              <w:rPr>
                <w:rFonts w:hint="eastAsia" w:ascii="宋体" w:hAnsi="宋体" w:eastAsia="宋体"/>
                <w:szCs w:val="21"/>
              </w:rPr>
              <w:t>mg/L，悬浮物为</w:t>
            </w:r>
            <w:r>
              <w:rPr>
                <w:rFonts w:ascii="宋体" w:hAnsi="宋体" w:eastAsia="宋体"/>
                <w:szCs w:val="21"/>
              </w:rPr>
              <w:t>4</w:t>
            </w:r>
            <w:r>
              <w:rPr>
                <w:rFonts w:hint="eastAsia" w:ascii="宋体" w:hAnsi="宋体" w:eastAsia="宋体"/>
                <w:szCs w:val="21"/>
              </w:rPr>
              <w:t>-</w:t>
            </w:r>
            <w:r>
              <w:rPr>
                <w:rFonts w:ascii="宋体" w:hAnsi="宋体" w:eastAsia="宋体"/>
                <w:szCs w:val="21"/>
              </w:rPr>
              <w:t>9</w:t>
            </w:r>
            <w:r>
              <w:rPr>
                <w:rFonts w:hint="eastAsia" w:ascii="宋体" w:hAnsi="宋体" w:eastAsia="宋体"/>
                <w:szCs w:val="21"/>
              </w:rPr>
              <w:t xml:space="preserve"> mg/L，化学需氧量为</w:t>
            </w:r>
            <w:r>
              <w:rPr>
                <w:rFonts w:ascii="宋体" w:hAnsi="宋体" w:eastAsia="宋体"/>
                <w:szCs w:val="21"/>
              </w:rPr>
              <w:t>31</w:t>
            </w:r>
            <w:r>
              <w:rPr>
                <w:rFonts w:hint="eastAsia" w:ascii="宋体" w:hAnsi="宋体" w:eastAsia="宋体"/>
                <w:szCs w:val="21"/>
              </w:rPr>
              <w:t>-</w:t>
            </w:r>
            <w:r>
              <w:rPr>
                <w:rFonts w:ascii="宋体" w:hAnsi="宋体" w:eastAsia="宋体"/>
                <w:szCs w:val="21"/>
              </w:rPr>
              <w:t>39</w:t>
            </w:r>
            <w:r>
              <w:rPr>
                <w:rFonts w:hint="eastAsia" w:ascii="宋体" w:hAnsi="宋体" w:eastAsia="宋体"/>
                <w:szCs w:val="21"/>
              </w:rPr>
              <w:t xml:space="preserve"> mg/L，氨氮为</w:t>
            </w:r>
            <w:r>
              <w:rPr>
                <w:rFonts w:ascii="宋体" w:hAnsi="宋体" w:eastAsia="宋体"/>
                <w:szCs w:val="21"/>
              </w:rPr>
              <w:t>0.114</w:t>
            </w:r>
            <w:r>
              <w:rPr>
                <w:rFonts w:hint="eastAsia" w:ascii="宋体" w:hAnsi="宋体" w:eastAsia="宋体"/>
                <w:szCs w:val="21"/>
              </w:rPr>
              <w:t>-</w:t>
            </w:r>
            <w:r>
              <w:rPr>
                <w:rFonts w:ascii="宋体" w:hAnsi="宋体" w:eastAsia="宋体"/>
                <w:szCs w:val="21"/>
              </w:rPr>
              <w:t>0.264</w:t>
            </w:r>
            <w:r>
              <w:rPr>
                <w:rFonts w:hint="eastAsia" w:ascii="宋体" w:hAnsi="宋体" w:eastAsia="宋体"/>
                <w:szCs w:val="21"/>
              </w:rPr>
              <w:t>mg/L，总氮为</w:t>
            </w:r>
            <w:r>
              <w:rPr>
                <w:rFonts w:ascii="宋体" w:hAnsi="宋体" w:eastAsia="宋体"/>
                <w:szCs w:val="21"/>
              </w:rPr>
              <w:t>2.14</w:t>
            </w:r>
            <w:r>
              <w:rPr>
                <w:rFonts w:hint="eastAsia" w:ascii="宋体" w:hAnsi="宋体" w:eastAsia="宋体"/>
                <w:szCs w:val="21"/>
              </w:rPr>
              <w:t>-</w:t>
            </w:r>
            <w:r>
              <w:rPr>
                <w:rFonts w:ascii="宋体" w:hAnsi="宋体" w:eastAsia="宋体"/>
                <w:szCs w:val="21"/>
              </w:rPr>
              <w:t>5.66</w:t>
            </w:r>
            <w:r>
              <w:rPr>
                <w:rFonts w:hint="eastAsia" w:ascii="宋体" w:hAnsi="宋体" w:eastAsia="宋体"/>
                <w:szCs w:val="21"/>
              </w:rPr>
              <w:t>mg/L。满足《钢铁工业水污染物排放标准》(GB13456-2012)表2中钢铁联合企业直接排放标准。项目产生的生活污水经太钢厂区生活污水管网送至生活污水处理站处理，处理后污水直接排入东暗涵。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9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szCs w:val="21"/>
              </w:rPr>
            </w:pPr>
            <w:r>
              <w:rPr>
                <w:rFonts w:ascii="宋体" w:hAnsi="宋体" w:eastAsia="宋体" w:cs="Times New Roman"/>
                <w:szCs w:val="21"/>
              </w:rPr>
              <w:t>3</w:t>
            </w:r>
          </w:p>
        </w:tc>
        <w:tc>
          <w:tcPr>
            <w:tcW w:w="403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60"/>
              <w:rPr>
                <w:rFonts w:ascii="宋体" w:hAnsi="宋体" w:eastAsia="宋体" w:cs="Times New Roman"/>
                <w:szCs w:val="21"/>
              </w:rPr>
            </w:pPr>
            <w:r>
              <w:rPr>
                <w:rFonts w:hint="eastAsia" w:ascii="宋体" w:hAnsi="宋体" w:eastAsia="宋体"/>
                <w:szCs w:val="21"/>
              </w:rPr>
              <w:t>项目空压机、搅拌机、压滤机、各种泵类等产噪设施采取建筑隔声、减震垫、消声器等降噪措施，确保厂界噪声达到《工业企业厂界环境噪声排放标准》（G</w:t>
            </w:r>
            <w:r>
              <w:rPr>
                <w:rFonts w:ascii="宋体" w:hAnsi="宋体" w:eastAsia="宋体"/>
                <w:szCs w:val="21"/>
              </w:rPr>
              <w:t>B12348-2008</w:t>
            </w:r>
            <w:r>
              <w:rPr>
                <w:rFonts w:hint="eastAsia" w:ascii="宋体" w:hAnsi="宋体" w:eastAsia="宋体"/>
                <w:szCs w:val="21"/>
              </w:rPr>
              <w:t>）中厂界外3类声环境功能标准</w:t>
            </w:r>
          </w:p>
        </w:tc>
        <w:tc>
          <w:tcPr>
            <w:tcW w:w="4315"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水处理设施中产噪设备均设有减震基础、水泵单独布置在泵房，风机设置有消声器等降噪设施，监测结果测得厂界噪声达到《工业企业厂界环境噪声排放标准》（</w:t>
            </w:r>
            <w:r>
              <w:rPr>
                <w:rFonts w:ascii="宋体" w:hAnsi="宋体" w:eastAsia="宋体"/>
                <w:szCs w:val="21"/>
              </w:rPr>
              <w:t>GB12348-2008</w:t>
            </w:r>
            <w:r>
              <w:rPr>
                <w:rFonts w:hint="eastAsia" w:ascii="宋体" w:hAnsi="宋体" w:eastAsia="宋体"/>
                <w:szCs w:val="21"/>
              </w:rPr>
              <w:t>）中的厂界外</w:t>
            </w:r>
            <w:r>
              <w:rPr>
                <w:rFonts w:ascii="宋体" w:hAnsi="宋体" w:eastAsia="宋体"/>
                <w:szCs w:val="21"/>
              </w:rPr>
              <w:t>3</w:t>
            </w:r>
            <w:r>
              <w:rPr>
                <w:rFonts w:hint="eastAsia" w:ascii="宋体" w:hAnsi="宋体" w:eastAsia="宋体"/>
                <w:szCs w:val="21"/>
              </w:rPr>
              <w:t>类噪声排放限值。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szCs w:val="21"/>
              </w:rPr>
            </w:pPr>
            <w:r>
              <w:rPr>
                <w:rFonts w:ascii="宋体" w:hAnsi="宋体" w:eastAsia="宋体" w:cs="Times New Roman"/>
                <w:szCs w:val="21"/>
              </w:rPr>
              <w:t>4</w:t>
            </w:r>
          </w:p>
        </w:tc>
        <w:tc>
          <w:tcPr>
            <w:tcW w:w="403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ind w:right="-95"/>
              <w:rPr>
                <w:rFonts w:ascii="宋体" w:hAnsi="宋体" w:eastAsia="宋体" w:cs="Times New Roman"/>
                <w:szCs w:val="21"/>
              </w:rPr>
            </w:pPr>
            <w:r>
              <w:rPr>
                <w:rFonts w:hint="eastAsia" w:ascii="宋体" w:hAnsi="宋体" w:eastAsia="宋体"/>
                <w:szCs w:val="21"/>
              </w:rPr>
              <w:t>项目产生的污泥经浓缩机压滤脱水后用作制造型煤最终送太钢1</w:t>
            </w:r>
            <w:r>
              <w:rPr>
                <w:rFonts w:ascii="宋体" w:hAnsi="宋体" w:eastAsia="宋体"/>
                <w:szCs w:val="21"/>
              </w:rPr>
              <w:t>50</w:t>
            </w:r>
            <w:r>
              <w:rPr>
                <w:rFonts w:hint="eastAsia" w:ascii="宋体" w:hAnsi="宋体" w:eastAsia="宋体"/>
                <w:szCs w:val="21"/>
              </w:rPr>
              <w:t>万吨不锈钢工程配套2</w:t>
            </w:r>
            <w:r>
              <w:rPr>
                <w:rFonts w:ascii="宋体" w:hAnsi="宋体" w:eastAsia="宋体"/>
                <w:szCs w:val="21"/>
              </w:rPr>
              <w:t>X300</w:t>
            </w:r>
            <w:r>
              <w:rPr>
                <w:rFonts w:hint="eastAsia" w:ascii="宋体" w:hAnsi="宋体" w:eastAsia="宋体"/>
                <w:szCs w:val="21"/>
              </w:rPr>
              <w:t>兆瓦自备电厂配煤掺烧。</w:t>
            </w:r>
          </w:p>
        </w:tc>
        <w:tc>
          <w:tcPr>
            <w:tcW w:w="4315"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水处理设施产生的污泥经浓缩机压滤脱水后用作制造型煤最终送太钢1</w:t>
            </w:r>
            <w:r>
              <w:rPr>
                <w:rFonts w:ascii="宋体" w:hAnsi="宋体" w:eastAsia="宋体"/>
                <w:szCs w:val="21"/>
              </w:rPr>
              <w:t>50</w:t>
            </w:r>
            <w:r>
              <w:rPr>
                <w:rFonts w:hint="eastAsia" w:ascii="宋体" w:hAnsi="宋体" w:eastAsia="宋体"/>
                <w:szCs w:val="21"/>
              </w:rPr>
              <w:t>万吨不锈钢工程配套2</w:t>
            </w:r>
            <w:r>
              <w:rPr>
                <w:rFonts w:ascii="宋体" w:hAnsi="宋体" w:eastAsia="宋体"/>
                <w:szCs w:val="21"/>
              </w:rPr>
              <w:t>X300</w:t>
            </w:r>
            <w:r>
              <w:rPr>
                <w:rFonts w:hint="eastAsia" w:ascii="宋体" w:hAnsi="宋体" w:eastAsia="宋体"/>
                <w:szCs w:val="21"/>
              </w:rPr>
              <w:t>兆瓦自备电厂配煤掺烧。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1" w:type="dxa"/>
            <w:tcBorders>
              <w:top w:val="single" w:color="auto" w:sz="6" w:space="0"/>
              <w:left w:val="single" w:color="auto" w:sz="12" w:space="0"/>
              <w:bottom w:val="single" w:color="auto" w:sz="12" w:space="0"/>
              <w:right w:val="single" w:color="auto" w:sz="6" w:space="0"/>
            </w:tcBorders>
            <w:vAlign w:val="center"/>
          </w:tcPr>
          <w:p>
            <w:pPr>
              <w:adjustRightInd w:val="0"/>
              <w:snapToGrid w:val="0"/>
              <w:spacing w:line="240" w:lineRule="atLeast"/>
              <w:jc w:val="center"/>
              <w:rPr>
                <w:rFonts w:ascii="宋体" w:hAnsi="宋体" w:eastAsia="宋体" w:cs="Times New Roman"/>
                <w:szCs w:val="21"/>
              </w:rPr>
            </w:pPr>
            <w:r>
              <w:rPr>
                <w:rFonts w:ascii="宋体" w:hAnsi="宋体" w:eastAsia="宋体" w:cs="Times New Roman"/>
                <w:szCs w:val="21"/>
              </w:rPr>
              <w:t>5</w:t>
            </w:r>
          </w:p>
        </w:tc>
        <w:tc>
          <w:tcPr>
            <w:tcW w:w="4033" w:type="dxa"/>
            <w:tcBorders>
              <w:top w:val="single" w:color="auto" w:sz="6" w:space="0"/>
              <w:left w:val="single" w:color="auto" w:sz="6" w:space="0"/>
              <w:bottom w:val="single" w:color="auto" w:sz="12" w:space="0"/>
              <w:right w:val="single" w:color="auto" w:sz="6"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污水处理站处理后的废水直接排入东暗涵，本项目设计的污染物排放：C</w:t>
            </w:r>
            <w:r>
              <w:rPr>
                <w:rFonts w:ascii="宋体" w:hAnsi="宋体" w:eastAsia="宋体"/>
                <w:szCs w:val="21"/>
              </w:rPr>
              <w:t>OD</w:t>
            </w:r>
            <w:r>
              <w:rPr>
                <w:rFonts w:hint="eastAsia" w:ascii="宋体" w:hAnsi="宋体" w:eastAsia="宋体"/>
                <w:szCs w:val="21"/>
              </w:rPr>
              <w:t>：6</w:t>
            </w:r>
            <w:r>
              <w:rPr>
                <w:rFonts w:ascii="宋体" w:hAnsi="宋体" w:eastAsia="宋体"/>
                <w:szCs w:val="21"/>
              </w:rPr>
              <w:t>35.1t/a</w:t>
            </w:r>
            <w:r>
              <w:rPr>
                <w:rFonts w:hint="eastAsia" w:ascii="宋体" w:hAnsi="宋体" w:eastAsia="宋体"/>
                <w:szCs w:val="21"/>
              </w:rPr>
              <w:t>、氨氮：9</w:t>
            </w:r>
            <w:r>
              <w:rPr>
                <w:rFonts w:ascii="宋体" w:hAnsi="宋体" w:eastAsia="宋体"/>
                <w:szCs w:val="21"/>
              </w:rPr>
              <w:t>5.27 t/a</w:t>
            </w:r>
            <w:r>
              <w:rPr>
                <w:rFonts w:hint="eastAsia" w:ascii="宋体" w:hAnsi="宋体" w:eastAsia="宋体"/>
                <w:szCs w:val="21"/>
              </w:rPr>
              <w:t>，能够满足排污许可证中给太钢下达的总量指标要求：C</w:t>
            </w:r>
            <w:r>
              <w:rPr>
                <w:rFonts w:ascii="宋体" w:hAnsi="宋体" w:eastAsia="宋体"/>
                <w:szCs w:val="21"/>
              </w:rPr>
              <w:t>OD</w:t>
            </w:r>
            <w:r>
              <w:rPr>
                <w:rFonts w:hint="eastAsia" w:ascii="宋体" w:hAnsi="宋体" w:eastAsia="宋体"/>
                <w:szCs w:val="21"/>
              </w:rPr>
              <w:t>：</w:t>
            </w:r>
            <w:r>
              <w:rPr>
                <w:rFonts w:ascii="宋体" w:hAnsi="宋体" w:eastAsia="宋体"/>
                <w:szCs w:val="21"/>
              </w:rPr>
              <w:t>1141.94t/a</w:t>
            </w:r>
            <w:r>
              <w:rPr>
                <w:rFonts w:hint="eastAsia" w:ascii="宋体" w:hAnsi="宋体" w:eastAsia="宋体"/>
                <w:szCs w:val="21"/>
              </w:rPr>
              <w:t>、氨氮：</w:t>
            </w:r>
            <w:r>
              <w:rPr>
                <w:rFonts w:ascii="宋体" w:hAnsi="宋体" w:eastAsia="宋体"/>
                <w:szCs w:val="21"/>
              </w:rPr>
              <w:t>167.96 t/a</w:t>
            </w:r>
            <w:r>
              <w:rPr>
                <w:rFonts w:hint="eastAsia" w:ascii="宋体" w:hAnsi="宋体" w:eastAsia="宋体"/>
                <w:szCs w:val="21"/>
              </w:rPr>
              <w:t>，</w:t>
            </w:r>
          </w:p>
        </w:tc>
        <w:tc>
          <w:tcPr>
            <w:tcW w:w="4315" w:type="dxa"/>
            <w:tcBorders>
              <w:top w:val="single" w:color="auto" w:sz="6" w:space="0"/>
              <w:left w:val="single" w:color="auto" w:sz="6" w:space="0"/>
              <w:bottom w:val="single" w:color="auto" w:sz="12" w:space="0"/>
              <w:right w:val="single" w:color="auto" w:sz="12" w:space="0"/>
            </w:tcBorders>
            <w:vAlign w:val="center"/>
          </w:tcPr>
          <w:p>
            <w:pPr>
              <w:adjustRightInd w:val="0"/>
              <w:snapToGrid w:val="0"/>
              <w:spacing w:line="240" w:lineRule="atLeast"/>
              <w:rPr>
                <w:rFonts w:ascii="宋体" w:hAnsi="宋体" w:eastAsia="宋体" w:cs="Times New Roman"/>
                <w:szCs w:val="21"/>
              </w:rPr>
            </w:pPr>
            <w:r>
              <w:rPr>
                <w:rFonts w:hint="eastAsia" w:ascii="宋体" w:hAnsi="宋体" w:eastAsia="宋体"/>
                <w:szCs w:val="21"/>
              </w:rPr>
              <w:t>污水处理站处理后的废水直接排入东暗涵，本项目实际污染物排放：C</w:t>
            </w:r>
            <w:r>
              <w:rPr>
                <w:rFonts w:ascii="宋体" w:hAnsi="宋体" w:eastAsia="宋体"/>
                <w:szCs w:val="21"/>
              </w:rPr>
              <w:t>OD</w:t>
            </w:r>
            <w:r>
              <w:rPr>
                <w:rFonts w:hint="eastAsia" w:ascii="宋体" w:hAnsi="宋体" w:eastAsia="宋体"/>
                <w:szCs w:val="21"/>
              </w:rPr>
              <w:t>：</w:t>
            </w:r>
            <w:r>
              <w:rPr>
                <w:rFonts w:ascii="宋体" w:hAnsi="宋体" w:eastAsia="宋体"/>
                <w:szCs w:val="21"/>
              </w:rPr>
              <w:t>510.62t/a</w:t>
            </w:r>
            <w:r>
              <w:rPr>
                <w:rFonts w:hint="eastAsia" w:ascii="宋体" w:hAnsi="宋体" w:eastAsia="宋体"/>
                <w:szCs w:val="21"/>
              </w:rPr>
              <w:t>、氨氮：</w:t>
            </w:r>
            <w:r>
              <w:rPr>
                <w:rFonts w:ascii="宋体" w:hAnsi="宋体" w:eastAsia="宋体"/>
                <w:szCs w:val="21"/>
              </w:rPr>
              <w:t>3.395 t/a</w:t>
            </w:r>
            <w:r>
              <w:rPr>
                <w:rFonts w:hint="eastAsia" w:ascii="宋体" w:hAnsi="宋体" w:eastAsia="宋体"/>
                <w:szCs w:val="21"/>
              </w:rPr>
              <w:t>，能够满足排污许可证中给太钢下达的总量指标要求：C</w:t>
            </w:r>
            <w:r>
              <w:rPr>
                <w:rFonts w:ascii="宋体" w:hAnsi="宋体" w:eastAsia="宋体"/>
                <w:szCs w:val="21"/>
              </w:rPr>
              <w:t>OD</w:t>
            </w:r>
            <w:r>
              <w:rPr>
                <w:rFonts w:hint="eastAsia" w:ascii="宋体" w:hAnsi="宋体" w:eastAsia="宋体"/>
                <w:szCs w:val="21"/>
              </w:rPr>
              <w:t>：</w:t>
            </w:r>
            <w:r>
              <w:rPr>
                <w:rFonts w:ascii="宋体" w:hAnsi="宋体" w:eastAsia="宋体"/>
                <w:szCs w:val="21"/>
              </w:rPr>
              <w:t>1141.94t/a</w:t>
            </w:r>
            <w:r>
              <w:rPr>
                <w:rFonts w:hint="eastAsia" w:ascii="宋体" w:hAnsi="宋体" w:eastAsia="宋体"/>
                <w:szCs w:val="21"/>
              </w:rPr>
              <w:t>、氨氮：</w:t>
            </w:r>
            <w:r>
              <w:rPr>
                <w:rFonts w:ascii="宋体" w:hAnsi="宋体" w:eastAsia="宋体"/>
                <w:szCs w:val="21"/>
              </w:rPr>
              <w:t>167.96 t/a</w:t>
            </w:r>
            <w:r>
              <w:rPr>
                <w:rFonts w:hint="eastAsia" w:ascii="宋体" w:hAnsi="宋体" w:eastAsia="宋体"/>
                <w:szCs w:val="21"/>
              </w:rPr>
              <w:t>，</w:t>
            </w:r>
          </w:p>
        </w:tc>
      </w:tr>
    </w:tbl>
    <w:p>
      <w:pPr>
        <w:pStyle w:val="60"/>
        <w:adjustRightInd w:val="0"/>
        <w:snapToGrid w:val="0"/>
        <w:spacing w:before="0" w:beforeAutospacing="0" w:after="0" w:afterAutospacing="0" w:line="460" w:lineRule="exact"/>
        <w:ind w:firstLine="562" w:firstLineChars="200"/>
        <w:jc w:val="both"/>
        <w:outlineLvl w:val="0"/>
        <w:rPr>
          <w:rFonts w:hint="eastAsia" w:ascii="宋体" w:hAnsi="宋体" w:eastAsia="宋体" w:cs="Times New Roman"/>
          <w:b/>
          <w:color w:val="000000"/>
          <w:sz w:val="28"/>
          <w:szCs w:val="28"/>
        </w:rPr>
      </w:pPr>
      <w:r>
        <w:rPr>
          <w:rFonts w:ascii="宋体" w:hAnsi="宋体" w:eastAsia="宋体" w:cs="Times New Roman"/>
          <w:b/>
          <w:color w:val="000000"/>
          <w:sz w:val="28"/>
          <w:szCs w:val="28"/>
        </w:rPr>
        <w:t>四、环境保护设施调试效果</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山西太钢环境监测有限公司</w:t>
      </w:r>
      <w:r>
        <w:rPr>
          <w:rFonts w:ascii="宋体" w:hAnsi="宋体" w:eastAsia="宋体" w:cs="Times New Roman"/>
          <w:color w:val="000000"/>
          <w:sz w:val="28"/>
          <w:szCs w:val="28"/>
        </w:rPr>
        <w:t>于202</w:t>
      </w:r>
      <w:r>
        <w:rPr>
          <w:rFonts w:hint="eastAsia" w:ascii="宋体" w:hAnsi="宋体" w:eastAsia="宋体" w:cs="Times New Roman"/>
          <w:color w:val="000000"/>
          <w:sz w:val="28"/>
          <w:szCs w:val="28"/>
        </w:rPr>
        <w:t>1</w:t>
      </w:r>
      <w:r>
        <w:rPr>
          <w:rFonts w:ascii="宋体" w:hAnsi="宋体" w:eastAsia="宋体" w:cs="Times New Roman"/>
          <w:color w:val="000000"/>
          <w:sz w:val="28"/>
          <w:szCs w:val="28"/>
        </w:rPr>
        <w:t>年1月</w:t>
      </w:r>
      <w:r>
        <w:rPr>
          <w:rFonts w:hint="eastAsia" w:ascii="宋体" w:hAnsi="宋体" w:eastAsia="宋体" w:cs="Times New Roman"/>
          <w:color w:val="000000"/>
          <w:sz w:val="28"/>
          <w:szCs w:val="28"/>
        </w:rPr>
        <w:t>25-27</w:t>
      </w:r>
      <w:r>
        <w:rPr>
          <w:rFonts w:ascii="宋体" w:hAnsi="宋体" w:eastAsia="宋体" w:cs="Times New Roman"/>
          <w:color w:val="000000"/>
          <w:sz w:val="28"/>
          <w:szCs w:val="28"/>
        </w:rPr>
        <w:t>日组织监测人员对该项目进行了竣工环境保护验收监测，出具了</w:t>
      </w:r>
      <w:r>
        <w:rPr>
          <w:rFonts w:hint="eastAsia" w:ascii="宋体" w:hAnsi="宋体" w:eastAsia="宋体" w:cs="宋体"/>
          <w:sz w:val="24"/>
        </w:rPr>
        <w:t>太钢环境监测（综）2021〔验〕第0001号</w:t>
      </w:r>
      <w:r>
        <w:rPr>
          <w:rFonts w:hint="eastAsia" w:ascii="宋体" w:hAnsi="宋体" w:eastAsia="宋体" w:cs="Times New Roman"/>
          <w:color w:val="000000"/>
          <w:sz w:val="28"/>
          <w:szCs w:val="28"/>
        </w:rPr>
        <w:t>监测</w:t>
      </w:r>
      <w:r>
        <w:rPr>
          <w:rFonts w:ascii="宋体" w:hAnsi="宋体" w:eastAsia="宋体" w:cs="Times New Roman"/>
          <w:color w:val="000000"/>
          <w:sz w:val="28"/>
          <w:szCs w:val="28"/>
        </w:rPr>
        <w:t>报告。验收监测期间，</w:t>
      </w:r>
      <w:r>
        <w:rPr>
          <w:rFonts w:hint="eastAsia" w:ascii="宋体" w:hAnsi="宋体" w:eastAsia="宋体" w:cs="Times New Roman"/>
          <w:color w:val="000000"/>
          <w:sz w:val="28"/>
          <w:szCs w:val="28"/>
        </w:rPr>
        <w:t>生产运行负荷91.4-92.9%之间，</w:t>
      </w:r>
      <w:r>
        <w:rPr>
          <w:rFonts w:ascii="宋体" w:hAnsi="宋体" w:eastAsia="宋体" w:cs="Times New Roman"/>
          <w:color w:val="000000"/>
          <w:sz w:val="28"/>
          <w:szCs w:val="28"/>
        </w:rPr>
        <w:t>满足环保竣工验收负荷≥75%工况验收监测要求。</w:t>
      </w:r>
      <w:r>
        <w:rPr>
          <w:rFonts w:hint="eastAsia" w:ascii="宋体" w:hAnsi="宋体" w:eastAsia="宋体" w:cs="Times New Roman"/>
          <w:color w:val="000000"/>
          <w:sz w:val="28"/>
          <w:szCs w:val="28"/>
        </w:rPr>
        <w:t>监测结果如下：</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（一）环保设施处理效率</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项目调试运行期间，各项环保设施均运行正常，环保设施运行符合环境影响报告表及其环评批复的要求。</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（二）污染物排放情况</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1、废气</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无组织废气监测结果</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工业废水处理站厂界下风向无组织氨排放浓度范围为：0.03-0.77mg/m³，无组织硫化氢排放浓度范围为：0.002 -0.009mg/m³，无组织臭气排放浓度＜10，满足《城镇污水处理厂污染物排放标准》（GB 18918-2002）表4中二级标准限值要求，达标率100%。</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2、噪声</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1</w:t>
      </w:r>
      <w:r>
        <w:rPr>
          <w:rFonts w:hint="eastAsia" w:ascii="宋体" w:hAnsi="宋体" w:eastAsia="宋体" w:cs="Times New Roman"/>
          <w:color w:val="000000"/>
          <w:sz w:val="28"/>
          <w:szCs w:val="28"/>
          <w:vertAlign w:val="superscript"/>
        </w:rPr>
        <w:t>#</w:t>
      </w:r>
      <w:r>
        <w:rPr>
          <w:rFonts w:hint="eastAsia" w:ascii="宋体" w:hAnsi="宋体" w:eastAsia="宋体" w:cs="Times New Roman"/>
          <w:color w:val="000000"/>
          <w:sz w:val="28"/>
          <w:szCs w:val="28"/>
        </w:rPr>
        <w:t>-10</w:t>
      </w:r>
      <w:r>
        <w:rPr>
          <w:rFonts w:hint="eastAsia" w:ascii="宋体" w:hAnsi="宋体" w:eastAsia="宋体" w:cs="Times New Roman"/>
          <w:color w:val="000000"/>
          <w:sz w:val="28"/>
          <w:szCs w:val="28"/>
          <w:vertAlign w:val="superscript"/>
        </w:rPr>
        <w:t>#</w:t>
      </w:r>
      <w:r>
        <w:rPr>
          <w:rFonts w:hint="eastAsia" w:ascii="宋体" w:hAnsi="宋体" w:eastAsia="宋体" w:cs="Times New Roman"/>
          <w:color w:val="000000"/>
          <w:sz w:val="28"/>
          <w:szCs w:val="28"/>
        </w:rPr>
        <w:t>点位噪声监测结果为厂界噪声范围为昼间：61.3-64.8dB（A），夜间：51.3-54.5dB（A），满足《工业企业厂界环境噪声排放标准》（GB12348-2008）3 类标准。</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3、废水</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本次污水出水水质监测结果表明：pH为7.55-8.02，石油类为0.161-0.940mg/L，悬浮物为4-9 mg/L，化学需氧量为20-27 mg/L，氨氮为0.114-0.264mg/L，总氮为2.14-5.66mg/L。满足《钢铁工业水污染物排放标准》(GB13456-2012)表2中钢铁联合企业直接排放标准。</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4、固体废物</w:t>
      </w:r>
    </w:p>
    <w:p>
      <w:pPr>
        <w:adjustRightInd w:val="0"/>
        <w:snapToGrid w:val="0"/>
        <w:spacing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color w:val="000000"/>
          <w:sz w:val="28"/>
          <w:szCs w:val="28"/>
        </w:rPr>
        <w:t>现有项目固废主要包括污水处理过程中产生的污泥以及职工生活垃圾，属于一般固废。污泥进入本项目浓缩池进行浓缩处理以降低污泥含水率及体积，浓缩后污泥送入污泥压滤间使用板框压滤机进行压滤脱水。压滤后的泥饼每天进行清运最终送往太钢2*300MW燃煤机组混入电煤进行焚烧处理，处理量为0.57万t/a，职工生活垃圾交环卫部门统一处理，处理量为3.65t/a。</w:t>
      </w:r>
    </w:p>
    <w:p>
      <w:pPr>
        <w:pStyle w:val="60"/>
        <w:adjustRightInd w:val="0"/>
        <w:snapToGrid w:val="0"/>
        <w:spacing w:before="0" w:beforeAutospacing="0" w:after="0" w:afterAutospacing="0" w:line="460" w:lineRule="exact"/>
        <w:ind w:firstLine="560" w:firstLineChars="200"/>
        <w:jc w:val="both"/>
        <w:rPr>
          <w:rFonts w:ascii="宋体" w:hAnsi="宋体" w:eastAsia="宋体" w:cs="Times New Roman"/>
          <w:color w:val="000000"/>
          <w:kern w:val="2"/>
          <w:sz w:val="28"/>
          <w:szCs w:val="28"/>
        </w:rPr>
      </w:pPr>
      <w:r>
        <w:rPr>
          <w:rFonts w:hint="eastAsia" w:ascii="宋体" w:hAnsi="宋体" w:eastAsia="宋体" w:cs="Times New Roman"/>
          <w:color w:val="000000"/>
          <w:kern w:val="2"/>
          <w:sz w:val="28"/>
          <w:szCs w:val="28"/>
        </w:rPr>
        <w:t>5</w:t>
      </w:r>
      <w:r>
        <w:rPr>
          <w:rFonts w:ascii="宋体" w:hAnsi="宋体" w:eastAsia="宋体" w:cs="Times New Roman"/>
          <w:color w:val="000000"/>
          <w:kern w:val="2"/>
          <w:sz w:val="28"/>
          <w:szCs w:val="28"/>
        </w:rPr>
        <w:t>、污染物排放总量</w:t>
      </w:r>
    </w:p>
    <w:p>
      <w:pPr>
        <w:pStyle w:val="60"/>
        <w:adjustRightInd w:val="0"/>
        <w:snapToGrid w:val="0"/>
        <w:spacing w:before="0" w:beforeAutospacing="0" w:after="0" w:afterAutospacing="0" w:line="460" w:lineRule="exact"/>
        <w:ind w:firstLine="560" w:firstLineChars="200"/>
        <w:jc w:val="both"/>
        <w:outlineLvl w:val="0"/>
        <w:rPr>
          <w:rFonts w:ascii="宋体" w:hAnsi="宋体" w:eastAsia="宋体" w:cs="Times New Roman"/>
          <w:color w:val="000000"/>
          <w:kern w:val="2"/>
          <w:sz w:val="28"/>
          <w:szCs w:val="28"/>
        </w:rPr>
      </w:pPr>
      <w:r>
        <w:rPr>
          <w:rFonts w:hint="eastAsia" w:ascii="宋体" w:hAnsi="宋体" w:eastAsia="宋体" w:cs="Times New Roman"/>
          <w:color w:val="000000"/>
          <w:kern w:val="2"/>
          <w:sz w:val="28"/>
          <w:szCs w:val="28"/>
        </w:rPr>
        <w:t>本项目实施后，污水处理站废水直接排入东暗涵，本项目涉及的污染物排放总量指标如下：COD：510.62t/a、氨氮：3.395t/a。根据2017年10月31日太原市环境保护局颁发的排污许可证(证书编号：91140000701011888X001P)，本项目涉及的污染物排放总量指标如下：COD：635.1t/a、氨氮：95.27t/a，能够满足总量指标的要求。（COD平均出口浓度24.12 mg/L，氨氮平均出口浓度0.16mg/L，按24小时一年365天工作时间，排放量5.8万m³/d）</w:t>
      </w:r>
    </w:p>
    <w:p>
      <w:pPr>
        <w:pStyle w:val="60"/>
        <w:adjustRightInd w:val="0"/>
        <w:snapToGrid w:val="0"/>
        <w:spacing w:before="0" w:beforeAutospacing="0" w:after="0" w:afterAutospacing="0" w:line="460" w:lineRule="exact"/>
        <w:ind w:firstLine="560" w:firstLineChars="200"/>
        <w:jc w:val="both"/>
        <w:rPr>
          <w:rFonts w:ascii="宋体" w:hAnsi="宋体" w:eastAsia="宋体" w:cs="Times New Roman"/>
          <w:color w:val="000000"/>
          <w:kern w:val="2"/>
          <w:sz w:val="28"/>
          <w:szCs w:val="28"/>
        </w:rPr>
      </w:pPr>
      <w:r>
        <w:rPr>
          <w:rFonts w:hint="eastAsia" w:ascii="宋体" w:hAnsi="宋体" w:eastAsia="宋体" w:cs="Times New Roman"/>
          <w:color w:val="000000"/>
          <w:kern w:val="2"/>
          <w:sz w:val="28"/>
          <w:szCs w:val="28"/>
        </w:rPr>
        <w:t>五</w:t>
      </w:r>
      <w:r>
        <w:rPr>
          <w:rFonts w:ascii="宋体" w:hAnsi="宋体" w:eastAsia="宋体" w:cs="Times New Roman"/>
          <w:color w:val="000000"/>
          <w:kern w:val="2"/>
          <w:sz w:val="28"/>
          <w:szCs w:val="28"/>
        </w:rPr>
        <w:t>、工程建设对环境的影响</w:t>
      </w:r>
    </w:p>
    <w:p>
      <w:pPr>
        <w:pStyle w:val="60"/>
        <w:adjustRightInd w:val="0"/>
        <w:snapToGrid w:val="0"/>
        <w:spacing w:before="0" w:beforeAutospacing="0" w:after="0" w:afterAutospacing="0" w:line="460" w:lineRule="exact"/>
        <w:ind w:firstLine="560" w:firstLineChars="200"/>
        <w:rPr>
          <w:rFonts w:ascii="宋体" w:hAnsi="宋体" w:eastAsia="宋体" w:cs="Times New Roman"/>
          <w:color w:val="000000"/>
          <w:sz w:val="28"/>
          <w:szCs w:val="28"/>
        </w:rPr>
      </w:pPr>
      <w:r>
        <w:rPr>
          <w:rFonts w:ascii="宋体" w:hAnsi="宋体" w:eastAsia="宋体" w:cs="Times New Roman"/>
          <w:color w:val="000000"/>
          <w:sz w:val="28"/>
          <w:szCs w:val="28"/>
        </w:rPr>
        <w:t>项目生产废水统一处理利用不外排；各大气污染物排放源采取有效措施净化；产噪设备采取隔声、降噪等措施控制；各类固废采取相应处置和循环利用措施。据验收监测结果可知，各污染物满足达标排放，周围环境质量可达到验收执行标准。工程建设对周围环境产生的影响较小。</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hint="eastAsia" w:ascii="宋体" w:hAnsi="宋体" w:eastAsia="宋体" w:cs="Times New Roman"/>
          <w:b/>
          <w:color w:val="000000"/>
          <w:sz w:val="28"/>
          <w:szCs w:val="28"/>
        </w:rPr>
        <w:t>六</w:t>
      </w:r>
      <w:r>
        <w:rPr>
          <w:rFonts w:ascii="宋体" w:hAnsi="宋体" w:eastAsia="宋体" w:cs="Times New Roman"/>
          <w:b/>
          <w:color w:val="000000"/>
          <w:sz w:val="28"/>
          <w:szCs w:val="28"/>
        </w:rPr>
        <w:t>、验收结论</w:t>
      </w:r>
    </w:p>
    <w:p>
      <w:pPr>
        <w:adjustRightInd w:val="0"/>
        <w:snapToGrid w:val="0"/>
        <w:spacing w:line="460" w:lineRule="exact"/>
        <w:ind w:firstLine="560" w:firstLineChars="200"/>
        <w:rPr>
          <w:rFonts w:ascii="宋体" w:hAnsi="宋体" w:eastAsia="宋体" w:cs="Times New Roman"/>
          <w:bCs/>
          <w:color w:val="000000"/>
          <w:sz w:val="28"/>
          <w:szCs w:val="28"/>
        </w:rPr>
      </w:pPr>
      <w:r>
        <w:rPr>
          <w:rFonts w:hint="eastAsia" w:ascii="宋体" w:hAnsi="宋体" w:eastAsia="宋体" w:cs="Times New Roman"/>
          <w:bCs/>
          <w:color w:val="000000"/>
          <w:sz w:val="28"/>
          <w:szCs w:val="28"/>
        </w:rPr>
        <w:t>山西太钢不锈钢股份有限公司工业废水处理系统升级改造工程节水减排改造项目</w:t>
      </w:r>
      <w:r>
        <w:rPr>
          <w:rFonts w:ascii="宋体" w:hAnsi="宋体" w:eastAsia="宋体" w:cs="Times New Roman"/>
          <w:bCs/>
          <w:color w:val="000000"/>
          <w:sz w:val="28"/>
          <w:szCs w:val="28"/>
        </w:rPr>
        <w:t>进</w:t>
      </w:r>
      <w:r>
        <w:rPr>
          <w:rFonts w:ascii="宋体" w:hAnsi="宋体" w:eastAsia="宋体" w:cs="Times New Roman"/>
          <w:color w:val="000000"/>
          <w:kern w:val="0"/>
          <w:sz w:val="28"/>
          <w:szCs w:val="28"/>
        </w:rPr>
        <w:t>行了环境影响评价，报告表经</w:t>
      </w:r>
      <w:r>
        <w:rPr>
          <w:rFonts w:hint="eastAsia" w:ascii="宋体" w:hAnsi="宋体" w:eastAsia="宋体" w:cs="Times New Roman"/>
          <w:color w:val="000000"/>
          <w:kern w:val="0"/>
          <w:sz w:val="28"/>
          <w:szCs w:val="28"/>
        </w:rPr>
        <w:t>太原市环境保护局尖草坪分局</w:t>
      </w:r>
      <w:r>
        <w:rPr>
          <w:rFonts w:ascii="宋体" w:hAnsi="宋体" w:eastAsia="宋体" w:cs="Times New Roman"/>
          <w:bCs/>
          <w:color w:val="000000"/>
          <w:sz w:val="28"/>
          <w:szCs w:val="28"/>
        </w:rPr>
        <w:t>批复。项目基本按照环评及其批复要求进行了建设。验收监测结果表明，污染物可以做到达标排放，符合总量控制指标要求，不存在国家规定的验收不合格情形。验收组认为，本项目竣工环境保护验收为基本合格。</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hint="eastAsia" w:ascii="宋体" w:hAnsi="宋体" w:eastAsia="宋体" w:cs="Times New Roman"/>
          <w:b/>
          <w:color w:val="000000"/>
          <w:sz w:val="28"/>
          <w:szCs w:val="28"/>
        </w:rPr>
        <w:t>七、</w:t>
      </w:r>
      <w:r>
        <w:rPr>
          <w:rFonts w:ascii="宋体" w:hAnsi="宋体" w:eastAsia="宋体" w:cs="Times New Roman"/>
          <w:b/>
          <w:color w:val="000000"/>
          <w:sz w:val="28"/>
          <w:szCs w:val="28"/>
        </w:rPr>
        <w:t>后续要求</w:t>
      </w:r>
    </w:p>
    <w:p>
      <w:pPr>
        <w:adjustRightInd w:val="0"/>
        <w:snapToGrid w:val="0"/>
        <w:spacing w:line="460" w:lineRule="exact"/>
        <w:ind w:firstLine="560" w:firstLineChars="200"/>
        <w:rPr>
          <w:rFonts w:ascii="宋体" w:hAnsi="宋体" w:eastAsia="宋体" w:cs="Times New Roman"/>
          <w:bCs/>
          <w:color w:val="000000"/>
          <w:sz w:val="28"/>
          <w:szCs w:val="28"/>
        </w:rPr>
      </w:pPr>
      <w:r>
        <w:rPr>
          <w:rFonts w:ascii="宋体" w:hAnsi="宋体" w:eastAsia="宋体" w:cs="Times New Roman"/>
          <w:bCs/>
          <w:color w:val="000000"/>
          <w:sz w:val="28"/>
          <w:szCs w:val="28"/>
        </w:rPr>
        <w:t>1、加强环保设施的运行管理，</w:t>
      </w:r>
      <w:r>
        <w:rPr>
          <w:rFonts w:hint="eastAsia" w:ascii="宋体" w:hAnsi="宋体" w:eastAsia="宋体" w:cs="Times New Roman"/>
          <w:bCs/>
          <w:color w:val="000000"/>
          <w:sz w:val="28"/>
          <w:szCs w:val="28"/>
        </w:rPr>
        <w:t>定期对</w:t>
      </w:r>
      <w:r>
        <w:rPr>
          <w:rFonts w:ascii="宋体" w:hAnsi="宋体" w:eastAsia="宋体" w:cs="Times New Roman"/>
          <w:bCs/>
          <w:color w:val="000000"/>
          <w:sz w:val="28"/>
          <w:szCs w:val="28"/>
        </w:rPr>
        <w:t>本</w:t>
      </w:r>
      <w:r>
        <w:rPr>
          <w:rFonts w:hint="eastAsia" w:ascii="宋体" w:hAnsi="宋体" w:eastAsia="宋体" w:cs="Times New Roman"/>
          <w:bCs/>
          <w:color w:val="000000"/>
          <w:sz w:val="28"/>
          <w:szCs w:val="28"/>
        </w:rPr>
        <w:t>项目</w:t>
      </w:r>
      <w:r>
        <w:rPr>
          <w:rFonts w:ascii="宋体" w:hAnsi="宋体" w:eastAsia="宋体" w:cs="Times New Roman"/>
          <w:bCs/>
          <w:color w:val="000000"/>
          <w:sz w:val="28"/>
          <w:szCs w:val="28"/>
        </w:rPr>
        <w:t>各类设备的</w:t>
      </w:r>
      <w:r>
        <w:rPr>
          <w:rFonts w:hint="eastAsia" w:ascii="宋体" w:hAnsi="宋体" w:eastAsia="宋体" w:cs="Times New Roman"/>
          <w:bCs/>
          <w:color w:val="000000"/>
          <w:sz w:val="28"/>
          <w:szCs w:val="28"/>
        </w:rPr>
        <w:t>进行</w:t>
      </w:r>
      <w:r>
        <w:rPr>
          <w:rFonts w:ascii="宋体" w:hAnsi="宋体" w:eastAsia="宋体" w:cs="Times New Roman"/>
          <w:bCs/>
          <w:color w:val="000000"/>
          <w:sz w:val="28"/>
          <w:szCs w:val="28"/>
        </w:rPr>
        <w:t>检修、维护和保养，杜绝事故</w:t>
      </w:r>
      <w:r>
        <w:rPr>
          <w:rFonts w:hint="eastAsia" w:ascii="宋体" w:hAnsi="宋体" w:eastAsia="宋体" w:cs="Times New Roman"/>
          <w:bCs/>
          <w:color w:val="000000"/>
          <w:sz w:val="28"/>
          <w:szCs w:val="28"/>
        </w:rPr>
        <w:t>发生</w:t>
      </w:r>
      <w:r>
        <w:rPr>
          <w:rFonts w:ascii="宋体" w:hAnsi="宋体" w:eastAsia="宋体" w:cs="Times New Roman"/>
          <w:bCs/>
          <w:color w:val="000000"/>
          <w:sz w:val="28"/>
          <w:szCs w:val="28"/>
        </w:rPr>
        <w:t>。</w:t>
      </w:r>
    </w:p>
    <w:p>
      <w:pPr>
        <w:adjustRightInd w:val="0"/>
        <w:snapToGrid w:val="0"/>
        <w:spacing w:line="460" w:lineRule="exact"/>
        <w:ind w:firstLine="560" w:firstLineChars="200"/>
        <w:rPr>
          <w:rFonts w:ascii="宋体" w:hAnsi="宋体" w:eastAsia="宋体" w:cs="Times New Roman"/>
          <w:bCs/>
          <w:color w:val="000000"/>
          <w:sz w:val="28"/>
          <w:szCs w:val="28"/>
        </w:rPr>
      </w:pPr>
      <w:r>
        <w:rPr>
          <w:rFonts w:hint="eastAsia" w:ascii="宋体" w:hAnsi="宋体" w:eastAsia="宋体" w:cs="Times New Roman"/>
          <w:bCs/>
          <w:color w:val="000000"/>
          <w:sz w:val="28"/>
          <w:szCs w:val="28"/>
        </w:rPr>
        <w:t>2</w:t>
      </w:r>
      <w:r>
        <w:rPr>
          <w:rFonts w:ascii="宋体" w:hAnsi="宋体" w:eastAsia="宋体" w:cs="Times New Roman"/>
          <w:bCs/>
          <w:color w:val="000000"/>
          <w:sz w:val="28"/>
          <w:szCs w:val="28"/>
        </w:rPr>
        <w:t>、</w:t>
      </w:r>
      <w:r>
        <w:rPr>
          <w:rFonts w:hint="eastAsia" w:ascii="宋体" w:hAnsi="宋体" w:eastAsia="宋体" w:cs="Times New Roman"/>
          <w:bCs/>
          <w:color w:val="000000"/>
          <w:sz w:val="28"/>
          <w:szCs w:val="28"/>
        </w:rPr>
        <w:t>加强风险管控，杜绝出现环境风险事故。</w:t>
      </w:r>
    </w:p>
    <w:p>
      <w:pPr>
        <w:pStyle w:val="60"/>
        <w:snapToGrid w:val="0"/>
        <w:spacing w:before="0" w:beforeAutospacing="0" w:after="0" w:afterAutospacing="0" w:line="500" w:lineRule="exact"/>
        <w:ind w:firstLine="562" w:firstLineChars="200"/>
        <w:jc w:val="both"/>
        <w:outlineLvl w:val="0"/>
        <w:rPr>
          <w:rFonts w:ascii="宋体" w:hAnsi="宋体" w:eastAsia="宋体" w:cs="Times New Roman"/>
          <w:b/>
          <w:color w:val="000000"/>
          <w:sz w:val="28"/>
          <w:szCs w:val="28"/>
        </w:rPr>
      </w:pPr>
      <w:r>
        <w:rPr>
          <w:rFonts w:ascii="宋体" w:hAnsi="宋体" w:eastAsia="宋体" w:cs="Times New Roman"/>
          <w:b/>
          <w:color w:val="000000"/>
          <w:sz w:val="28"/>
          <w:szCs w:val="28"/>
        </w:rPr>
        <w:t>八、验收人员信息</w:t>
      </w:r>
    </w:p>
    <w:p>
      <w:pPr>
        <w:adjustRightInd w:val="0"/>
        <w:snapToGrid w:val="0"/>
        <w:spacing w:line="460" w:lineRule="exact"/>
        <w:ind w:firstLine="560" w:firstLineChars="200"/>
        <w:rPr>
          <w:rFonts w:ascii="宋体" w:hAnsi="宋体" w:eastAsia="宋体" w:cs="Times New Roman"/>
          <w:bCs/>
          <w:color w:val="000000"/>
          <w:sz w:val="28"/>
          <w:szCs w:val="28"/>
        </w:rPr>
      </w:pPr>
      <w:r>
        <w:rPr>
          <w:rFonts w:ascii="宋体" w:hAnsi="宋体" w:eastAsia="宋体" w:cs="Times New Roman"/>
          <w:bCs/>
          <w:color w:val="000000"/>
          <w:sz w:val="28"/>
          <w:szCs w:val="28"/>
        </w:rPr>
        <w:t>验收组名单附后。</w:t>
      </w:r>
    </w:p>
    <w:p>
      <w:pPr>
        <w:pStyle w:val="60"/>
        <w:snapToGrid w:val="0"/>
        <w:spacing w:before="0" w:beforeAutospacing="0" w:after="0" w:afterAutospacing="0" w:line="500" w:lineRule="exact"/>
        <w:ind w:left="562"/>
        <w:jc w:val="both"/>
        <w:outlineLvl w:val="0"/>
        <w:rPr>
          <w:rFonts w:ascii="宋体" w:hAnsi="宋体" w:eastAsia="宋体" w:cs="Times New Roman"/>
          <w:b/>
          <w:color w:val="000000"/>
          <w:sz w:val="28"/>
          <w:szCs w:val="28"/>
        </w:rPr>
      </w:pPr>
    </w:p>
    <w:p>
      <w:pPr>
        <w:pStyle w:val="60"/>
        <w:snapToGrid w:val="0"/>
        <w:spacing w:before="0" w:beforeAutospacing="0" w:after="0" w:afterAutospacing="0" w:line="500" w:lineRule="exact"/>
        <w:ind w:left="562"/>
        <w:jc w:val="both"/>
        <w:outlineLvl w:val="0"/>
        <w:rPr>
          <w:rFonts w:ascii="宋体" w:hAnsi="宋体" w:eastAsia="宋体" w:cs="Times New Roman"/>
          <w:b/>
          <w:color w:val="000000"/>
          <w:sz w:val="28"/>
          <w:szCs w:val="28"/>
        </w:rPr>
      </w:pPr>
    </w:p>
    <w:p>
      <w:pPr>
        <w:pStyle w:val="60"/>
        <w:snapToGrid w:val="0"/>
        <w:spacing w:before="0" w:beforeAutospacing="0" w:after="0" w:afterAutospacing="0" w:line="500" w:lineRule="exact"/>
        <w:ind w:left="562"/>
        <w:jc w:val="both"/>
        <w:outlineLvl w:val="0"/>
        <w:rPr>
          <w:rFonts w:ascii="宋体" w:hAnsi="宋体" w:eastAsia="宋体" w:cs="Times New Roman"/>
          <w:b/>
          <w:color w:val="000000"/>
          <w:sz w:val="28"/>
          <w:szCs w:val="28"/>
        </w:rPr>
      </w:pPr>
    </w:p>
    <w:p>
      <w:pPr>
        <w:widowControl/>
        <w:shd w:val="clear" w:color="auto" w:fill="FFFFFF"/>
        <w:adjustRightInd w:val="0"/>
        <w:snapToGrid w:val="0"/>
        <w:spacing w:line="460" w:lineRule="exact"/>
        <w:ind w:firstLine="560" w:firstLineChars="200"/>
        <w:jc w:val="right"/>
        <w:rPr>
          <w:rFonts w:ascii="宋体" w:hAnsi="宋体"/>
          <w:sz w:val="28"/>
          <w:szCs w:val="28"/>
        </w:rPr>
      </w:pPr>
      <w:r>
        <w:rPr>
          <w:rFonts w:hint="eastAsia" w:ascii="宋体" w:hAnsi="宋体"/>
          <w:sz w:val="28"/>
          <w:szCs w:val="28"/>
        </w:rPr>
        <w:t>山西太钢不锈钢股份有限公司</w:t>
      </w:r>
      <w:r>
        <w:rPr>
          <w:rFonts w:hint="eastAsia" w:ascii="宋体" w:hAnsi="宋体" w:eastAsia="宋体" w:cs="Times New Roman"/>
          <w:color w:val="000000"/>
          <w:kern w:val="0"/>
          <w:sz w:val="28"/>
          <w:szCs w:val="28"/>
        </w:rPr>
        <w:t>能源动力总厂</w:t>
      </w:r>
    </w:p>
    <w:p>
      <w:pPr>
        <w:widowControl/>
        <w:shd w:val="clear" w:color="auto" w:fill="FFFFFF"/>
        <w:adjustRightInd w:val="0"/>
        <w:snapToGrid w:val="0"/>
        <w:spacing w:line="460" w:lineRule="exact"/>
        <w:ind w:right="1600"/>
        <w:jc w:val="right"/>
        <w:rPr>
          <w:rFonts w:ascii="宋体" w:hAnsi="宋体" w:eastAsia="宋体" w:cs="Times New Roman"/>
          <w:sz w:val="28"/>
          <w:szCs w:val="28"/>
        </w:rPr>
      </w:pPr>
      <w:r>
        <w:rPr>
          <w:rFonts w:ascii="宋体" w:hAnsi="宋体"/>
          <w:sz w:val="28"/>
          <w:szCs w:val="28"/>
        </w:rPr>
        <w:t>202</w:t>
      </w:r>
      <w:r>
        <w:rPr>
          <w:rFonts w:hint="eastAsia" w:ascii="宋体" w:hAnsi="宋体"/>
          <w:sz w:val="28"/>
          <w:szCs w:val="28"/>
        </w:rPr>
        <w:t>1</w:t>
      </w:r>
      <w:r>
        <w:rPr>
          <w:rFonts w:ascii="宋体" w:hAnsi="宋体"/>
          <w:sz w:val="28"/>
          <w:szCs w:val="28"/>
        </w:rPr>
        <w:t>年</w:t>
      </w:r>
      <w:r>
        <w:rPr>
          <w:rFonts w:hint="eastAsia" w:ascii="宋体" w:hAnsi="宋体"/>
          <w:sz w:val="28"/>
          <w:szCs w:val="28"/>
        </w:rPr>
        <w:t>5</w:t>
      </w:r>
      <w:r>
        <w:rPr>
          <w:rFonts w:ascii="宋体" w:hAnsi="宋体"/>
          <w:sz w:val="28"/>
          <w:szCs w:val="28"/>
        </w:rPr>
        <w:t>月</w:t>
      </w:r>
      <w:r>
        <w:rPr>
          <w:rFonts w:hint="eastAsia" w:ascii="宋体" w:hAnsi="宋体"/>
          <w:sz w:val="28"/>
          <w:szCs w:val="28"/>
        </w:rPr>
        <w:t>25</w:t>
      </w:r>
      <w:r>
        <w:rPr>
          <w:rFonts w:ascii="宋体" w:hAnsi="宋体"/>
          <w:sz w:val="28"/>
          <w:szCs w:val="28"/>
        </w:rPr>
        <w:t>日</w:t>
      </w:r>
    </w:p>
    <w:sectPr>
      <w:footerReference r:id="rId4" w:type="default"/>
      <w:pgSz w:w="11907" w:h="16839"/>
      <w:pgMar w:top="1440" w:right="1287" w:bottom="1440" w:left="1797" w:header="907" w:footer="1021"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Unicode MS">
    <w:altName w:val="宋体"/>
    <w:panose1 w:val="020B0604020202020204"/>
    <w:charset w:val="86"/>
    <w:family w:val="auto"/>
    <w:pitch w:val="default"/>
    <w:sig w:usb0="F7FFAFFF" w:usb1="E9DFFFFF" w:usb2="0000003F" w:usb3="00000000" w:csb0="003F01FF" w:csb1="00000000"/>
  </w:font>
  <w:font w:name="PMingLiU">
    <w:panose1 w:val="02020500000000000000"/>
    <w:charset w:val="88"/>
    <w:family w:val="auto"/>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framePr w:wrap="around" w:vAnchor="text" w:hAnchor="margin" w:xAlign="center" w:y="1"/>
      <w:rPr>
        <w:rStyle w:val="65"/>
        <w:rFonts w:ascii="Times New Roman" w:hAnsi="Times New Roman" w:cs="Times New Roman"/>
      </w:rPr>
    </w:pPr>
    <w:r>
      <w:rPr>
        <w:rFonts w:ascii="Times New Roman" w:hAnsi="Times New Roman" w:cs="Times New Roman"/>
      </w:rPr>
      <w:fldChar w:fldCharType="begin"/>
    </w:r>
    <w:r>
      <w:rPr>
        <w:rStyle w:val="65"/>
        <w:rFonts w:ascii="Times New Roman" w:hAnsi="Times New Roman" w:cs="Times New Roman"/>
      </w:rPr>
      <w:instrText xml:space="preserve">PAGE  </w:instrText>
    </w:r>
    <w:r>
      <w:rPr>
        <w:rFonts w:ascii="Times New Roman" w:hAnsi="Times New Roman" w:cs="Times New Roman"/>
      </w:rPr>
      <w:fldChar w:fldCharType="separate"/>
    </w:r>
    <w:r>
      <w:rPr>
        <w:rStyle w:val="65"/>
        <w:rFonts w:ascii="Times New Roman" w:hAnsi="Times New Roman" w:cs="Times New Roman"/>
      </w:rPr>
      <w:t>2</w:t>
    </w:r>
    <w:r>
      <w:rPr>
        <w:rFonts w:ascii="Times New Roman" w:hAnsi="Times New Roman" w:cs="Times New Roman"/>
      </w:rPr>
      <w:fldChar w:fldCharType="end"/>
    </w:r>
  </w:p>
  <w:p>
    <w:pPr>
      <w:pStyle w:val="1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F363E"/>
    <w:rsid w:val="0000473B"/>
    <w:rsid w:val="0001384F"/>
    <w:rsid w:val="00021A86"/>
    <w:rsid w:val="000326B5"/>
    <w:rsid w:val="00035E40"/>
    <w:rsid w:val="00037630"/>
    <w:rsid w:val="00044CF5"/>
    <w:rsid w:val="00047464"/>
    <w:rsid w:val="00050165"/>
    <w:rsid w:val="000507DF"/>
    <w:rsid w:val="00061F18"/>
    <w:rsid w:val="00066E43"/>
    <w:rsid w:val="00071976"/>
    <w:rsid w:val="000A31D5"/>
    <w:rsid w:val="000A4F6C"/>
    <w:rsid w:val="00107B08"/>
    <w:rsid w:val="00114EC8"/>
    <w:rsid w:val="00126C68"/>
    <w:rsid w:val="0013317C"/>
    <w:rsid w:val="0016411D"/>
    <w:rsid w:val="00173589"/>
    <w:rsid w:val="00180E87"/>
    <w:rsid w:val="0018468E"/>
    <w:rsid w:val="00194D9F"/>
    <w:rsid w:val="001A2FF8"/>
    <w:rsid w:val="001B515C"/>
    <w:rsid w:val="001C1712"/>
    <w:rsid w:val="001C2896"/>
    <w:rsid w:val="001F4571"/>
    <w:rsid w:val="001F4B69"/>
    <w:rsid w:val="00223A4A"/>
    <w:rsid w:val="00224850"/>
    <w:rsid w:val="00225172"/>
    <w:rsid w:val="002307B3"/>
    <w:rsid w:val="00232B9D"/>
    <w:rsid w:val="00242A19"/>
    <w:rsid w:val="00252851"/>
    <w:rsid w:val="00252BE6"/>
    <w:rsid w:val="0025751C"/>
    <w:rsid w:val="0026055B"/>
    <w:rsid w:val="00277FD4"/>
    <w:rsid w:val="002951D1"/>
    <w:rsid w:val="00297A4E"/>
    <w:rsid w:val="002C65BE"/>
    <w:rsid w:val="002D31E4"/>
    <w:rsid w:val="002F468A"/>
    <w:rsid w:val="00301DEB"/>
    <w:rsid w:val="003229B0"/>
    <w:rsid w:val="003313AF"/>
    <w:rsid w:val="0033781A"/>
    <w:rsid w:val="0036031B"/>
    <w:rsid w:val="003637AD"/>
    <w:rsid w:val="003764F9"/>
    <w:rsid w:val="00382FBC"/>
    <w:rsid w:val="00393D20"/>
    <w:rsid w:val="003963DA"/>
    <w:rsid w:val="003B0F4E"/>
    <w:rsid w:val="003C070C"/>
    <w:rsid w:val="003D7671"/>
    <w:rsid w:val="003E551D"/>
    <w:rsid w:val="00403C4D"/>
    <w:rsid w:val="00420368"/>
    <w:rsid w:val="00421B60"/>
    <w:rsid w:val="004257AB"/>
    <w:rsid w:val="00435C2D"/>
    <w:rsid w:val="00445416"/>
    <w:rsid w:val="00463846"/>
    <w:rsid w:val="00476B38"/>
    <w:rsid w:val="004827C6"/>
    <w:rsid w:val="00486FE2"/>
    <w:rsid w:val="004955B1"/>
    <w:rsid w:val="004A018C"/>
    <w:rsid w:val="004A033D"/>
    <w:rsid w:val="004A6E79"/>
    <w:rsid w:val="004C6AEC"/>
    <w:rsid w:val="004D7797"/>
    <w:rsid w:val="004E6866"/>
    <w:rsid w:val="004F00C6"/>
    <w:rsid w:val="00515BAD"/>
    <w:rsid w:val="00520C2F"/>
    <w:rsid w:val="00555A91"/>
    <w:rsid w:val="00573AAD"/>
    <w:rsid w:val="00575337"/>
    <w:rsid w:val="00582F6E"/>
    <w:rsid w:val="005A0650"/>
    <w:rsid w:val="005A1018"/>
    <w:rsid w:val="005B4AC1"/>
    <w:rsid w:val="005E1E5F"/>
    <w:rsid w:val="005E7BD0"/>
    <w:rsid w:val="005F0FC3"/>
    <w:rsid w:val="005F7BD3"/>
    <w:rsid w:val="00601293"/>
    <w:rsid w:val="0060596E"/>
    <w:rsid w:val="00625FEB"/>
    <w:rsid w:val="00635A1F"/>
    <w:rsid w:val="0065229A"/>
    <w:rsid w:val="00654AAC"/>
    <w:rsid w:val="00663330"/>
    <w:rsid w:val="00664A2A"/>
    <w:rsid w:val="00666FA2"/>
    <w:rsid w:val="00673C45"/>
    <w:rsid w:val="00676BA7"/>
    <w:rsid w:val="0069793D"/>
    <w:rsid w:val="006B03A7"/>
    <w:rsid w:val="006C2892"/>
    <w:rsid w:val="006D1387"/>
    <w:rsid w:val="006D2839"/>
    <w:rsid w:val="006D423D"/>
    <w:rsid w:val="0070531B"/>
    <w:rsid w:val="0070540C"/>
    <w:rsid w:val="00714D0F"/>
    <w:rsid w:val="00715301"/>
    <w:rsid w:val="007158E0"/>
    <w:rsid w:val="007304A6"/>
    <w:rsid w:val="00732C43"/>
    <w:rsid w:val="00740926"/>
    <w:rsid w:val="007425E3"/>
    <w:rsid w:val="00744DAE"/>
    <w:rsid w:val="007568A1"/>
    <w:rsid w:val="00762BA1"/>
    <w:rsid w:val="00773CF6"/>
    <w:rsid w:val="00792343"/>
    <w:rsid w:val="0079375F"/>
    <w:rsid w:val="00795560"/>
    <w:rsid w:val="0079774C"/>
    <w:rsid w:val="007A34F3"/>
    <w:rsid w:val="007B738A"/>
    <w:rsid w:val="007F40CD"/>
    <w:rsid w:val="0080712E"/>
    <w:rsid w:val="00812D34"/>
    <w:rsid w:val="008414C3"/>
    <w:rsid w:val="00846642"/>
    <w:rsid w:val="00855A93"/>
    <w:rsid w:val="00887000"/>
    <w:rsid w:val="008B181B"/>
    <w:rsid w:val="008F08A8"/>
    <w:rsid w:val="008F363E"/>
    <w:rsid w:val="008F5593"/>
    <w:rsid w:val="0090612F"/>
    <w:rsid w:val="00913015"/>
    <w:rsid w:val="00921EFE"/>
    <w:rsid w:val="00935AF2"/>
    <w:rsid w:val="00940FED"/>
    <w:rsid w:val="00942359"/>
    <w:rsid w:val="0096391E"/>
    <w:rsid w:val="00974BDD"/>
    <w:rsid w:val="0098573A"/>
    <w:rsid w:val="00991DE6"/>
    <w:rsid w:val="00996C50"/>
    <w:rsid w:val="009A1934"/>
    <w:rsid w:val="009B63D3"/>
    <w:rsid w:val="009C0E36"/>
    <w:rsid w:val="009C58B3"/>
    <w:rsid w:val="009C6D20"/>
    <w:rsid w:val="009E4E35"/>
    <w:rsid w:val="009F4703"/>
    <w:rsid w:val="00A01903"/>
    <w:rsid w:val="00A1265C"/>
    <w:rsid w:val="00A24F29"/>
    <w:rsid w:val="00A2763C"/>
    <w:rsid w:val="00A3789D"/>
    <w:rsid w:val="00A459FA"/>
    <w:rsid w:val="00A96EBE"/>
    <w:rsid w:val="00AA543F"/>
    <w:rsid w:val="00AA70B8"/>
    <w:rsid w:val="00AB2A5C"/>
    <w:rsid w:val="00AC575B"/>
    <w:rsid w:val="00AC7212"/>
    <w:rsid w:val="00AD2C91"/>
    <w:rsid w:val="00AE32B4"/>
    <w:rsid w:val="00AF03FF"/>
    <w:rsid w:val="00B01554"/>
    <w:rsid w:val="00B17F06"/>
    <w:rsid w:val="00B37B0C"/>
    <w:rsid w:val="00B54328"/>
    <w:rsid w:val="00B67202"/>
    <w:rsid w:val="00B743C4"/>
    <w:rsid w:val="00B8411C"/>
    <w:rsid w:val="00B8481D"/>
    <w:rsid w:val="00B97094"/>
    <w:rsid w:val="00BA5872"/>
    <w:rsid w:val="00BA7DD5"/>
    <w:rsid w:val="00BC38C2"/>
    <w:rsid w:val="00BC3FC1"/>
    <w:rsid w:val="00BD7A20"/>
    <w:rsid w:val="00BF7BD1"/>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331F7"/>
    <w:rsid w:val="00D6096D"/>
    <w:rsid w:val="00D613D8"/>
    <w:rsid w:val="00D70CBD"/>
    <w:rsid w:val="00D7593B"/>
    <w:rsid w:val="00D76058"/>
    <w:rsid w:val="00D813C3"/>
    <w:rsid w:val="00D86662"/>
    <w:rsid w:val="00DB5D8B"/>
    <w:rsid w:val="00DD1E21"/>
    <w:rsid w:val="00DD64D5"/>
    <w:rsid w:val="00E27CCC"/>
    <w:rsid w:val="00E3574A"/>
    <w:rsid w:val="00E650BB"/>
    <w:rsid w:val="00E66B53"/>
    <w:rsid w:val="00EA027F"/>
    <w:rsid w:val="00EA2AB4"/>
    <w:rsid w:val="00EB37D9"/>
    <w:rsid w:val="00EB5458"/>
    <w:rsid w:val="00EC6297"/>
    <w:rsid w:val="00EE0E64"/>
    <w:rsid w:val="00F0270F"/>
    <w:rsid w:val="00F05BF4"/>
    <w:rsid w:val="00F31C63"/>
    <w:rsid w:val="00F324C6"/>
    <w:rsid w:val="00F3764F"/>
    <w:rsid w:val="00F5616E"/>
    <w:rsid w:val="00F66119"/>
    <w:rsid w:val="00F73EBB"/>
    <w:rsid w:val="00F7770D"/>
    <w:rsid w:val="00F80B53"/>
    <w:rsid w:val="00F81748"/>
    <w:rsid w:val="00FC593F"/>
    <w:rsid w:val="00FF3838"/>
    <w:rsid w:val="02376888"/>
    <w:rsid w:val="0B8D5AB3"/>
    <w:rsid w:val="193C0E08"/>
    <w:rsid w:val="270F2CDA"/>
    <w:rsid w:val="3781210D"/>
    <w:rsid w:val="37AF2312"/>
    <w:rsid w:val="5D4B0AE2"/>
    <w:rsid w:val="65DD64DF"/>
    <w:rsid w:val="6CFF2F48"/>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qFormat="1" w:unhideWhenUsed="0" w:uiPriority="0" w:semiHidden="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4"/>
      <w:lang w:val="en-US" w:eastAsia="zh-CN" w:bidi="ar-SA"/>
    </w:rPr>
  </w:style>
  <w:style w:type="paragraph" w:styleId="4">
    <w:name w:val="heading 1"/>
    <w:basedOn w:val="1"/>
    <w:next w:val="1"/>
    <w:link w:val="93"/>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85"/>
    <w:qFormat/>
    <w:uiPriority w:val="0"/>
    <w:pPr>
      <w:widowControl/>
      <w:spacing w:before="260" w:after="260" w:line="2800" w:lineRule="atLeast"/>
      <w:ind w:firstLine="419"/>
      <w:textAlignment w:val="baseline"/>
      <w:outlineLvl w:val="1"/>
    </w:pPr>
    <w:rPr>
      <w:rFonts w:ascii="Arial" w:eastAsia="黑体"/>
      <w:b/>
      <w:color w:val="000000"/>
      <w:sz w:val="31"/>
      <w:u w:val="none" w:color="000000"/>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unhideWhenUsed/>
    <w:uiPriority w:val="1"/>
  </w:style>
  <w:style w:type="table" w:default="1" w:styleId="21">
    <w:name w:val="Normal Table"/>
    <w:unhideWhenUsed/>
    <w:uiPriority w:val="99"/>
    <w:tblPr>
      <w:tblStyle w:val="21"/>
      <w:tblLayout w:type="fixed"/>
      <w:tblCellMar>
        <w:top w:w="0" w:type="dxa"/>
        <w:left w:w="108" w:type="dxa"/>
        <w:bottom w:w="0" w:type="dxa"/>
        <w:right w:w="108" w:type="dxa"/>
      </w:tblCellMar>
    </w:tblPr>
    <w:tcPr>
      <w:textDirection w:val="lrTb"/>
    </w:tcPr>
  </w:style>
  <w:style w:type="paragraph" w:styleId="2">
    <w:name w:val="Body Text First Indent"/>
    <w:basedOn w:val="3"/>
    <w:qFormat/>
    <w:uiPriority w:val="0"/>
    <w:pPr>
      <w:topLinePunct w:val="1"/>
      <w:spacing w:line="300" w:lineRule="exact"/>
      <w:textAlignment w:val="baseline"/>
    </w:pPr>
  </w:style>
  <w:style w:type="paragraph" w:styleId="3">
    <w:name w:val="Body Text"/>
    <w:basedOn w:val="1"/>
    <w:next w:val="1"/>
    <w:link w:val="76"/>
    <w:qFormat/>
    <w:uiPriority w:val="0"/>
    <w:pPr>
      <w:spacing w:after="120"/>
    </w:pPr>
  </w:style>
  <w:style w:type="paragraph" w:styleId="8">
    <w:name w:val="annotation subject"/>
    <w:basedOn w:val="9"/>
    <w:next w:val="9"/>
    <w:link w:val="91"/>
    <w:unhideWhenUsed/>
    <w:qFormat/>
    <w:uiPriority w:val="99"/>
    <w:rPr>
      <w:b/>
      <w:bCs/>
    </w:rPr>
  </w:style>
  <w:style w:type="paragraph" w:styleId="9">
    <w:name w:val="annotation text"/>
    <w:basedOn w:val="1"/>
    <w:link w:val="75"/>
    <w:qFormat/>
    <w:uiPriority w:val="99"/>
    <w:pPr>
      <w:jc w:val="left"/>
    </w:pPr>
  </w:style>
  <w:style w:type="paragraph" w:styleId="10">
    <w:name w:val="Normal Indent"/>
    <w:basedOn w:val="1"/>
    <w:link w:val="94"/>
    <w:qFormat/>
    <w:uiPriority w:val="0"/>
    <w:pPr>
      <w:ind w:firstLine="420"/>
    </w:pPr>
    <w:rPr>
      <w:rFonts w:ascii="Times New Roman" w:hAnsi="Times New Roman" w:cs="Times New Roman"/>
    </w:rPr>
  </w:style>
  <w:style w:type="paragraph" w:styleId="11">
    <w:name w:val="Document Map"/>
    <w:basedOn w:val="1"/>
    <w:link w:val="92"/>
    <w:unhideWhenUsed/>
    <w:qFormat/>
    <w:uiPriority w:val="99"/>
    <w:rPr>
      <w:rFonts w:ascii="宋体"/>
      <w:sz w:val="18"/>
      <w:szCs w:val="18"/>
    </w:rPr>
  </w:style>
  <w:style w:type="paragraph" w:styleId="12">
    <w:name w:val="Plain Text"/>
    <w:basedOn w:val="1"/>
    <w:link w:val="96"/>
    <w:unhideWhenUsed/>
    <w:qFormat/>
    <w:uiPriority w:val="0"/>
    <w:rPr>
      <w:rFonts w:ascii="宋体" w:hAnsi="Courier New" w:cs="Courier New"/>
      <w:szCs w:val="21"/>
    </w:rPr>
  </w:style>
  <w:style w:type="paragraph" w:styleId="13">
    <w:name w:val="Date"/>
    <w:basedOn w:val="1"/>
    <w:next w:val="1"/>
    <w:link w:val="90"/>
    <w:unhideWhenUsed/>
    <w:qFormat/>
    <w:uiPriority w:val="99"/>
    <w:pPr>
      <w:ind w:left="100" w:leftChars="2500"/>
    </w:p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link w:val="81"/>
    <w:qFormat/>
    <w:uiPriority w:val="0"/>
    <w:pPr>
      <w:pBdr>
        <w:bottom w:val="single" w:color="auto" w:sz="6" w:space="1"/>
      </w:pBdr>
      <w:tabs>
        <w:tab w:val="center" w:pos="4153"/>
        <w:tab w:val="right" w:pos="8306"/>
      </w:tabs>
      <w:snapToGrid w:val="0"/>
      <w:jc w:val="center"/>
    </w:pPr>
    <w:rPr>
      <w:sz w:val="18"/>
      <w:szCs w:val="18"/>
    </w:rPr>
  </w:style>
  <w:style w:type="paragraph" w:styleId="17">
    <w:name w:val="toc 2"/>
    <w:basedOn w:val="1"/>
    <w:next w:val="1"/>
    <w:qFormat/>
    <w:uiPriority w:val="99"/>
    <w:pPr>
      <w:widowControl/>
      <w:ind w:left="420" w:leftChars="200"/>
      <w:jc w:val="left"/>
    </w:pPr>
    <w:rPr>
      <w:rFonts w:cs="Times New Roman"/>
      <w:kern w:val="0"/>
      <w:sz w:val="24"/>
    </w:rPr>
  </w:style>
  <w:style w:type="paragraph" w:styleId="18">
    <w:name w:val="Body Text 2"/>
    <w:basedOn w:val="1"/>
    <w:link w:val="88"/>
    <w:unhideWhenUsed/>
    <w:qFormat/>
    <w:uiPriority w:val="99"/>
    <w:pPr>
      <w:spacing w:after="120" w:line="480" w:lineRule="auto"/>
    </w:pPr>
    <w:rPr>
      <w:rFonts w:cs="Times New Roman"/>
      <w:szCs w:val="22"/>
    </w:rPr>
  </w:style>
  <w:style w:type="character" w:styleId="20">
    <w:name w:val="annotation reference"/>
    <w:unhideWhenUsed/>
    <w:qFormat/>
    <w:uiPriority w:val="99"/>
    <w:rPr>
      <w:sz w:val="21"/>
      <w:szCs w:val="21"/>
    </w:rPr>
  </w:style>
  <w:style w:type="table" w:styleId="22">
    <w:name w:val="Table Grid"/>
    <w:basedOn w:val="21"/>
    <w:qFormat/>
    <w:uiPriority w:val="59"/>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3">
    <w:name w:val="批注主题1"/>
    <w:basedOn w:val="9"/>
    <w:next w:val="9"/>
    <w:qFormat/>
    <w:uiPriority w:val="0"/>
    <w:rPr>
      <w:b/>
      <w:bCs/>
    </w:rPr>
  </w:style>
  <w:style w:type="paragraph" w:customStyle="1" w:styleId="24">
    <w:name w:val="正文缩进1"/>
    <w:basedOn w:val="1"/>
    <w:link w:val="74"/>
    <w:qFormat/>
    <w:uiPriority w:val="0"/>
    <w:pPr>
      <w:ind w:firstLine="420" w:firstLineChars="200"/>
    </w:pPr>
  </w:style>
  <w:style w:type="paragraph" w:customStyle="1" w:styleId="25">
    <w:name w:val="文档结构图1"/>
    <w:basedOn w:val="1"/>
    <w:qFormat/>
    <w:uiPriority w:val="0"/>
    <w:pPr>
      <w:shd w:val="clear" w:color="auto" w:fill="000080"/>
    </w:pPr>
  </w:style>
  <w:style w:type="paragraph" w:customStyle="1" w:styleId="26">
    <w:name w:val="正文文本缩进1"/>
    <w:basedOn w:val="1"/>
    <w:link w:val="78"/>
    <w:qFormat/>
    <w:uiPriority w:val="0"/>
    <w:pPr>
      <w:spacing w:after="120"/>
      <w:ind w:left="420" w:leftChars="200"/>
    </w:pPr>
  </w:style>
  <w:style w:type="paragraph" w:customStyle="1" w:styleId="27">
    <w:name w:val="纯文本1"/>
    <w:basedOn w:val="1"/>
    <w:link w:val="84"/>
    <w:qFormat/>
    <w:uiPriority w:val="0"/>
    <w:rPr>
      <w:rFonts w:ascii="宋体" w:hAnsi="Courier New"/>
    </w:rPr>
  </w:style>
  <w:style w:type="paragraph" w:customStyle="1" w:styleId="28">
    <w:name w:val="日期1"/>
    <w:basedOn w:val="1"/>
    <w:next w:val="1"/>
    <w:qFormat/>
    <w:uiPriority w:val="0"/>
    <w:pPr>
      <w:ind w:left="100" w:leftChars="2500"/>
    </w:pPr>
  </w:style>
  <w:style w:type="paragraph" w:customStyle="1" w:styleId="29">
    <w:name w:val="正文文本缩进 21"/>
    <w:basedOn w:val="1"/>
    <w:link w:val="79"/>
    <w:qFormat/>
    <w:uiPriority w:val="0"/>
    <w:pPr>
      <w:spacing w:after="120" w:line="480" w:lineRule="auto"/>
      <w:ind w:left="420" w:leftChars="200"/>
    </w:pPr>
  </w:style>
  <w:style w:type="paragraph" w:customStyle="1" w:styleId="30">
    <w:name w:val="列表1"/>
    <w:basedOn w:val="1"/>
    <w:qFormat/>
    <w:uiPriority w:val="0"/>
    <w:pPr>
      <w:autoSpaceDE w:val="0"/>
      <w:autoSpaceDN w:val="0"/>
      <w:adjustRightInd w:val="0"/>
      <w:snapToGrid w:val="0"/>
      <w:spacing w:line="480" w:lineRule="exact"/>
      <w:jc w:val="center"/>
    </w:pPr>
    <w:rPr>
      <w:kern w:val="32"/>
      <w:sz w:val="24"/>
      <w:szCs w:val="20"/>
    </w:rPr>
  </w:style>
  <w:style w:type="paragraph" w:customStyle="1" w:styleId="31">
    <w:name w:val="正文文本缩进 31"/>
    <w:basedOn w:val="1"/>
    <w:link w:val="67"/>
    <w:qFormat/>
    <w:uiPriority w:val="0"/>
    <w:pPr>
      <w:spacing w:after="120"/>
      <w:ind w:left="420" w:leftChars="200"/>
    </w:pPr>
    <w:rPr>
      <w:sz w:val="16"/>
      <w:szCs w:val="16"/>
    </w:rPr>
  </w:style>
  <w:style w:type="paragraph" w:customStyle="1" w:styleId="32">
    <w:name w:val="正文文本 21"/>
    <w:basedOn w:val="1"/>
    <w:qFormat/>
    <w:uiPriority w:val="0"/>
    <w:pPr>
      <w:spacing w:after="120" w:line="480" w:lineRule="auto"/>
    </w:pPr>
  </w:style>
  <w:style w:type="paragraph" w:customStyle="1" w:styleId="33">
    <w:name w:val="普通(网站)1"/>
    <w:basedOn w:val="1"/>
    <w:qFormat/>
    <w:uiPriority w:val="0"/>
    <w:pPr>
      <w:widowControl/>
      <w:jc w:val="left"/>
    </w:pPr>
    <w:rPr>
      <w:rFonts w:ascii="Arial" w:hAnsi="Arial" w:cs="Arial"/>
      <w:color w:val="333333"/>
      <w:kern w:val="0"/>
      <w:sz w:val="14"/>
      <w:szCs w:val="14"/>
    </w:rPr>
  </w:style>
  <w:style w:type="paragraph" w:customStyle="1" w:styleId="34">
    <w:name w:val="li表格"/>
    <w:basedOn w:val="1"/>
    <w:next w:val="1"/>
    <w:qFormat/>
    <w:uiPriority w:val="0"/>
    <w:pPr>
      <w:spacing w:line="360" w:lineRule="exact"/>
      <w:jc w:val="center"/>
    </w:pPr>
    <w:rPr>
      <w:rFonts w:hAnsi="宋体"/>
      <w:b/>
      <w:color w:val="0000FF"/>
      <w:spacing w:val="4"/>
      <w:szCs w:val="21"/>
    </w:rPr>
  </w:style>
  <w:style w:type="paragraph" w:customStyle="1" w:styleId="35">
    <w:name w:val="默认段落字体 Para Char"/>
    <w:basedOn w:val="1"/>
    <w:qFormat/>
    <w:uiPriority w:val="0"/>
    <w:pPr>
      <w:spacing w:line="360" w:lineRule="auto"/>
      <w:ind w:firstLine="200" w:firstLineChars="200"/>
    </w:pPr>
    <w:rPr>
      <w:szCs w:val="20"/>
    </w:rPr>
  </w:style>
  <w:style w:type="paragraph" w:customStyle="1" w:styleId="36">
    <w:name w:val="正文1"/>
    <w:qFormat/>
    <w:uiPriority w:val="0"/>
    <w:pPr>
      <w:jc w:val="both"/>
    </w:pPr>
    <w:rPr>
      <w:rFonts w:ascii="Calibri" w:hAnsi="Calibri" w:eastAsia="宋体" w:cs="Calibri"/>
      <w:kern w:val="2"/>
      <w:sz w:val="21"/>
      <w:szCs w:val="21"/>
      <w:lang w:val="en-US" w:eastAsia="zh-CN" w:bidi="ar-SA"/>
    </w:rPr>
  </w:style>
  <w:style w:type="paragraph" w:customStyle="1" w:styleId="37">
    <w:name w:val="3级"/>
    <w:basedOn w:val="6"/>
    <w:qFormat/>
    <w:uiPriority w:val="0"/>
    <w:pPr>
      <w:spacing w:before="0" w:after="0" w:line="500" w:lineRule="exact"/>
    </w:pPr>
    <w:rPr>
      <w:rFonts w:cs="宋体"/>
      <w:sz w:val="28"/>
      <w:szCs w:val="20"/>
    </w:rPr>
  </w:style>
  <w:style w:type="paragraph" w:customStyle="1" w:styleId="38">
    <w:name w:val="样式 标题 4 + Times New Roman 小四 非加粗 段前: 0 磅 段后: 7.8 磅 行距: 多倍行距..."/>
    <w:basedOn w:val="7"/>
    <w:qFormat/>
    <w:uiPriority w:val="0"/>
    <w:pPr>
      <w:spacing w:before="0" w:after="156" w:line="377" w:lineRule="auto"/>
    </w:pPr>
    <w:rPr>
      <w:rFonts w:ascii="Times New Roman" w:hAnsi="Times New Roman" w:cs="宋体"/>
      <w:b w:val="0"/>
      <w:bCs w:val="0"/>
      <w:sz w:val="24"/>
      <w:szCs w:val="24"/>
    </w:rPr>
  </w:style>
  <w:style w:type="paragraph" w:customStyle="1" w:styleId="39">
    <w:name w:val="正文11"/>
    <w:basedOn w:val="1"/>
    <w:link w:val="82"/>
    <w:qFormat/>
    <w:uiPriority w:val="0"/>
    <w:pPr>
      <w:spacing w:line="460" w:lineRule="exact"/>
      <w:ind w:firstLine="200" w:firstLineChars="200"/>
    </w:pPr>
    <w:rPr>
      <w:b/>
      <w:color w:val="000000"/>
      <w:sz w:val="24"/>
    </w:rPr>
  </w:style>
  <w:style w:type="paragraph" w:customStyle="1" w:styleId="40">
    <w:name w:val="正文内容"/>
    <w:link w:val="68"/>
    <w:qFormat/>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1">
    <w:name w:val="列出段落1"/>
    <w:basedOn w:val="1"/>
    <w:qFormat/>
    <w:uiPriority w:val="0"/>
    <w:pPr>
      <w:ind w:firstLine="420" w:firstLineChars="200"/>
    </w:pPr>
    <w:rPr>
      <w:szCs w:val="20"/>
    </w:rPr>
  </w:style>
  <w:style w:type="paragraph" w:customStyle="1" w:styleId="42">
    <w:name w:val="Default"/>
    <w:qForma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3">
    <w:name w:val="MSG_EN_FONT_STYLE_NAME_TEMPLATE_ROLE_NUMBER MSG_EN_FONT_STYLE_NAME_BY_ROLE_TEXT 2"/>
    <w:basedOn w:val="1"/>
    <w:link w:val="71"/>
    <w:qFormat/>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4">
    <w:name w:val="表格内容5号"/>
    <w:link w:val="73"/>
    <w:qFormat/>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5">
    <w:name w:val="表内容1-1"/>
    <w:basedOn w:val="1"/>
    <w:qFormat/>
    <w:uiPriority w:val="0"/>
    <w:pPr>
      <w:jc w:val="center"/>
      <w:textAlignment w:val="baseline"/>
    </w:pPr>
    <w:rPr>
      <w:rFonts w:ascii="Times New Roman" w:hAnsi="Times New Roman"/>
      <w:kern w:val="0"/>
      <w:szCs w:val="21"/>
    </w:rPr>
  </w:style>
  <w:style w:type="paragraph" w:customStyle="1" w:styleId="46">
    <w:name w:val="表格文字1"/>
    <w:basedOn w:val="1"/>
    <w:qFormat/>
    <w:uiPriority w:val="0"/>
    <w:pPr>
      <w:tabs>
        <w:tab w:val="left" w:pos="1080"/>
      </w:tabs>
      <w:snapToGrid w:val="0"/>
      <w:spacing w:line="240" w:lineRule="exact"/>
      <w:jc w:val="center"/>
    </w:pPr>
    <w:rPr>
      <w:rFonts w:hAnsi="宋体"/>
      <w:spacing w:val="-2"/>
      <w:kern w:val="32"/>
      <w:szCs w:val="21"/>
    </w:rPr>
  </w:style>
  <w:style w:type="paragraph" w:customStyle="1" w:styleId="47">
    <w:name w:val="表格文字"/>
    <w:basedOn w:val="1"/>
    <w:next w:val="1"/>
    <w:link w:val="70"/>
    <w:qFormat/>
    <w:uiPriority w:val="0"/>
    <w:pPr>
      <w:spacing w:line="280" w:lineRule="exact"/>
      <w:jc w:val="center"/>
    </w:pPr>
    <w:rPr>
      <w:rFonts w:ascii="Arial" w:hAnsi="Arial" w:eastAsia="宋体-方正超大字符集" w:cs="Arial"/>
    </w:rPr>
  </w:style>
  <w:style w:type="paragraph" w:customStyle="1" w:styleId="48">
    <w:name w:val="表格文字-五号-左对齐"/>
    <w:basedOn w:val="1"/>
    <w:qFormat/>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49">
    <w:name w:val="陈正文"/>
    <w:basedOn w:val="1"/>
    <w:next w:val="1"/>
    <w:link w:val="77"/>
    <w:qFormat/>
    <w:uiPriority w:val="0"/>
    <w:pPr>
      <w:ind w:left="178" w:leftChars="85" w:firstLine="405" w:firstLineChars="193"/>
    </w:pPr>
    <w:rPr>
      <w:rFonts w:ascii="Arial" w:hAnsi="Arial" w:cs="宋体"/>
      <w:color w:val="000000"/>
      <w:szCs w:val="21"/>
    </w:rPr>
  </w:style>
  <w:style w:type="paragraph" w:customStyle="1" w:styleId="50">
    <w:name w:val="彩霞-正文"/>
    <w:basedOn w:val="1"/>
    <w:link w:val="80"/>
    <w:qFormat/>
    <w:uiPriority w:val="0"/>
    <w:pPr>
      <w:spacing w:line="360" w:lineRule="auto"/>
      <w:ind w:firstLine="200" w:firstLineChars="200"/>
    </w:pPr>
    <w:rPr>
      <w:rFonts w:cs="宋体"/>
      <w:sz w:val="24"/>
      <w:szCs w:val="28"/>
      <w:lang w:val="zh-CN"/>
    </w:rPr>
  </w:style>
  <w:style w:type="paragraph" w:customStyle="1" w:styleId="51">
    <w:name w:val="样式 首行缩进:  2 字符"/>
    <w:basedOn w:val="1"/>
    <w:qFormat/>
    <w:uiPriority w:val="0"/>
    <w:pPr>
      <w:spacing w:line="520" w:lineRule="exact"/>
      <w:ind w:firstLine="200" w:firstLineChars="200"/>
    </w:pPr>
    <w:rPr>
      <w:sz w:val="24"/>
    </w:rPr>
  </w:style>
  <w:style w:type="paragraph" w:customStyle="1" w:styleId="52">
    <w:name w:val="Char"/>
    <w:basedOn w:val="1"/>
    <w:next w:val="1"/>
    <w:qFormat/>
    <w:uiPriority w:val="0"/>
    <w:pPr>
      <w:spacing w:line="360" w:lineRule="auto"/>
      <w:ind w:firstLine="200" w:firstLineChars="200"/>
    </w:pPr>
    <w:rPr>
      <w:rFonts w:ascii="宋体" w:hAnsi="宋体" w:cs="宋体"/>
      <w:sz w:val="24"/>
    </w:rPr>
  </w:style>
  <w:style w:type="paragraph" w:customStyle="1" w:styleId="53">
    <w:name w:val="4"/>
    <w:basedOn w:val="1"/>
    <w:next w:val="1"/>
    <w:link w:val="69"/>
    <w:qFormat/>
    <w:uiPriority w:val="0"/>
    <w:pPr>
      <w:spacing w:line="500" w:lineRule="exact"/>
      <w:outlineLvl w:val="3"/>
    </w:pPr>
    <w:rPr>
      <w:rFonts w:ascii="Arial" w:hAnsi="Arial" w:eastAsia="黑体"/>
      <w:b/>
      <w:sz w:val="24"/>
    </w:rPr>
  </w:style>
  <w:style w:type="paragraph" w:customStyle="1" w:styleId="54">
    <w:name w:val="Char Char Char Char"/>
    <w:basedOn w:val="1"/>
    <w:qFormat/>
    <w:uiPriority w:val="0"/>
    <w:pPr>
      <w:snapToGrid w:val="0"/>
      <w:spacing w:line="360" w:lineRule="auto"/>
      <w:ind w:firstLine="529" w:firstLineChars="200"/>
    </w:pPr>
    <w:rPr>
      <w:rFonts w:ascii="宋体" w:hAnsi="宋体"/>
      <w:b/>
      <w:sz w:val="24"/>
    </w:rPr>
  </w:style>
  <w:style w:type="paragraph" w:customStyle="1" w:styleId="55">
    <w:name w:val="Char Char Char Char Char Char Char Char Char Char Char Char Char Char Char Char Char Char1 Char Char Char Char Char Char Char Char Char Char Char Char1 Char Char Char"/>
    <w:basedOn w:val="1"/>
    <w:next w:val="1"/>
    <w:qFormat/>
    <w:uiPriority w:val="0"/>
    <w:pPr>
      <w:snapToGrid w:val="0"/>
      <w:spacing w:line="360" w:lineRule="auto"/>
      <w:ind w:firstLine="200" w:firstLineChars="200"/>
      <w:jc w:val="left"/>
    </w:pPr>
    <w:rPr>
      <w:rFonts w:ascii="宋体" w:hAnsi="宋体" w:cs="宋体"/>
      <w:sz w:val="24"/>
    </w:rPr>
  </w:style>
  <w:style w:type="paragraph" w:customStyle="1" w:styleId="56">
    <w:name w:val="表格文字-五号"/>
    <w:basedOn w:val="1"/>
    <w:next w:val="1"/>
    <w:qFormat/>
    <w:uiPriority w:val="0"/>
    <w:pPr>
      <w:widowControl/>
      <w:tabs>
        <w:tab w:val="left" w:pos="2340"/>
      </w:tabs>
      <w:adjustRightInd w:val="0"/>
      <w:snapToGrid w:val="0"/>
      <w:jc w:val="center"/>
    </w:pPr>
    <w:rPr>
      <w:color w:val="000000"/>
      <w:kern w:val="0"/>
      <w:sz w:val="20"/>
    </w:rPr>
  </w:style>
  <w:style w:type="paragraph" w:customStyle="1" w:styleId="57">
    <w:name w:val="Char Char Char Char Char Char Char"/>
    <w:basedOn w:val="1"/>
    <w:qFormat/>
    <w:uiPriority w:val="0"/>
    <w:pPr>
      <w:spacing w:line="360" w:lineRule="auto"/>
      <w:ind w:firstLine="200" w:firstLineChars="200"/>
    </w:pPr>
    <w:rPr>
      <w:rFonts w:ascii="宋体" w:hAnsi="宋体" w:cs="宋体"/>
      <w:sz w:val="24"/>
    </w:rPr>
  </w:style>
  <w:style w:type="paragraph" w:customStyle="1" w:styleId="58">
    <w:name w:val="列出段落2"/>
    <w:basedOn w:val="1"/>
    <w:qFormat/>
    <w:uiPriority w:val="0"/>
    <w:pPr>
      <w:ind w:firstLine="420" w:firstLineChars="200"/>
    </w:pPr>
    <w:rPr>
      <w:szCs w:val="22"/>
    </w:rPr>
  </w:style>
  <w:style w:type="paragraph" w:customStyle="1" w:styleId="59">
    <w:name w:val="表中"/>
    <w:basedOn w:val="1"/>
    <w:link w:val="83"/>
    <w:qFormat/>
    <w:uiPriority w:val="0"/>
    <w:pPr>
      <w:spacing w:line="300" w:lineRule="exact"/>
      <w:jc w:val="center"/>
    </w:pPr>
    <w:rPr>
      <w:szCs w:val="21"/>
    </w:rPr>
  </w:style>
  <w:style w:type="paragraph" w:customStyle="1" w:styleId="60">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61">
    <w:name w:val="List Paragraph"/>
    <w:basedOn w:val="1"/>
    <w:qFormat/>
    <w:uiPriority w:val="34"/>
    <w:pPr>
      <w:ind w:firstLine="420" w:firstLineChars="200"/>
    </w:pPr>
  </w:style>
  <w:style w:type="paragraph" w:customStyle="1" w:styleId="62">
    <w:name w:val="普通(网站)3"/>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正文文本缩进 22"/>
    <w:basedOn w:val="1"/>
    <w:qFormat/>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64">
    <w:name w:val="表文字"/>
    <w:basedOn w:val="1"/>
    <w:qFormat/>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character" w:customStyle="1" w:styleId="65">
    <w:name w:val="页码1"/>
    <w:basedOn w:val="19"/>
    <w:qFormat/>
    <w:uiPriority w:val="0"/>
    <w:rPr/>
  </w:style>
  <w:style w:type="character" w:customStyle="1" w:styleId="66">
    <w:name w:val="批注引用1"/>
    <w:qFormat/>
    <w:uiPriority w:val="0"/>
    <w:rPr>
      <w:sz w:val="21"/>
      <w:szCs w:val="21"/>
    </w:rPr>
  </w:style>
  <w:style w:type="character" w:customStyle="1" w:styleId="67">
    <w:name w:val="正文文本缩进 3 Char Char Char"/>
    <w:link w:val="31"/>
    <w:semiHidden/>
    <w:qFormat/>
    <w:uiPriority w:val="0"/>
    <w:rPr>
      <w:kern w:val="2"/>
      <w:sz w:val="16"/>
      <w:szCs w:val="16"/>
    </w:rPr>
  </w:style>
  <w:style w:type="character" w:customStyle="1" w:styleId="68">
    <w:name w:val="正文内容 Char Char"/>
    <w:link w:val="40"/>
    <w:semiHidden/>
    <w:qFormat/>
    <w:uiPriority w:val="0"/>
    <w:rPr>
      <w:kern w:val="2"/>
      <w:sz w:val="24"/>
      <w:szCs w:val="24"/>
      <w:lang w:val="en-US" w:eastAsia="zh-CN" w:bidi="ar-SA"/>
    </w:rPr>
  </w:style>
  <w:style w:type="character" w:customStyle="1" w:styleId="69">
    <w:name w:val="4 Char Char"/>
    <w:link w:val="53"/>
    <w:semiHidden/>
    <w:qFormat/>
    <w:uiPriority w:val="0"/>
    <w:rPr>
      <w:rFonts w:ascii="Arial" w:hAnsi="Arial" w:eastAsia="黑体"/>
      <w:b/>
      <w:kern w:val="2"/>
      <w:sz w:val="24"/>
      <w:szCs w:val="24"/>
      <w:lang w:val="en-US" w:eastAsia="zh-CN" w:bidi="ar-SA"/>
    </w:rPr>
  </w:style>
  <w:style w:type="character" w:customStyle="1" w:styleId="70">
    <w:name w:val="表格文字 Char Char"/>
    <w:link w:val="47"/>
    <w:semiHidden/>
    <w:qFormat/>
    <w:uiPriority w:val="0"/>
    <w:rPr>
      <w:rFonts w:ascii="Arial" w:hAnsi="Arial" w:eastAsia="宋体-方正超大字符集" w:cs="Arial"/>
      <w:sz w:val="21"/>
      <w:szCs w:val="24"/>
    </w:rPr>
  </w:style>
  <w:style w:type="character" w:customStyle="1" w:styleId="71">
    <w:name w:val="MSG_EN_FONT_STYLE_NAME_TEMPLATE_ROLE_NUMBER MSG_EN_FONT_STYLE_NAME_BY_ROLE_TEXT 2_"/>
    <w:link w:val="43"/>
    <w:semiHidden/>
    <w:qFormat/>
    <w:uiPriority w:val="0"/>
    <w:rPr>
      <w:rFonts w:ascii="PMingLiU" w:hAnsi="PMingLiU" w:eastAsia="PMingLiU"/>
      <w:spacing w:val="20"/>
      <w:sz w:val="26"/>
      <w:szCs w:val="26"/>
      <w:shd w:val="clear" w:color="auto" w:fill="FFFFFF"/>
      <w:lang w:bidi="ar-SA"/>
    </w:rPr>
  </w:style>
  <w:style w:type="character" w:customStyle="1" w:styleId="72">
    <w:name w:val="newsitemtext1"/>
    <w:qFormat/>
    <w:uiPriority w:val="0"/>
    <w:rPr>
      <w:color w:val="000000"/>
      <w:sz w:val="17"/>
      <w:szCs w:val="17"/>
    </w:rPr>
  </w:style>
  <w:style w:type="character" w:customStyle="1" w:styleId="73">
    <w:name w:val="表格内容5号 Char Char"/>
    <w:link w:val="44"/>
    <w:semiHidden/>
    <w:qFormat/>
    <w:uiPriority w:val="0"/>
    <w:rPr>
      <w:kern w:val="2"/>
      <w:sz w:val="21"/>
      <w:szCs w:val="24"/>
      <w:lang w:val="en-US" w:eastAsia="zh-CN" w:bidi="ar-SA"/>
    </w:rPr>
  </w:style>
  <w:style w:type="character" w:customStyle="1" w:styleId="74">
    <w:name w:val="正文缩进 Char Char Char"/>
    <w:link w:val="24"/>
    <w:qFormat/>
    <w:uiPriority w:val="0"/>
    <w:rPr>
      <w:kern w:val="2"/>
      <w:sz w:val="21"/>
      <w:szCs w:val="24"/>
    </w:rPr>
  </w:style>
  <w:style w:type="character" w:customStyle="1" w:styleId="75">
    <w:name w:val="批注文字 Char1"/>
    <w:link w:val="9"/>
    <w:semiHidden/>
    <w:qFormat/>
    <w:uiPriority w:val="0"/>
    <w:rPr>
      <w:kern w:val="2"/>
      <w:sz w:val="21"/>
    </w:rPr>
  </w:style>
  <w:style w:type="character" w:customStyle="1" w:styleId="76">
    <w:name w:val="正文文本 Char"/>
    <w:link w:val="3"/>
    <w:semiHidden/>
    <w:qFormat/>
    <w:uiPriority w:val="0"/>
    <w:rPr>
      <w:kern w:val="2"/>
      <w:sz w:val="21"/>
      <w:szCs w:val="24"/>
    </w:rPr>
  </w:style>
  <w:style w:type="character" w:customStyle="1" w:styleId="77">
    <w:name w:val="陈正文 Char Char"/>
    <w:link w:val="49"/>
    <w:semiHidden/>
    <w:qFormat/>
    <w:uiPriority w:val="0"/>
    <w:rPr>
      <w:rFonts w:ascii="Arial" w:hAnsi="Arial" w:eastAsia="宋体" w:cs="宋体"/>
      <w:color w:val="000000"/>
      <w:kern w:val="2"/>
      <w:sz w:val="21"/>
      <w:szCs w:val="21"/>
      <w:lang w:val="en-US" w:eastAsia="zh-CN" w:bidi="ar-SA"/>
    </w:rPr>
  </w:style>
  <w:style w:type="character" w:customStyle="1" w:styleId="78">
    <w:name w:val="正文文本缩进 Char Char Char"/>
    <w:link w:val="26"/>
    <w:semiHidden/>
    <w:qFormat/>
    <w:uiPriority w:val="0"/>
    <w:rPr>
      <w:kern w:val="2"/>
      <w:sz w:val="21"/>
      <w:szCs w:val="24"/>
    </w:rPr>
  </w:style>
  <w:style w:type="character" w:customStyle="1" w:styleId="79">
    <w:name w:val="正文文本缩进 2 Char Char Char"/>
    <w:link w:val="29"/>
    <w:semiHidden/>
    <w:qFormat/>
    <w:uiPriority w:val="0"/>
    <w:rPr>
      <w:kern w:val="2"/>
      <w:sz w:val="21"/>
      <w:szCs w:val="24"/>
    </w:rPr>
  </w:style>
  <w:style w:type="character" w:customStyle="1" w:styleId="80">
    <w:name w:val="彩霞-正文 Char Char"/>
    <w:link w:val="50"/>
    <w:semiHidden/>
    <w:qFormat/>
    <w:uiPriority w:val="0"/>
    <w:rPr>
      <w:rFonts w:cs="宋体"/>
      <w:sz w:val="24"/>
      <w:szCs w:val="28"/>
      <w:lang w:val="zh-CN"/>
    </w:rPr>
  </w:style>
  <w:style w:type="character" w:customStyle="1" w:styleId="81">
    <w:name w:val="页眉 Char"/>
    <w:link w:val="16"/>
    <w:semiHidden/>
    <w:qFormat/>
    <w:uiPriority w:val="0"/>
    <w:rPr>
      <w:kern w:val="2"/>
      <w:sz w:val="18"/>
      <w:szCs w:val="18"/>
    </w:rPr>
  </w:style>
  <w:style w:type="character" w:customStyle="1" w:styleId="82">
    <w:name w:val="正文1 Char Char"/>
    <w:link w:val="39"/>
    <w:semiHidden/>
    <w:qFormat/>
    <w:uiPriority w:val="0"/>
    <w:rPr>
      <w:b/>
      <w:color w:val="000000"/>
      <w:kern w:val="2"/>
      <w:sz w:val="24"/>
    </w:rPr>
  </w:style>
  <w:style w:type="character" w:customStyle="1" w:styleId="83">
    <w:name w:val="表中 Char Char"/>
    <w:link w:val="59"/>
    <w:semiHidden/>
    <w:qFormat/>
    <w:uiPriority w:val="0"/>
    <w:rPr>
      <w:rFonts w:ascii="Calibri" w:hAnsi="Calibri"/>
      <w:kern w:val="2"/>
      <w:sz w:val="21"/>
      <w:szCs w:val="21"/>
    </w:rPr>
  </w:style>
  <w:style w:type="character" w:customStyle="1" w:styleId="84">
    <w:name w:val="纯文本 Char Char Char"/>
    <w:link w:val="27"/>
    <w:semiHidden/>
    <w:qFormat/>
    <w:uiPriority w:val="0"/>
    <w:rPr>
      <w:rFonts w:ascii="宋体" w:hAnsi="Courier New" w:eastAsia="宋体"/>
      <w:kern w:val="2"/>
      <w:sz w:val="21"/>
      <w:lang w:val="en-US" w:eastAsia="zh-CN" w:bidi="ar-SA"/>
    </w:rPr>
  </w:style>
  <w:style w:type="character" w:customStyle="1" w:styleId="85">
    <w:name w:val="标题 2 Char"/>
    <w:link w:val="5"/>
    <w:semiHidden/>
    <w:qFormat/>
    <w:uiPriority w:val="0"/>
    <w:rPr>
      <w:rFonts w:ascii="Arial" w:eastAsia="黑体"/>
      <w:b/>
      <w:color w:val="000000"/>
      <w:sz w:val="31"/>
      <w:u w:val="none" w:color="000000"/>
      <w:lang w:val="en-US" w:eastAsia="zh-CN" w:bidi="ar-SA"/>
    </w:rPr>
  </w:style>
  <w:style w:type="character" w:customStyle="1" w:styleId="86">
    <w:name w:val="MSG_EN_FONT_STYLE_NAME_TEMPLATE_ROLE_NUMBER MSG_EN_FONT_STYLE_NAME_BY_ROLE_TEXT 2 + MSG_EN_FONT_STYLE_MODIFER_NAME Courier New"/>
    <w:qFormat/>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character" w:customStyle="1" w:styleId="87">
    <w:name w:val="正文文本 2 字符"/>
    <w:semiHidden/>
    <w:qFormat/>
    <w:uiPriority w:val="99"/>
    <w:rPr>
      <w:kern w:val="2"/>
      <w:sz w:val="21"/>
      <w:szCs w:val="24"/>
    </w:rPr>
  </w:style>
  <w:style w:type="character" w:customStyle="1" w:styleId="88">
    <w:name w:val="正文文本 2 Char"/>
    <w:link w:val="18"/>
    <w:semiHidden/>
    <w:qFormat/>
    <w:uiPriority w:val="99"/>
    <w:rPr>
      <w:rFonts w:cs="Times New Roman"/>
      <w:kern w:val="2"/>
      <w:sz w:val="21"/>
      <w:szCs w:val="22"/>
    </w:rPr>
  </w:style>
  <w:style w:type="character" w:customStyle="1" w:styleId="89">
    <w:name w:val="批注文字 Char"/>
    <w:semiHidden/>
    <w:qFormat/>
    <w:uiPriority w:val="99"/>
    <w:rPr>
      <w:kern w:val="2"/>
      <w:sz w:val="21"/>
      <w:szCs w:val="22"/>
    </w:rPr>
  </w:style>
  <w:style w:type="character" w:customStyle="1" w:styleId="90">
    <w:name w:val="日期 Char"/>
    <w:link w:val="13"/>
    <w:semiHidden/>
    <w:qFormat/>
    <w:uiPriority w:val="99"/>
    <w:rPr>
      <w:kern w:val="2"/>
      <w:sz w:val="21"/>
      <w:szCs w:val="24"/>
    </w:rPr>
  </w:style>
  <w:style w:type="character" w:customStyle="1" w:styleId="91">
    <w:name w:val="批注主题 Char"/>
    <w:basedOn w:val="75"/>
    <w:link w:val="8"/>
    <w:semiHidden/>
    <w:qFormat/>
    <w:uiPriority w:val="99"/>
    <w:rPr>
      <w:b/>
      <w:bCs/>
      <w:kern w:val="2"/>
      <w:sz w:val="21"/>
      <w:szCs w:val="24"/>
    </w:rPr>
  </w:style>
  <w:style w:type="character" w:customStyle="1" w:styleId="92">
    <w:name w:val="文档结构图 Char"/>
    <w:basedOn w:val="19"/>
    <w:link w:val="11"/>
    <w:semiHidden/>
    <w:qFormat/>
    <w:uiPriority w:val="99"/>
    <w:rPr>
      <w:rFonts w:ascii="宋体"/>
      <w:kern w:val="2"/>
      <w:sz w:val="18"/>
      <w:szCs w:val="18"/>
    </w:rPr>
  </w:style>
  <w:style w:type="character" w:customStyle="1" w:styleId="93">
    <w:name w:val="标题 1 Char"/>
    <w:basedOn w:val="19"/>
    <w:link w:val="4"/>
    <w:qFormat/>
    <w:uiPriority w:val="9"/>
    <w:rPr>
      <w:b/>
      <w:bCs/>
      <w:kern w:val="44"/>
      <w:sz w:val="44"/>
      <w:szCs w:val="44"/>
    </w:rPr>
  </w:style>
  <w:style w:type="character" w:customStyle="1" w:styleId="94">
    <w:name w:val="正文缩进 Char"/>
    <w:link w:val="10"/>
    <w:qFormat/>
    <w:locked/>
    <w:uiPriority w:val="0"/>
    <w:rPr>
      <w:rFonts w:ascii="Times New Roman" w:hAnsi="Times New Roman" w:cs="Times New Roman"/>
      <w:kern w:val="2"/>
      <w:sz w:val="21"/>
      <w:szCs w:val="24"/>
    </w:rPr>
  </w:style>
  <w:style w:type="character" w:customStyle="1" w:styleId="95">
    <w:name w:val="fontstyle01"/>
    <w:qFormat/>
    <w:uiPriority w:val="0"/>
    <w:rPr>
      <w:rFonts w:ascii="宋体" w:hAnsi="宋体" w:eastAsia="宋体" w:cs="宋体"/>
      <w:color w:val="000000"/>
      <w:sz w:val="24"/>
      <w:szCs w:val="24"/>
    </w:rPr>
  </w:style>
  <w:style w:type="character" w:customStyle="1" w:styleId="96">
    <w:name w:val="纯文本 Char"/>
    <w:basedOn w:val="19"/>
    <w:link w:val="12"/>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10</Pages>
  <Words>1296</Words>
  <Characters>7390</Characters>
  <Lines>61</Lines>
  <Paragraphs>17</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TG</cp:lastModifiedBy>
  <cp:lastPrinted>2018-07-13T17:29:00Z</cp:lastPrinted>
  <dcterms:modified xsi:type="dcterms:W3CDTF">2021-07-01T01:37:28Z</dcterms:modified>
  <dc:title>ygd</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