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adjustRightInd w:val="0"/>
        <w:snapToGrid w:val="0"/>
        <w:spacing w:line="460" w:lineRule="exact"/>
        <w:jc w:val="center"/>
        <w:rPr>
          <w:rFonts w:ascii="宋体" w:hAnsi="宋体" w:eastAsia="宋体" w:cs="Times New Roman"/>
          <w:b/>
          <w:kern w:val="0"/>
          <w:sz w:val="32"/>
          <w:szCs w:val="32"/>
        </w:rPr>
      </w:pPr>
      <w:r>
        <w:rPr>
          <w:rFonts w:ascii="宋体" w:hAnsi="宋体" w:eastAsia="宋体" w:cs="Times New Roman"/>
          <w:b/>
          <w:kern w:val="0"/>
          <w:sz w:val="32"/>
          <w:szCs w:val="32"/>
        </w:rPr>
        <w:t>山西太钢不锈钢股份有限公司</w:t>
      </w:r>
      <w:r>
        <w:rPr>
          <w:rFonts w:hint="eastAsia" w:ascii="宋体" w:hAnsi="宋体" w:eastAsia="宋体" w:cs="Times New Roman"/>
          <w:b/>
          <w:kern w:val="0"/>
          <w:sz w:val="32"/>
          <w:szCs w:val="32"/>
        </w:rPr>
        <w:t>焦化厂全火车运煤系统</w:t>
      </w:r>
    </w:p>
    <w:p>
      <w:pPr>
        <w:adjustRightInd w:val="0"/>
        <w:snapToGrid w:val="0"/>
        <w:spacing w:line="460" w:lineRule="exact"/>
        <w:jc w:val="center"/>
        <w:rPr>
          <w:rFonts w:ascii="宋体" w:hAnsi="宋体" w:eastAsia="宋体" w:cs="Times New Roman"/>
          <w:b/>
          <w:kern w:val="0"/>
          <w:sz w:val="32"/>
          <w:szCs w:val="32"/>
        </w:rPr>
      </w:pPr>
      <w:r>
        <w:rPr>
          <w:rFonts w:hint="eastAsia" w:ascii="宋体" w:hAnsi="宋体" w:eastAsia="宋体" w:cs="Times New Roman"/>
          <w:b/>
          <w:kern w:val="0"/>
          <w:sz w:val="32"/>
          <w:szCs w:val="32"/>
        </w:rPr>
        <w:t>改造项目</w:t>
      </w:r>
      <w:r>
        <w:rPr>
          <w:rFonts w:ascii="宋体" w:hAnsi="宋体" w:eastAsia="宋体" w:cs="Times New Roman"/>
          <w:b/>
          <w:kern w:val="0"/>
          <w:sz w:val="32"/>
          <w:szCs w:val="32"/>
        </w:rPr>
        <w:t>竣工环境保护验收意见</w:t>
      </w:r>
    </w:p>
    <w:p>
      <w:pPr>
        <w:widowControl/>
        <w:adjustRightInd w:val="0"/>
        <w:snapToGrid w:val="0"/>
        <w:spacing w:line="240" w:lineRule="atLeast"/>
        <w:ind w:firstLine="200" w:firstLineChars="200"/>
        <w:rPr>
          <w:rFonts w:ascii="宋体" w:hAnsi="宋体" w:eastAsia="宋体" w:cs="Times New Roman"/>
          <w:kern w:val="0"/>
          <w:sz w:val="10"/>
          <w:szCs w:val="10"/>
        </w:rPr>
      </w:pPr>
    </w:p>
    <w:p>
      <w:pPr>
        <w:widowControl/>
        <w:adjustRightInd w:val="0"/>
        <w:snapToGrid w:val="0"/>
        <w:spacing w:line="440" w:lineRule="exact"/>
        <w:ind w:firstLine="560" w:firstLineChars="200"/>
        <w:rPr>
          <w:rFonts w:ascii="宋体" w:hAnsi="宋体" w:eastAsia="宋体" w:cs="Times New Roman"/>
          <w:kern w:val="0"/>
          <w:sz w:val="28"/>
          <w:szCs w:val="28"/>
        </w:rPr>
      </w:pPr>
      <w:r>
        <w:rPr>
          <w:rFonts w:ascii="宋体" w:hAnsi="宋体" w:eastAsia="宋体" w:cs="Times New Roman"/>
          <w:kern w:val="0"/>
          <w:sz w:val="28"/>
          <w:szCs w:val="28"/>
        </w:rPr>
        <w:t>202</w:t>
      </w:r>
      <w:r>
        <w:rPr>
          <w:rFonts w:hint="eastAsia" w:ascii="宋体" w:hAnsi="宋体" w:eastAsia="宋体" w:cs="Times New Roman"/>
          <w:kern w:val="0"/>
          <w:sz w:val="28"/>
          <w:szCs w:val="28"/>
        </w:rPr>
        <w:t>1</w:t>
      </w:r>
      <w:r>
        <w:rPr>
          <w:rFonts w:ascii="宋体" w:hAnsi="宋体" w:eastAsia="宋体" w:cs="Times New Roman"/>
          <w:kern w:val="0"/>
          <w:sz w:val="28"/>
          <w:szCs w:val="28"/>
        </w:rPr>
        <w:t>年</w:t>
      </w:r>
      <w:r>
        <w:rPr>
          <w:rFonts w:hint="eastAsia" w:ascii="宋体" w:hAnsi="宋体" w:eastAsia="宋体" w:cs="Times New Roman"/>
          <w:kern w:val="0"/>
          <w:sz w:val="28"/>
          <w:szCs w:val="28"/>
        </w:rPr>
        <w:t>5</w:t>
      </w:r>
      <w:r>
        <w:rPr>
          <w:rFonts w:ascii="宋体" w:hAnsi="宋体" w:eastAsia="宋体" w:cs="Times New Roman"/>
          <w:kern w:val="0"/>
          <w:sz w:val="28"/>
          <w:szCs w:val="28"/>
        </w:rPr>
        <w:t>月2</w:t>
      </w:r>
      <w:r>
        <w:rPr>
          <w:rFonts w:hint="eastAsia" w:ascii="宋体" w:hAnsi="宋体" w:eastAsia="宋体" w:cs="Times New Roman"/>
          <w:kern w:val="0"/>
          <w:sz w:val="28"/>
          <w:szCs w:val="28"/>
        </w:rPr>
        <w:t>4</w:t>
      </w:r>
      <w:r>
        <w:rPr>
          <w:rFonts w:ascii="宋体" w:hAnsi="宋体" w:eastAsia="宋体" w:cs="Times New Roman"/>
          <w:kern w:val="0"/>
          <w:sz w:val="28"/>
          <w:szCs w:val="28"/>
        </w:rPr>
        <w:t>日山西太钢不锈钢股份有限公司</w:t>
      </w:r>
      <w:r>
        <w:rPr>
          <w:rFonts w:hint="eastAsia" w:ascii="宋体" w:hAnsi="宋体" w:eastAsia="宋体" w:cs="Times New Roman"/>
          <w:kern w:val="0"/>
          <w:sz w:val="28"/>
          <w:szCs w:val="28"/>
        </w:rPr>
        <w:t>能源环保部在太原市组织召开了“</w:t>
      </w:r>
      <w:r>
        <w:rPr>
          <w:rFonts w:ascii="宋体" w:hAnsi="宋体" w:eastAsia="宋体" w:cs="Times New Roman"/>
          <w:kern w:val="0"/>
          <w:sz w:val="28"/>
          <w:szCs w:val="28"/>
        </w:rPr>
        <w:t>山西太钢不锈钢股份有限公司</w:t>
      </w:r>
      <w:r>
        <w:rPr>
          <w:rFonts w:hint="eastAsia" w:ascii="宋体" w:hAnsi="宋体" w:eastAsia="宋体" w:cs="Times New Roman"/>
          <w:kern w:val="0"/>
          <w:sz w:val="28"/>
          <w:szCs w:val="28"/>
        </w:rPr>
        <w:t>焦化厂全火车运煤系统改造项目”竣工环境保护验收会，</w:t>
      </w:r>
      <w:r>
        <w:rPr>
          <w:rFonts w:ascii="宋体" w:hAnsi="宋体" w:eastAsia="宋体" w:cs="Times New Roman"/>
          <w:kern w:val="0"/>
          <w:sz w:val="28"/>
          <w:szCs w:val="28"/>
        </w:rPr>
        <w:t>参加会议的有山西太钢不锈钢股份有限公司</w:t>
      </w:r>
      <w:r>
        <w:rPr>
          <w:rFonts w:hint="eastAsia" w:ascii="宋体" w:hAnsi="宋体" w:eastAsia="宋体" w:cs="Times New Roman"/>
          <w:kern w:val="0"/>
          <w:sz w:val="28"/>
          <w:szCs w:val="28"/>
        </w:rPr>
        <w:t>焦化厂、</w:t>
      </w:r>
      <w:r>
        <w:rPr>
          <w:rFonts w:ascii="宋体" w:hAnsi="宋体" w:eastAsia="宋体" w:cs="Times New Roman"/>
          <w:kern w:val="0"/>
          <w:sz w:val="28"/>
          <w:szCs w:val="28"/>
        </w:rPr>
        <w:t>验收</w:t>
      </w:r>
      <w:r>
        <w:rPr>
          <w:rFonts w:hint="eastAsia" w:ascii="宋体" w:hAnsi="宋体" w:eastAsia="宋体" w:cs="Times New Roman"/>
          <w:kern w:val="0"/>
          <w:sz w:val="28"/>
          <w:szCs w:val="28"/>
        </w:rPr>
        <w:t>报告编制和环保设施设计单位</w:t>
      </w:r>
      <w:r>
        <w:rPr>
          <w:rFonts w:ascii="宋体" w:hAnsi="宋体" w:eastAsia="宋体" w:cs="Times New Roman"/>
          <w:kern w:val="0"/>
          <w:sz w:val="28"/>
          <w:szCs w:val="28"/>
        </w:rPr>
        <w:t>山西太钢工程技术有限公司</w:t>
      </w:r>
      <w:r>
        <w:rPr>
          <w:rFonts w:hint="eastAsia" w:ascii="宋体" w:hAnsi="宋体" w:eastAsia="宋体" w:cs="Times New Roman"/>
          <w:kern w:val="0"/>
          <w:sz w:val="28"/>
          <w:szCs w:val="28"/>
        </w:rPr>
        <w:t>、验收</w:t>
      </w:r>
      <w:r>
        <w:rPr>
          <w:rFonts w:ascii="宋体" w:hAnsi="宋体" w:eastAsia="宋体" w:cs="Times New Roman"/>
          <w:kern w:val="0"/>
          <w:sz w:val="28"/>
          <w:szCs w:val="28"/>
        </w:rPr>
        <w:t>监测单位</w:t>
      </w:r>
      <w:r>
        <w:rPr>
          <w:rFonts w:hint="eastAsia" w:ascii="宋体" w:hAnsi="宋体" w:eastAsia="宋体" w:cs="Times New Roman"/>
          <w:kern w:val="0"/>
          <w:sz w:val="28"/>
          <w:szCs w:val="28"/>
        </w:rPr>
        <w:t>山西太钢环境监测有限公司、环保设施施工单位山西钢铁建设（集团）有限公司、监理单位山西震益工程监理有限公司、环评单位山西清源环境咨询有限公司以</w:t>
      </w:r>
      <w:r>
        <w:rPr>
          <w:rFonts w:ascii="宋体" w:hAnsi="宋体" w:eastAsia="宋体" w:cs="Times New Roman"/>
          <w:kern w:val="0"/>
          <w:sz w:val="28"/>
          <w:szCs w:val="28"/>
        </w:rPr>
        <w:t>及应邀参会的环保</w:t>
      </w:r>
      <w:r>
        <w:rPr>
          <w:rFonts w:hint="eastAsia" w:ascii="宋体" w:hAnsi="宋体" w:eastAsia="宋体" w:cs="Times New Roman"/>
          <w:kern w:val="0"/>
          <w:sz w:val="28"/>
          <w:szCs w:val="28"/>
        </w:rPr>
        <w:t>技术</w:t>
      </w:r>
      <w:r>
        <w:rPr>
          <w:rFonts w:ascii="宋体" w:hAnsi="宋体" w:eastAsia="宋体" w:cs="Times New Roman"/>
          <w:kern w:val="0"/>
          <w:sz w:val="28"/>
          <w:szCs w:val="28"/>
        </w:rPr>
        <w:t>专家</w:t>
      </w:r>
      <w:r>
        <w:rPr>
          <w:rFonts w:hint="eastAsia" w:ascii="宋体" w:hAnsi="宋体" w:eastAsia="宋体" w:cs="Times New Roman"/>
          <w:kern w:val="0"/>
          <w:sz w:val="28"/>
          <w:szCs w:val="28"/>
        </w:rPr>
        <w:t>(名单附后)</w:t>
      </w:r>
      <w:r>
        <w:rPr>
          <w:rFonts w:ascii="宋体" w:hAnsi="宋体" w:eastAsia="宋体" w:cs="Times New Roman"/>
          <w:kern w:val="0"/>
          <w:sz w:val="28"/>
          <w:szCs w:val="28"/>
        </w:rPr>
        <w:t>。</w:t>
      </w:r>
    </w:p>
    <w:p>
      <w:pPr>
        <w:widowControl/>
        <w:adjustRightInd w:val="0"/>
        <w:snapToGrid w:val="0"/>
        <w:spacing w:line="440" w:lineRule="exact"/>
        <w:ind w:firstLine="560" w:firstLineChars="200"/>
        <w:rPr>
          <w:rFonts w:ascii="宋体" w:hAnsi="宋体" w:eastAsia="宋体" w:cs="Times New Roman"/>
          <w:kern w:val="0"/>
          <w:sz w:val="28"/>
          <w:szCs w:val="28"/>
        </w:rPr>
      </w:pPr>
      <w:r>
        <w:rPr>
          <w:rFonts w:hint="eastAsia" w:ascii="宋体" w:hAnsi="宋体" w:eastAsia="宋体" w:cs="Times New Roman"/>
          <w:kern w:val="0"/>
          <w:sz w:val="28"/>
          <w:szCs w:val="28"/>
        </w:rPr>
        <w:t>山西太钢不锈钢股份有限公司焦化厂</w:t>
      </w:r>
      <w:r>
        <w:rPr>
          <w:rFonts w:ascii="宋体" w:hAnsi="宋体" w:eastAsia="宋体" w:cs="Times New Roman"/>
          <w:kern w:val="0"/>
          <w:sz w:val="28"/>
          <w:szCs w:val="28"/>
        </w:rPr>
        <w:t>根据“山西太钢不锈钢股份有限公司</w:t>
      </w:r>
      <w:r>
        <w:rPr>
          <w:rFonts w:hint="eastAsia" w:ascii="宋体" w:hAnsi="宋体" w:eastAsia="宋体" w:cs="Times New Roman"/>
          <w:kern w:val="0"/>
          <w:sz w:val="28"/>
          <w:szCs w:val="28"/>
        </w:rPr>
        <w:t>焦化厂全火车运煤系统改造项目</w:t>
      </w:r>
      <w:r>
        <w:rPr>
          <w:rFonts w:ascii="宋体" w:hAnsi="宋体" w:eastAsia="宋体" w:cs="Times New Roman"/>
          <w:kern w:val="0"/>
          <w:sz w:val="28"/>
          <w:szCs w:val="28"/>
        </w:rPr>
        <w:t>竣工环境保护验收监测报告</w:t>
      </w:r>
      <w:r>
        <w:rPr>
          <w:rFonts w:hint="eastAsia" w:ascii="宋体" w:hAnsi="宋体" w:eastAsia="宋体" w:cs="Times New Roman"/>
          <w:kern w:val="0"/>
          <w:sz w:val="28"/>
          <w:szCs w:val="28"/>
        </w:rPr>
        <w:t>表</w:t>
      </w:r>
      <w:r>
        <w:rPr>
          <w:rFonts w:ascii="宋体" w:hAnsi="宋体" w:eastAsia="宋体" w:cs="Times New Roman"/>
          <w:kern w:val="0"/>
          <w:sz w:val="28"/>
          <w:szCs w:val="28"/>
        </w:rPr>
        <w:t>”并对照《建设项目竣工环境保护验收暂行办法》，严格依照国家有关法律法规、《建设项目竣工环境保护验收技术指南 污染影响类》、《山西太钢不锈钢股份有限公司</w:t>
      </w:r>
      <w:r>
        <w:rPr>
          <w:rFonts w:hint="eastAsia" w:ascii="宋体" w:hAnsi="宋体" w:eastAsia="宋体" w:cs="Times New Roman"/>
          <w:kern w:val="0"/>
          <w:sz w:val="28"/>
          <w:szCs w:val="28"/>
        </w:rPr>
        <w:t>焦化厂全火车运煤系统改造项目</w:t>
      </w:r>
      <w:r>
        <w:rPr>
          <w:rFonts w:ascii="宋体" w:hAnsi="宋体" w:eastAsia="宋体" w:cs="Times New Roman"/>
          <w:kern w:val="0"/>
          <w:sz w:val="28"/>
          <w:szCs w:val="28"/>
        </w:rPr>
        <w:t>环境影响评价报告表》和太原市环境保护局尖草坪分局</w:t>
      </w:r>
      <w:r>
        <w:rPr>
          <w:rFonts w:hint="eastAsia" w:ascii="宋体" w:hAnsi="宋体" w:eastAsia="宋体"/>
          <w:sz w:val="28"/>
          <w:szCs w:val="28"/>
        </w:rPr>
        <w:t>并环尖审批</w:t>
      </w:r>
      <w:r>
        <w:rPr>
          <w:rFonts w:ascii="宋体" w:hAnsi="宋体" w:eastAsia="宋体"/>
          <w:sz w:val="28"/>
          <w:szCs w:val="28"/>
        </w:rPr>
        <w:t>(2018</w:t>
      </w:r>
      <w:r>
        <w:rPr>
          <w:rFonts w:hint="eastAsia" w:ascii="宋体" w:hAnsi="宋体" w:eastAsia="宋体"/>
          <w:sz w:val="28"/>
          <w:szCs w:val="28"/>
        </w:rPr>
        <w:t>〕第</w:t>
      </w:r>
      <w:r>
        <w:rPr>
          <w:rFonts w:ascii="宋体" w:hAnsi="宋体" w:eastAsia="宋体"/>
          <w:sz w:val="28"/>
          <w:szCs w:val="28"/>
        </w:rPr>
        <w:t>12</w:t>
      </w:r>
      <w:r>
        <w:rPr>
          <w:rFonts w:hint="eastAsia" w:ascii="宋体" w:hAnsi="宋体" w:eastAsia="宋体"/>
          <w:sz w:val="28"/>
          <w:szCs w:val="28"/>
        </w:rPr>
        <w:t>号</w:t>
      </w:r>
      <w:r>
        <w:rPr>
          <w:rFonts w:hint="eastAsia" w:ascii="宋体" w:hAnsi="宋体" w:eastAsia="宋体" w:cs="Times New Roman"/>
          <w:kern w:val="0"/>
          <w:sz w:val="28"/>
          <w:szCs w:val="28"/>
        </w:rPr>
        <w:t>文</w:t>
      </w:r>
      <w:r>
        <w:rPr>
          <w:rFonts w:ascii="宋体" w:hAnsi="宋体" w:eastAsia="宋体" w:cs="Times New Roman"/>
          <w:kern w:val="0"/>
          <w:sz w:val="28"/>
          <w:szCs w:val="28"/>
        </w:rPr>
        <w:t>“关于山西太钢不锈钢股份有限公司</w:t>
      </w:r>
      <w:r>
        <w:rPr>
          <w:rFonts w:hint="eastAsia" w:ascii="宋体" w:hAnsi="宋体" w:eastAsia="宋体" w:cs="Times New Roman"/>
          <w:kern w:val="0"/>
          <w:sz w:val="28"/>
          <w:szCs w:val="28"/>
        </w:rPr>
        <w:t>焦化厂全火车运煤系统改造项目</w:t>
      </w:r>
      <w:r>
        <w:rPr>
          <w:rFonts w:ascii="宋体" w:hAnsi="宋体" w:eastAsia="宋体" w:cs="Times New Roman"/>
          <w:kern w:val="0"/>
          <w:sz w:val="28"/>
          <w:szCs w:val="28"/>
        </w:rPr>
        <w:t>环境影响报告表的批复”等要求对本项目进行验收。</w:t>
      </w:r>
    </w:p>
    <w:p>
      <w:pPr>
        <w:widowControl/>
        <w:adjustRightInd w:val="0"/>
        <w:snapToGrid w:val="0"/>
        <w:spacing w:line="440" w:lineRule="exact"/>
        <w:ind w:firstLine="560" w:firstLineChars="200"/>
        <w:rPr>
          <w:rFonts w:ascii="宋体" w:hAnsi="宋体" w:eastAsia="宋体" w:cs="Times New Roman"/>
          <w:kern w:val="0"/>
          <w:sz w:val="28"/>
          <w:szCs w:val="28"/>
        </w:rPr>
      </w:pPr>
      <w:r>
        <w:rPr>
          <w:rFonts w:ascii="宋体" w:hAnsi="宋体" w:eastAsia="宋体"/>
          <w:sz w:val="28"/>
          <w:szCs w:val="28"/>
        </w:rPr>
        <w:t>与会人员认真审阅了“</w:t>
      </w:r>
      <w:r>
        <w:rPr>
          <w:rFonts w:ascii="宋体" w:hAnsi="宋体" w:eastAsia="宋体" w:cs="Times New Roman"/>
          <w:kern w:val="0"/>
          <w:sz w:val="28"/>
          <w:szCs w:val="28"/>
        </w:rPr>
        <w:t>山西太钢不锈钢股份有限公司</w:t>
      </w:r>
      <w:r>
        <w:rPr>
          <w:rFonts w:hint="eastAsia" w:ascii="宋体" w:hAnsi="宋体" w:eastAsia="宋体" w:cs="Times New Roman"/>
          <w:kern w:val="0"/>
          <w:sz w:val="28"/>
          <w:szCs w:val="28"/>
        </w:rPr>
        <w:t>焦化厂全火车运煤系统改造项目</w:t>
      </w:r>
      <w:r>
        <w:rPr>
          <w:rFonts w:ascii="宋体" w:hAnsi="宋体" w:eastAsia="宋体"/>
          <w:sz w:val="28"/>
          <w:szCs w:val="28"/>
        </w:rPr>
        <w:t>竣工环境保护验收监测报告</w:t>
      </w:r>
      <w:r>
        <w:rPr>
          <w:rFonts w:hint="eastAsia" w:ascii="宋体" w:hAnsi="宋体" w:eastAsia="宋体"/>
          <w:sz w:val="28"/>
          <w:szCs w:val="28"/>
        </w:rPr>
        <w:t>表</w:t>
      </w:r>
      <w:r>
        <w:rPr>
          <w:rFonts w:ascii="宋体" w:hAnsi="宋体" w:eastAsia="宋体"/>
          <w:sz w:val="28"/>
          <w:szCs w:val="28"/>
        </w:rPr>
        <w:t>”汇报材料，听取了建设单位、编制单位关于</w:t>
      </w:r>
      <w:r>
        <w:rPr>
          <w:rFonts w:hint="eastAsia" w:ascii="宋体" w:hAnsi="宋体" w:eastAsia="宋体"/>
          <w:bCs/>
          <w:sz w:val="28"/>
          <w:szCs w:val="28"/>
        </w:rPr>
        <w:t>焦炉烟道气脱硫脱硝项目</w:t>
      </w:r>
      <w:r>
        <w:rPr>
          <w:rFonts w:ascii="宋体" w:hAnsi="宋体" w:eastAsia="宋体"/>
          <w:sz w:val="28"/>
          <w:szCs w:val="28"/>
        </w:rPr>
        <w:t>建设情况的汇报，现场检查了工程污染防治设施的建设、运行以及规章制度建立情况。经过认真讨论，形成环保验收意见如下：</w:t>
      </w:r>
      <w:r>
        <w:rPr>
          <w:rFonts w:ascii="宋体" w:hAnsi="宋体" w:eastAsia="宋体" w:cs="Times New Roman"/>
          <w:kern w:val="0"/>
          <w:sz w:val="28"/>
          <w:szCs w:val="28"/>
        </w:rPr>
        <w:t xml:space="preserve"> </w:t>
      </w:r>
    </w:p>
    <w:p>
      <w:pPr>
        <w:pStyle w:val="60"/>
        <w:adjustRightInd w:val="0"/>
        <w:snapToGrid w:val="0"/>
        <w:spacing w:before="0" w:beforeAutospacing="0" w:after="0" w:afterAutospacing="0" w:line="440" w:lineRule="exact"/>
        <w:ind w:firstLine="562" w:firstLineChars="200"/>
        <w:jc w:val="both"/>
        <w:outlineLvl w:val="0"/>
        <w:rPr>
          <w:rFonts w:ascii="宋体" w:hAnsi="宋体" w:eastAsia="宋体" w:cs="Times New Roman"/>
          <w:b/>
          <w:bCs/>
          <w:kern w:val="2"/>
          <w:sz w:val="28"/>
          <w:szCs w:val="28"/>
        </w:rPr>
      </w:pPr>
      <w:r>
        <w:rPr>
          <w:rFonts w:ascii="宋体" w:hAnsi="宋体" w:eastAsia="宋体" w:cs="Times New Roman"/>
          <w:b/>
          <w:bCs/>
          <w:kern w:val="2"/>
          <w:sz w:val="28"/>
          <w:szCs w:val="28"/>
        </w:rPr>
        <w:t>一、工程建设基本情况</w:t>
      </w:r>
    </w:p>
    <w:p>
      <w:pPr>
        <w:pStyle w:val="60"/>
        <w:adjustRightInd w:val="0"/>
        <w:snapToGrid w:val="0"/>
        <w:spacing w:before="0" w:beforeAutospacing="0" w:after="0" w:afterAutospacing="0" w:line="44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（一）建设地点、规模、主要建设内容</w:t>
      </w:r>
    </w:p>
    <w:p>
      <w:pPr>
        <w:widowControl/>
        <w:adjustRightInd w:val="0"/>
        <w:snapToGrid w:val="0"/>
        <w:spacing w:line="440" w:lineRule="exact"/>
        <w:ind w:firstLine="560" w:firstLineChars="200"/>
        <w:rPr>
          <w:rFonts w:ascii="宋体" w:hAnsi="宋体" w:eastAsia="宋体" w:cs="Times New Roman"/>
          <w:kern w:val="0"/>
          <w:sz w:val="28"/>
          <w:szCs w:val="28"/>
        </w:rPr>
      </w:pPr>
      <w:r>
        <w:rPr>
          <w:rFonts w:ascii="宋体" w:hAnsi="宋体" w:eastAsia="宋体" w:cs="Times New Roman"/>
          <w:kern w:val="0"/>
          <w:sz w:val="28"/>
          <w:szCs w:val="28"/>
        </w:rPr>
        <w:t>建设地点：</w:t>
      </w:r>
      <w:r>
        <w:rPr>
          <w:rFonts w:hint="eastAsia" w:ascii="宋体" w:hAnsi="宋体" w:eastAsia="宋体" w:cs="Times New Roman"/>
          <w:kern w:val="0"/>
          <w:sz w:val="28"/>
          <w:szCs w:val="28"/>
        </w:rPr>
        <w:t>山西太钢不锈钢股份有限公司焦化厂</w:t>
      </w:r>
      <w:r>
        <w:rPr>
          <w:rFonts w:ascii="宋体" w:hAnsi="宋体" w:eastAsia="宋体" w:cs="Times New Roman"/>
          <w:kern w:val="0"/>
          <w:sz w:val="28"/>
          <w:szCs w:val="28"/>
        </w:rPr>
        <w:t>。</w:t>
      </w:r>
    </w:p>
    <w:p>
      <w:pPr>
        <w:widowControl/>
        <w:adjustRightInd w:val="0"/>
        <w:snapToGrid w:val="0"/>
        <w:spacing w:line="440" w:lineRule="exact"/>
        <w:ind w:firstLine="560" w:firstLineChars="200"/>
        <w:rPr>
          <w:rFonts w:ascii="宋体" w:hAnsi="宋体" w:eastAsia="宋体" w:cs="Times New Roman"/>
          <w:kern w:val="0"/>
          <w:sz w:val="28"/>
          <w:szCs w:val="28"/>
        </w:rPr>
      </w:pPr>
      <w:r>
        <w:rPr>
          <w:rFonts w:ascii="宋体" w:hAnsi="宋体" w:eastAsia="宋体" w:cs="Times New Roman"/>
          <w:kern w:val="0"/>
          <w:sz w:val="28"/>
          <w:szCs w:val="28"/>
        </w:rPr>
        <w:t>建设性质：技术改造</w:t>
      </w:r>
    </w:p>
    <w:p>
      <w:pPr>
        <w:widowControl/>
        <w:adjustRightInd w:val="0"/>
        <w:snapToGrid w:val="0"/>
        <w:spacing w:line="440" w:lineRule="exact"/>
        <w:ind w:firstLine="560" w:firstLineChars="200"/>
        <w:rPr>
          <w:rFonts w:ascii="宋体" w:hAnsi="宋体" w:eastAsia="宋体" w:cs="Times New Roman"/>
          <w:kern w:val="0"/>
          <w:sz w:val="28"/>
          <w:szCs w:val="28"/>
        </w:rPr>
      </w:pPr>
      <w:r>
        <w:rPr>
          <w:rFonts w:ascii="宋体" w:hAnsi="宋体" w:eastAsia="宋体" w:cs="Times New Roman"/>
          <w:kern w:val="0"/>
          <w:sz w:val="28"/>
          <w:szCs w:val="28"/>
        </w:rPr>
        <w:t>建设规模：</w:t>
      </w:r>
      <w:r>
        <w:rPr>
          <w:rFonts w:hint="eastAsia" w:ascii="宋体" w:hAnsi="宋体" w:eastAsia="宋体" w:cs="Times New Roman"/>
          <w:kern w:val="0"/>
          <w:sz w:val="28"/>
          <w:szCs w:val="28"/>
        </w:rPr>
        <w:t>改造完成后，新增铁路线精煤运输量</w:t>
      </w:r>
      <w:r>
        <w:rPr>
          <w:rFonts w:ascii="宋体" w:hAnsi="宋体" w:eastAsia="宋体" w:cs="Times New Roman"/>
          <w:kern w:val="0"/>
          <w:sz w:val="28"/>
          <w:szCs w:val="28"/>
        </w:rPr>
        <w:t>7260t/d</w:t>
      </w:r>
      <w:r>
        <w:rPr>
          <w:rFonts w:hint="eastAsia" w:ascii="宋体" w:hAnsi="宋体" w:eastAsia="宋体" w:cs="Times New Roman"/>
          <w:kern w:val="0"/>
          <w:sz w:val="28"/>
          <w:szCs w:val="28"/>
        </w:rPr>
        <w:t>，新增和现有铁路线精煤总运输量</w:t>
      </w:r>
      <w:r>
        <w:rPr>
          <w:rFonts w:ascii="宋体" w:hAnsi="宋体" w:eastAsia="宋体" w:cs="Times New Roman"/>
          <w:kern w:val="0"/>
          <w:sz w:val="28"/>
          <w:szCs w:val="28"/>
        </w:rPr>
        <w:t>13200t/d</w:t>
      </w:r>
      <w:r>
        <w:rPr>
          <w:rFonts w:hint="eastAsia" w:ascii="宋体" w:hAnsi="宋体" w:eastAsia="宋体" w:cs="Times New Roman"/>
          <w:kern w:val="0"/>
          <w:sz w:val="28"/>
          <w:szCs w:val="28"/>
        </w:rPr>
        <w:t>。</w:t>
      </w:r>
    </w:p>
    <w:p>
      <w:pPr>
        <w:widowControl/>
        <w:adjustRightInd w:val="0"/>
        <w:snapToGrid w:val="0"/>
        <w:spacing w:line="440" w:lineRule="exact"/>
        <w:ind w:firstLine="560" w:firstLineChars="200"/>
        <w:rPr>
          <w:rFonts w:ascii="宋体" w:hAnsi="宋体" w:eastAsia="宋体" w:cs="Times New Roman"/>
          <w:kern w:val="0"/>
          <w:sz w:val="28"/>
          <w:szCs w:val="28"/>
        </w:rPr>
        <w:sectPr>
          <w:footerReference r:id="rId4" w:type="default"/>
          <w:pgSz w:w="11906" w:h="16838"/>
          <w:pgMar w:top="1418" w:right="1588" w:bottom="1418" w:left="1701" w:header="851" w:footer="992" w:gutter="0"/>
          <w:cols w:space="720" w:num="1"/>
          <w:docGrid w:type="lines" w:linePitch="312" w:charSpace="0"/>
        </w:sectPr>
      </w:pPr>
      <w:r>
        <w:rPr>
          <w:rFonts w:ascii="宋体" w:hAnsi="宋体" w:eastAsia="宋体" w:cs="Times New Roman"/>
          <w:kern w:val="0"/>
          <w:sz w:val="28"/>
          <w:szCs w:val="28"/>
        </w:rPr>
        <w:t>工程组成与建设内容见表1。</w:t>
      </w:r>
    </w:p>
    <w:tbl>
      <w:tblPr>
        <w:tblStyle w:val="21"/>
        <w:tblW w:w="14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26"/>
        <w:gridCol w:w="703"/>
        <w:gridCol w:w="870"/>
        <w:gridCol w:w="709"/>
        <w:gridCol w:w="2154"/>
        <w:gridCol w:w="681"/>
        <w:gridCol w:w="708"/>
        <w:gridCol w:w="142"/>
        <w:gridCol w:w="2857"/>
        <w:gridCol w:w="567"/>
        <w:gridCol w:w="3078"/>
        <w:gridCol w:w="10"/>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46" w:hRule="atLeast"/>
          <w:tblHeader/>
          <w:jc w:val="center"/>
        </w:trPr>
        <w:tc>
          <w:tcPr>
            <w:tcW w:w="14029" w:type="dxa"/>
            <w:gridSpan w:val="13"/>
            <w:tcBorders>
              <w:top w:val="nil"/>
              <w:left w:val="nil"/>
              <w:bottom w:val="single" w:color="auto" w:sz="12" w:space="0"/>
              <w:right w:val="nil"/>
            </w:tcBorders>
            <w:vAlign w:val="center"/>
          </w:tcPr>
          <w:p>
            <w:pPr>
              <w:pStyle w:val="66"/>
              <w:adjustRightInd w:val="0"/>
              <w:spacing w:line="240" w:lineRule="atLeast"/>
              <w:ind w:left="0" w:leftChars="0" w:right="0"/>
              <w:rPr>
                <w:rFonts w:ascii="宋体" w:hAnsi="宋体" w:eastAsia="宋体"/>
                <w:b/>
                <w:bCs/>
                <w:sz w:val="28"/>
                <w:szCs w:val="28"/>
              </w:rPr>
            </w:pPr>
            <w:r>
              <w:rPr>
                <w:rFonts w:hint="eastAsia" w:ascii="宋体" w:hAnsi="宋体" w:eastAsia="宋体"/>
                <w:sz w:val="28"/>
                <w:szCs w:val="28"/>
              </w:rPr>
              <w:t xml:space="preserve">表1      </w:t>
            </w:r>
            <w:r>
              <w:rPr>
                <w:rFonts w:hint="eastAsia" w:ascii="宋体" w:hAnsi="宋体" w:eastAsia="宋体"/>
                <w:b/>
                <w:sz w:val="28"/>
                <w:szCs w:val="28"/>
              </w:rPr>
              <w:t xml:space="preserve"> 环评提出的主要建设内容实际落实情况一览表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78" w:hRule="atLeast"/>
          <w:tblHeader/>
          <w:jc w:val="center"/>
        </w:trPr>
        <w:tc>
          <w:tcPr>
            <w:tcW w:w="1129" w:type="dxa"/>
            <w:gridSpan w:val="2"/>
            <w:vMerge w:val="restart"/>
            <w:tcBorders>
              <w:top w:val="single" w:color="auto" w:sz="12" w:space="0"/>
              <w:left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b/>
                <w:bCs/>
              </w:rPr>
            </w:pPr>
            <w:r>
              <w:rPr>
                <w:rFonts w:hint="eastAsia" w:ascii="宋体" w:hAnsi="宋体" w:eastAsia="宋体"/>
                <w:b/>
                <w:bCs/>
              </w:rPr>
              <w:t>项目组成</w:t>
            </w:r>
          </w:p>
        </w:tc>
        <w:tc>
          <w:tcPr>
            <w:tcW w:w="3733" w:type="dxa"/>
            <w:gridSpan w:val="3"/>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b/>
                <w:bCs/>
              </w:rPr>
            </w:pPr>
            <w:r>
              <w:rPr>
                <w:rFonts w:hint="eastAsia" w:ascii="宋体" w:hAnsi="宋体" w:eastAsia="宋体"/>
                <w:b/>
                <w:bCs/>
              </w:rPr>
              <w:t>原有工程</w:t>
            </w:r>
          </w:p>
        </w:tc>
        <w:tc>
          <w:tcPr>
            <w:tcW w:w="4388" w:type="dxa"/>
            <w:gridSpan w:val="4"/>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b/>
                <w:bCs/>
              </w:rPr>
            </w:pPr>
            <w:r>
              <w:rPr>
                <w:rFonts w:hint="eastAsia" w:ascii="宋体" w:hAnsi="宋体" w:eastAsia="宋体"/>
                <w:b/>
                <w:bCs/>
              </w:rPr>
              <w:t>环评建设内容</w:t>
            </w:r>
          </w:p>
        </w:tc>
        <w:tc>
          <w:tcPr>
            <w:tcW w:w="3645" w:type="dxa"/>
            <w:gridSpan w:val="2"/>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b/>
                <w:bCs/>
              </w:rPr>
            </w:pPr>
            <w:r>
              <w:rPr>
                <w:rFonts w:hint="eastAsia" w:ascii="宋体" w:hAnsi="宋体" w:eastAsia="宋体"/>
                <w:b/>
                <w:bCs/>
              </w:rPr>
              <w:t>实际建设内容</w:t>
            </w:r>
          </w:p>
        </w:tc>
        <w:tc>
          <w:tcPr>
            <w:tcW w:w="1134" w:type="dxa"/>
            <w:gridSpan w:val="2"/>
            <w:vMerge w:val="restart"/>
            <w:tcBorders>
              <w:top w:val="single" w:color="auto" w:sz="12"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b/>
                <w:bCs/>
              </w:rPr>
            </w:pPr>
            <w:r>
              <w:rPr>
                <w:rFonts w:hint="eastAsia" w:ascii="宋体" w:hAnsi="宋体" w:eastAsia="宋体"/>
                <w:b/>
                <w:bCs/>
              </w:rPr>
              <w:t>与环评一致性说明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2" w:hRule="atLeast"/>
          <w:tblHeader/>
          <w:jc w:val="center"/>
        </w:trPr>
        <w:tc>
          <w:tcPr>
            <w:tcW w:w="1129" w:type="dxa"/>
            <w:gridSpan w:val="2"/>
            <w:vMerge w:val="continue"/>
            <w:tcBorders>
              <w:left w:val="single" w:color="auto" w:sz="12"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b/>
                <w:bCs/>
              </w:rPr>
            </w:pPr>
          </w:p>
        </w:tc>
        <w:tc>
          <w:tcPr>
            <w:tcW w:w="3733" w:type="dxa"/>
            <w:gridSpan w:val="3"/>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b/>
                <w:bCs/>
              </w:rPr>
            </w:pPr>
            <w:r>
              <w:rPr>
                <w:rFonts w:hint="eastAsia" w:ascii="宋体" w:hAnsi="宋体" w:eastAsia="宋体"/>
                <w:b/>
                <w:bCs/>
              </w:rPr>
              <w:t>建设内容及规模</w:t>
            </w:r>
          </w:p>
        </w:tc>
        <w:tc>
          <w:tcPr>
            <w:tcW w:w="681" w:type="dxa"/>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b/>
                <w:bCs/>
              </w:rPr>
            </w:pPr>
            <w:r>
              <w:rPr>
                <w:rFonts w:hint="eastAsia" w:ascii="宋体" w:hAnsi="宋体" w:eastAsia="宋体"/>
                <w:b/>
                <w:bCs/>
              </w:rPr>
              <w:t>名称</w:t>
            </w:r>
          </w:p>
        </w:tc>
        <w:tc>
          <w:tcPr>
            <w:tcW w:w="3707" w:type="dxa"/>
            <w:gridSpan w:val="3"/>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b/>
                <w:bCs/>
              </w:rPr>
            </w:pPr>
            <w:r>
              <w:rPr>
                <w:rFonts w:hint="eastAsia" w:ascii="宋体" w:hAnsi="宋体" w:eastAsia="宋体"/>
                <w:b/>
                <w:bCs/>
              </w:rPr>
              <w:t>建设内容及规模</w:t>
            </w:r>
          </w:p>
        </w:tc>
        <w:tc>
          <w:tcPr>
            <w:tcW w:w="567" w:type="dxa"/>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105" w:right="-105"/>
              <w:rPr>
                <w:rFonts w:ascii="宋体" w:hAnsi="宋体" w:eastAsia="宋体" w:cs="Times New Roman"/>
                <w:b/>
                <w:bCs/>
              </w:rPr>
            </w:pPr>
            <w:r>
              <w:rPr>
                <w:rFonts w:hint="eastAsia" w:ascii="宋体" w:hAnsi="宋体" w:eastAsia="宋体"/>
              </w:rPr>
              <w:t>名称</w:t>
            </w:r>
          </w:p>
        </w:tc>
        <w:tc>
          <w:tcPr>
            <w:tcW w:w="3078" w:type="dxa"/>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b/>
                <w:bCs/>
              </w:rPr>
            </w:pPr>
            <w:r>
              <w:rPr>
                <w:rFonts w:hint="eastAsia" w:ascii="宋体" w:hAnsi="宋体" w:eastAsia="宋体"/>
                <w:b/>
                <w:bCs/>
              </w:rPr>
              <w:t>建设内容及规模</w:t>
            </w:r>
          </w:p>
        </w:tc>
        <w:tc>
          <w:tcPr>
            <w:tcW w:w="1134" w:type="dxa"/>
            <w:gridSpan w:val="2"/>
            <w:vMerge w:val="continue"/>
            <w:tcBorders>
              <w:top w:val="single" w:color="auto" w:sz="6" w:space="0"/>
              <w:left w:val="single" w:color="auto" w:sz="6" w:space="0"/>
              <w:bottom w:val="single" w:color="auto" w:sz="12" w:space="0"/>
              <w:right w:val="single" w:color="auto" w:sz="12" w:space="0"/>
            </w:tcBorders>
            <w:vAlign w:val="center"/>
          </w:tcPr>
          <w:p>
            <w:pPr>
              <w:pStyle w:val="66"/>
              <w:adjustRightInd w:val="0"/>
              <w:spacing w:line="240" w:lineRule="atLeast"/>
              <w:ind w:left="0" w:leftChars="0" w:right="0" w:firstLine="360"/>
              <w:rPr>
                <w:rFonts w:ascii="宋体" w:hAnsi="宋体" w:eastAsia="宋体" w:cs="Times New Roman"/>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restart"/>
            <w:tcBorders>
              <w:top w:val="single" w:color="auto" w:sz="12"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主体工程</w:t>
            </w:r>
          </w:p>
        </w:tc>
        <w:tc>
          <w:tcPr>
            <w:tcW w:w="703" w:type="dxa"/>
            <w:vMerge w:val="restart"/>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火车受煤系统</w:t>
            </w:r>
          </w:p>
        </w:tc>
        <w:tc>
          <w:tcPr>
            <w:tcW w:w="870" w:type="dxa"/>
            <w:vMerge w:val="restart"/>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铁路线</w:t>
            </w:r>
          </w:p>
        </w:tc>
        <w:tc>
          <w:tcPr>
            <w:tcW w:w="2863" w:type="dxa"/>
            <w:gridSpan w:val="2"/>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焦化厂现有</w:t>
            </w:r>
            <w:r>
              <w:rPr>
                <w:rFonts w:ascii="宋体" w:hAnsi="宋体" w:eastAsia="宋体" w:cs="Times New Roman"/>
              </w:rPr>
              <w:t>2</w:t>
            </w:r>
            <w:r>
              <w:rPr>
                <w:rFonts w:hint="eastAsia" w:ascii="宋体" w:hAnsi="宋体" w:eastAsia="宋体"/>
              </w:rPr>
              <w:t>条火车运煤卸车线，总长度为</w:t>
            </w:r>
            <w:r>
              <w:rPr>
                <w:rFonts w:ascii="宋体" w:hAnsi="宋体" w:eastAsia="宋体" w:cs="Times New Roman"/>
              </w:rPr>
              <w:t>2830m</w:t>
            </w:r>
            <w:r>
              <w:rPr>
                <w:rFonts w:hint="eastAsia" w:ascii="宋体" w:hAnsi="宋体" w:eastAsia="宋体"/>
              </w:rPr>
              <w:t>；</w:t>
            </w:r>
          </w:p>
        </w:tc>
        <w:tc>
          <w:tcPr>
            <w:tcW w:w="681" w:type="dxa"/>
            <w:vMerge w:val="restart"/>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铁路线</w:t>
            </w:r>
          </w:p>
        </w:tc>
        <w:tc>
          <w:tcPr>
            <w:tcW w:w="3707" w:type="dxa"/>
            <w:gridSpan w:val="3"/>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保留现有的铁路运煤线路，从现有铁路线再引出</w:t>
            </w:r>
            <w:r>
              <w:rPr>
                <w:rFonts w:ascii="宋体" w:hAnsi="宋体" w:eastAsia="宋体" w:cs="Times New Roman"/>
              </w:rPr>
              <w:t>2</w:t>
            </w:r>
            <w:r>
              <w:rPr>
                <w:rFonts w:hint="eastAsia" w:ascii="宋体" w:hAnsi="宋体" w:eastAsia="宋体"/>
              </w:rPr>
              <w:t>条运煤铁路线，新增运煤铁路线</w:t>
            </w:r>
            <w:r>
              <w:rPr>
                <w:rFonts w:ascii="宋体" w:hAnsi="宋体" w:eastAsia="宋体" w:cs="Times New Roman"/>
              </w:rPr>
              <w:t>2300m</w:t>
            </w:r>
            <w:r>
              <w:rPr>
                <w:rFonts w:hint="eastAsia" w:ascii="宋体" w:hAnsi="宋体" w:eastAsia="宋体"/>
              </w:rPr>
              <w:t>，技改后焦化厂内运煤铁路线总长度为</w:t>
            </w:r>
            <w:r>
              <w:rPr>
                <w:rFonts w:ascii="宋体" w:hAnsi="宋体" w:eastAsia="宋体" w:cs="Times New Roman"/>
              </w:rPr>
              <w:t>5130m</w:t>
            </w:r>
            <w:r>
              <w:rPr>
                <w:rFonts w:hint="eastAsia" w:ascii="宋体" w:hAnsi="宋体" w:eastAsia="宋体"/>
              </w:rPr>
              <w:t>。新增铁路线建设内容如下：</w:t>
            </w:r>
          </w:p>
        </w:tc>
        <w:tc>
          <w:tcPr>
            <w:tcW w:w="567" w:type="dxa"/>
            <w:vMerge w:val="restart"/>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铁路线</w:t>
            </w:r>
          </w:p>
        </w:tc>
        <w:tc>
          <w:tcPr>
            <w:tcW w:w="3088" w:type="dxa"/>
            <w:gridSpan w:val="2"/>
            <w:tcBorders>
              <w:top w:val="single" w:color="auto" w:sz="12"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保留现有的铁路运煤线路，从现有铁路线再引出</w:t>
            </w:r>
            <w:r>
              <w:rPr>
                <w:rFonts w:ascii="宋体" w:hAnsi="宋体" w:eastAsia="宋体" w:cs="Times New Roman"/>
              </w:rPr>
              <w:t>2</w:t>
            </w:r>
            <w:r>
              <w:rPr>
                <w:rFonts w:hint="eastAsia" w:ascii="宋体" w:hAnsi="宋体" w:eastAsia="宋体"/>
              </w:rPr>
              <w:t>条运煤铁路线，新增运煤铁路线</w:t>
            </w:r>
            <w:r>
              <w:rPr>
                <w:rFonts w:ascii="宋体" w:hAnsi="宋体" w:eastAsia="宋体" w:cs="Times New Roman"/>
              </w:rPr>
              <w:t>2300m</w:t>
            </w:r>
            <w:r>
              <w:rPr>
                <w:rFonts w:hint="eastAsia" w:ascii="宋体" w:hAnsi="宋体" w:eastAsia="宋体"/>
              </w:rPr>
              <w:t>，技改后焦化厂内运煤铁路线总长度为</w:t>
            </w:r>
            <w:r>
              <w:rPr>
                <w:rFonts w:ascii="宋体" w:hAnsi="宋体" w:eastAsia="宋体" w:cs="Times New Roman"/>
              </w:rPr>
              <w:t>5130m</w:t>
            </w:r>
            <w:r>
              <w:rPr>
                <w:rFonts w:hint="eastAsia" w:ascii="宋体" w:hAnsi="宋体" w:eastAsia="宋体"/>
              </w:rPr>
              <w:t>。</w:t>
            </w:r>
          </w:p>
        </w:tc>
        <w:tc>
          <w:tcPr>
            <w:tcW w:w="1124" w:type="dxa"/>
            <w:tcBorders>
              <w:top w:val="single" w:color="auto" w:sz="12"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钢轨</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60kg/m-25m</w:t>
            </w:r>
            <w:r>
              <w:rPr>
                <w:rFonts w:hint="eastAsia" w:ascii="宋体" w:hAnsi="宋体" w:eastAsia="宋体"/>
              </w:rPr>
              <w:t>标准轨</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钢轨</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采用</w:t>
            </w:r>
            <w:r>
              <w:rPr>
                <w:rFonts w:ascii="宋体" w:hAnsi="宋体" w:eastAsia="宋体" w:cs="Times New Roman"/>
              </w:rPr>
              <w:t>60kg/m-25m</w:t>
            </w:r>
            <w:r>
              <w:rPr>
                <w:rFonts w:hint="eastAsia" w:ascii="宋体" w:hAnsi="宋体" w:eastAsia="宋体"/>
              </w:rPr>
              <w:t>标准轨</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钢轨采用</w:t>
            </w:r>
            <w:r>
              <w:rPr>
                <w:rFonts w:ascii="宋体" w:hAnsi="宋体" w:eastAsia="宋体" w:cs="Times New Roman"/>
              </w:rPr>
              <w:t>60kg/m-25m</w:t>
            </w:r>
            <w:r>
              <w:rPr>
                <w:rFonts w:hint="eastAsia" w:ascii="宋体" w:hAnsi="宋体" w:eastAsia="宋体"/>
              </w:rPr>
              <w:t>标准轨。</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轨枕及扣件</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线路及道岔轨枕均采用混凝土枕，轨枕采用新</w:t>
            </w:r>
            <w:r>
              <w:rPr>
                <w:rFonts w:ascii="宋体" w:hAnsi="宋体" w:eastAsia="宋体" w:cs="Times New Roman"/>
              </w:rPr>
              <w:t>XⅡ</w:t>
            </w:r>
            <w:r>
              <w:rPr>
                <w:rFonts w:hint="eastAsia" w:ascii="宋体" w:hAnsi="宋体" w:eastAsia="宋体"/>
              </w:rPr>
              <w:t>型枕，按</w:t>
            </w:r>
            <w:r>
              <w:rPr>
                <w:rFonts w:ascii="宋体" w:hAnsi="宋体" w:eastAsia="宋体" w:cs="Times New Roman"/>
              </w:rPr>
              <w:t>1600</w:t>
            </w:r>
            <w:r>
              <w:rPr>
                <w:rFonts w:hint="eastAsia" w:ascii="宋体" w:hAnsi="宋体" w:eastAsia="宋体"/>
              </w:rPr>
              <w:t>根</w:t>
            </w:r>
            <w:r>
              <w:rPr>
                <w:rFonts w:ascii="宋体" w:hAnsi="宋体" w:eastAsia="宋体" w:cs="Times New Roman"/>
              </w:rPr>
              <w:t>/km</w:t>
            </w:r>
            <w:r>
              <w:rPr>
                <w:rFonts w:hint="eastAsia" w:ascii="宋体" w:hAnsi="宋体" w:eastAsia="宋体"/>
              </w:rPr>
              <w:t>，扣件采用弹性扣件。</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轨枕及扣件</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线路及道岔轨枕均采用混凝土枕，轨枕采用新</w:t>
            </w:r>
            <w:r>
              <w:rPr>
                <w:rFonts w:ascii="宋体" w:hAnsi="宋体" w:eastAsia="宋体" w:cs="Times New Roman"/>
              </w:rPr>
              <w:t>XⅡ</w:t>
            </w:r>
            <w:r>
              <w:rPr>
                <w:rFonts w:hint="eastAsia" w:ascii="宋体" w:hAnsi="宋体" w:eastAsia="宋体"/>
              </w:rPr>
              <w:t>型枕，按</w:t>
            </w:r>
            <w:r>
              <w:rPr>
                <w:rFonts w:ascii="宋体" w:hAnsi="宋体" w:eastAsia="宋体" w:cs="Times New Roman"/>
              </w:rPr>
              <w:t>1600</w:t>
            </w:r>
            <w:r>
              <w:rPr>
                <w:rFonts w:hint="eastAsia" w:ascii="宋体" w:hAnsi="宋体" w:eastAsia="宋体"/>
              </w:rPr>
              <w:t>根</w:t>
            </w:r>
            <w:r>
              <w:rPr>
                <w:rFonts w:ascii="宋体" w:hAnsi="宋体" w:eastAsia="宋体" w:cs="Times New Roman"/>
              </w:rPr>
              <w:t>/km</w:t>
            </w:r>
            <w:r>
              <w:rPr>
                <w:rFonts w:hint="eastAsia" w:ascii="宋体" w:hAnsi="宋体" w:eastAsia="宋体"/>
              </w:rPr>
              <w:t>，扣件采用弹性扣件。</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线路及道岔轨枕均采用混凝土枕，轨枕采用新</w:t>
            </w:r>
            <w:r>
              <w:rPr>
                <w:rFonts w:ascii="宋体" w:hAnsi="宋体" w:eastAsia="宋体" w:cs="Times New Roman"/>
              </w:rPr>
              <w:t>XⅡ</w:t>
            </w:r>
            <w:r>
              <w:rPr>
                <w:rFonts w:hint="eastAsia" w:ascii="宋体" w:hAnsi="宋体" w:eastAsia="宋体"/>
              </w:rPr>
              <w:t>型枕，</w:t>
            </w:r>
            <w:r>
              <w:rPr>
                <w:rFonts w:ascii="宋体" w:hAnsi="宋体" w:eastAsia="宋体" w:cs="Times New Roman"/>
              </w:rPr>
              <w:t>1600</w:t>
            </w:r>
            <w:r>
              <w:rPr>
                <w:rFonts w:hint="eastAsia" w:ascii="宋体" w:hAnsi="宋体" w:eastAsia="宋体"/>
              </w:rPr>
              <w:t>根</w:t>
            </w:r>
            <w:r>
              <w:rPr>
                <w:rFonts w:ascii="宋体" w:hAnsi="宋体" w:eastAsia="宋体" w:cs="Times New Roman"/>
              </w:rPr>
              <w:t>/km</w:t>
            </w:r>
            <w:r>
              <w:rPr>
                <w:rFonts w:hint="eastAsia" w:ascii="宋体" w:hAnsi="宋体" w:eastAsia="宋体"/>
              </w:rPr>
              <w:t>，扣件采用弹性扣件。</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道岔</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安全线为</w:t>
            </w:r>
            <w:r>
              <w:rPr>
                <w:rFonts w:ascii="宋体" w:hAnsi="宋体" w:eastAsia="宋体" w:cs="Times New Roman"/>
              </w:rPr>
              <w:t>60kg/m-1/9</w:t>
            </w:r>
            <w:r>
              <w:rPr>
                <w:rFonts w:hint="eastAsia" w:ascii="宋体" w:hAnsi="宋体" w:eastAsia="宋体"/>
              </w:rPr>
              <w:t>号钢筋混凝土岔枕道岔，其余为</w:t>
            </w:r>
            <w:r>
              <w:rPr>
                <w:rFonts w:ascii="宋体" w:hAnsi="宋体" w:eastAsia="宋体" w:cs="Times New Roman"/>
              </w:rPr>
              <w:t>60kg/m-1/12</w:t>
            </w:r>
            <w:r>
              <w:rPr>
                <w:rFonts w:hint="eastAsia" w:ascii="宋体" w:hAnsi="宋体" w:eastAsia="宋体"/>
              </w:rPr>
              <w:t>号钢筋混凝土岔枕道岔。</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道岔</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安全线铺设</w:t>
            </w:r>
            <w:r>
              <w:rPr>
                <w:rFonts w:ascii="宋体" w:hAnsi="宋体" w:eastAsia="宋体" w:cs="Times New Roman"/>
              </w:rPr>
              <w:t>60kg/m-1/9</w:t>
            </w:r>
            <w:r>
              <w:rPr>
                <w:rFonts w:hint="eastAsia" w:ascii="宋体" w:hAnsi="宋体" w:eastAsia="宋体"/>
              </w:rPr>
              <w:t>号钢筋混凝土岔枕道岔，其余铺设</w:t>
            </w:r>
            <w:r>
              <w:rPr>
                <w:rFonts w:ascii="宋体" w:hAnsi="宋体" w:eastAsia="宋体" w:cs="Times New Roman"/>
              </w:rPr>
              <w:t>60kg/m-1/12</w:t>
            </w:r>
            <w:r>
              <w:rPr>
                <w:rFonts w:hint="eastAsia" w:ascii="宋体" w:hAnsi="宋体" w:eastAsia="宋体"/>
              </w:rPr>
              <w:t>号钢筋混凝土岔枕道岔。</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安全线铺设</w:t>
            </w:r>
            <w:r>
              <w:rPr>
                <w:rFonts w:ascii="宋体" w:hAnsi="宋体" w:eastAsia="宋体" w:cs="Times New Roman"/>
              </w:rPr>
              <w:t>60kg/m-1/9</w:t>
            </w:r>
            <w:r>
              <w:rPr>
                <w:rFonts w:hint="eastAsia" w:ascii="宋体" w:hAnsi="宋体" w:eastAsia="宋体"/>
              </w:rPr>
              <w:t>号钢筋混凝土岔枕道岔，其余铺设</w:t>
            </w:r>
            <w:r>
              <w:rPr>
                <w:rFonts w:ascii="宋体" w:hAnsi="宋体" w:eastAsia="宋体" w:cs="Times New Roman"/>
              </w:rPr>
              <w:t>60kg/m-1/12</w:t>
            </w:r>
            <w:r>
              <w:rPr>
                <w:rFonts w:hint="eastAsia" w:ascii="宋体" w:hAnsi="宋体" w:eastAsia="宋体"/>
              </w:rPr>
              <w:t>号钢筋混凝土岔枕道岔。</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道床</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一级碎石道渣，厚度</w:t>
            </w:r>
            <w:r>
              <w:rPr>
                <w:rFonts w:ascii="宋体" w:hAnsi="宋体" w:eastAsia="宋体" w:cs="Times New Roman"/>
              </w:rPr>
              <w:t>0.35m</w:t>
            </w:r>
            <w:r>
              <w:rPr>
                <w:rFonts w:hint="eastAsia" w:ascii="宋体" w:hAnsi="宋体" w:eastAsia="宋体"/>
              </w:rPr>
              <w:t>，顶宽</w:t>
            </w:r>
            <w:r>
              <w:rPr>
                <w:rFonts w:ascii="宋体" w:hAnsi="宋体" w:eastAsia="宋体" w:cs="Times New Roman"/>
              </w:rPr>
              <w:t>3.0m,</w:t>
            </w:r>
            <w:r>
              <w:rPr>
                <w:rFonts w:hint="eastAsia" w:ascii="宋体" w:hAnsi="宋体" w:eastAsia="宋体"/>
              </w:rPr>
              <w:t>边坡</w:t>
            </w:r>
            <w:r>
              <w:rPr>
                <w:rFonts w:ascii="宋体" w:hAnsi="宋体" w:eastAsia="宋体" w:cs="Times New Roman"/>
              </w:rPr>
              <w:t>1:1.5</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道床</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一级碎石道渣，厚度</w:t>
            </w:r>
            <w:r>
              <w:rPr>
                <w:rFonts w:ascii="宋体" w:hAnsi="宋体" w:eastAsia="宋体" w:cs="Times New Roman"/>
              </w:rPr>
              <w:t>0.35m</w:t>
            </w:r>
            <w:r>
              <w:rPr>
                <w:rFonts w:hint="eastAsia" w:ascii="宋体" w:hAnsi="宋体" w:eastAsia="宋体"/>
              </w:rPr>
              <w:t>，顶宽</w:t>
            </w:r>
            <w:r>
              <w:rPr>
                <w:rFonts w:ascii="宋体" w:hAnsi="宋体" w:eastAsia="宋体" w:cs="Times New Roman"/>
              </w:rPr>
              <w:t>3.0m,</w:t>
            </w:r>
            <w:r>
              <w:rPr>
                <w:rFonts w:hint="eastAsia" w:ascii="宋体" w:hAnsi="宋体" w:eastAsia="宋体"/>
              </w:rPr>
              <w:t>边坡</w:t>
            </w:r>
            <w:r>
              <w:rPr>
                <w:rFonts w:ascii="宋体" w:hAnsi="宋体" w:eastAsia="宋体" w:cs="Times New Roman"/>
              </w:rPr>
              <w:t>1:1.5</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道床采用一级碎石道渣，厚度</w:t>
            </w:r>
            <w:r>
              <w:rPr>
                <w:rFonts w:ascii="宋体" w:hAnsi="宋体" w:eastAsia="宋体" w:cs="Times New Roman"/>
              </w:rPr>
              <w:t>0.35m</w:t>
            </w:r>
            <w:r>
              <w:rPr>
                <w:rFonts w:hint="eastAsia" w:ascii="宋体" w:hAnsi="宋体" w:eastAsia="宋体"/>
              </w:rPr>
              <w:t>，顶宽</w:t>
            </w:r>
            <w:r>
              <w:rPr>
                <w:rFonts w:ascii="宋体" w:hAnsi="宋体" w:eastAsia="宋体" w:cs="Times New Roman"/>
              </w:rPr>
              <w:t>3.0m</w:t>
            </w:r>
            <w:r>
              <w:rPr>
                <w:rFonts w:hint="eastAsia" w:ascii="宋体" w:hAnsi="宋体" w:eastAsia="宋体"/>
              </w:rPr>
              <w:t>，边坡</w:t>
            </w:r>
            <w:r>
              <w:rPr>
                <w:rFonts w:ascii="宋体" w:hAnsi="宋体" w:eastAsia="宋体" w:cs="Times New Roman"/>
              </w:rPr>
              <w:t>1:1.5</w:t>
            </w:r>
            <w:r>
              <w:rPr>
                <w:rFonts w:hint="eastAsia" w:ascii="宋体" w:hAnsi="宋体" w:eastAsia="宋体"/>
              </w:rPr>
              <w:t>。</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受煤系统</w:t>
            </w:r>
          </w:p>
        </w:tc>
        <w:tc>
          <w:tcPr>
            <w:tcW w:w="2863"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现有火车受煤系统</w:t>
            </w:r>
            <w:r>
              <w:rPr>
                <w:rFonts w:ascii="宋体" w:hAnsi="宋体" w:eastAsia="宋体" w:cs="Times New Roman"/>
              </w:rPr>
              <w:t>2</w:t>
            </w:r>
            <w:r>
              <w:rPr>
                <w:rFonts w:hint="eastAsia" w:ascii="宋体" w:hAnsi="宋体" w:eastAsia="宋体"/>
              </w:rPr>
              <w:t>套</w:t>
            </w:r>
          </w:p>
        </w:tc>
        <w:tc>
          <w:tcPr>
            <w:tcW w:w="681"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受煤系统</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保留现有的</w:t>
            </w:r>
            <w:r>
              <w:rPr>
                <w:rFonts w:ascii="宋体" w:hAnsi="宋体" w:eastAsia="宋体" w:cs="Times New Roman"/>
              </w:rPr>
              <w:t>2</w:t>
            </w:r>
            <w:r>
              <w:rPr>
                <w:rFonts w:hint="eastAsia" w:ascii="宋体" w:hAnsi="宋体" w:eastAsia="宋体"/>
              </w:rPr>
              <w:t>套火车受煤系统，新增</w:t>
            </w:r>
            <w:r>
              <w:rPr>
                <w:rFonts w:ascii="宋体" w:hAnsi="宋体" w:eastAsia="宋体" w:cs="Times New Roman"/>
              </w:rPr>
              <w:t>1</w:t>
            </w:r>
            <w:r>
              <w:rPr>
                <w:rFonts w:hint="eastAsia" w:ascii="宋体" w:hAnsi="宋体" w:eastAsia="宋体"/>
              </w:rPr>
              <w:t>套火车受煤系统，技改后焦化厂有</w:t>
            </w:r>
            <w:r>
              <w:rPr>
                <w:rFonts w:ascii="宋体" w:hAnsi="宋体" w:eastAsia="宋体" w:cs="Times New Roman"/>
              </w:rPr>
              <w:t>3</w:t>
            </w:r>
            <w:r>
              <w:rPr>
                <w:rFonts w:hint="eastAsia" w:ascii="宋体" w:hAnsi="宋体" w:eastAsia="宋体"/>
              </w:rPr>
              <w:t>套火车受煤系统，新增火车受煤系统工程内容如下：</w:t>
            </w:r>
          </w:p>
        </w:tc>
        <w:tc>
          <w:tcPr>
            <w:tcW w:w="567"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受煤系统</w:t>
            </w: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保留现有的</w:t>
            </w:r>
            <w:r>
              <w:rPr>
                <w:rFonts w:ascii="宋体" w:hAnsi="宋体" w:eastAsia="宋体" w:cs="Times New Roman"/>
              </w:rPr>
              <w:t>2</w:t>
            </w:r>
            <w:r>
              <w:rPr>
                <w:rFonts w:hint="eastAsia" w:ascii="宋体" w:hAnsi="宋体" w:eastAsia="宋体"/>
              </w:rPr>
              <w:t>套火车受煤系统，新增</w:t>
            </w:r>
            <w:r>
              <w:rPr>
                <w:rFonts w:ascii="宋体" w:hAnsi="宋体" w:eastAsia="宋体" w:cs="Times New Roman"/>
              </w:rPr>
              <w:t>1</w:t>
            </w:r>
            <w:r>
              <w:rPr>
                <w:rFonts w:hint="eastAsia" w:ascii="宋体" w:hAnsi="宋体" w:eastAsia="宋体"/>
              </w:rPr>
              <w:t>套火车受煤系统，共有</w:t>
            </w:r>
            <w:r>
              <w:rPr>
                <w:rFonts w:ascii="宋体" w:hAnsi="宋体" w:eastAsia="宋体" w:cs="Times New Roman"/>
              </w:rPr>
              <w:t>3</w:t>
            </w:r>
            <w:r>
              <w:rPr>
                <w:rFonts w:hint="eastAsia" w:ascii="宋体" w:hAnsi="宋体" w:eastAsia="宋体"/>
              </w:rPr>
              <w:t>套火车受煤系统。</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卸煤大棚</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2</w:t>
            </w:r>
            <w:r>
              <w:rPr>
                <w:rFonts w:hint="eastAsia" w:ascii="宋体" w:hAnsi="宋体" w:eastAsia="宋体"/>
              </w:rPr>
              <w:t>座，建筑面积分别为</w:t>
            </w:r>
            <w:r>
              <w:rPr>
                <w:rFonts w:ascii="宋体" w:hAnsi="宋体" w:eastAsia="宋体" w:cs="Times New Roman"/>
              </w:rPr>
              <w:t>2600m²</w:t>
            </w:r>
            <w:r>
              <w:rPr>
                <w:rFonts w:hint="eastAsia" w:ascii="宋体" w:hAnsi="宋体" w:eastAsia="宋体"/>
              </w:rPr>
              <w:t>、</w:t>
            </w:r>
            <w:r>
              <w:rPr>
                <w:rFonts w:ascii="宋体" w:hAnsi="宋体" w:eastAsia="宋体" w:cs="Times New Roman"/>
              </w:rPr>
              <w:t>1680m²</w:t>
            </w:r>
            <w:r>
              <w:rPr>
                <w:rFonts w:hint="eastAsia" w:ascii="宋体" w:hAnsi="宋体" w:eastAsia="宋体"/>
              </w:rPr>
              <w:t>，高度均为</w:t>
            </w:r>
            <w:r>
              <w:rPr>
                <w:rFonts w:ascii="宋体" w:hAnsi="宋体" w:eastAsia="宋体" w:cs="Times New Roman"/>
              </w:rPr>
              <w:t>12m</w:t>
            </w:r>
            <w:r>
              <w:rPr>
                <w:rFonts w:hint="eastAsia" w:ascii="宋体" w:hAnsi="宋体" w:eastAsia="宋体"/>
              </w:rPr>
              <w:t>，轻钢结构，位于地下受煤坑上方；北侧由于火车进出受限敞开，其余东侧、西侧、南侧、顶部全封闭</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卸煤大棚</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座，建筑面积为</w:t>
            </w:r>
            <w:r>
              <w:rPr>
                <w:rFonts w:ascii="宋体" w:hAnsi="宋体" w:eastAsia="宋体" w:cs="Times New Roman"/>
              </w:rPr>
              <w:t>6616.5m²</w:t>
            </w:r>
            <w:r>
              <w:rPr>
                <w:rFonts w:hint="eastAsia" w:ascii="宋体" w:hAnsi="宋体" w:eastAsia="宋体"/>
              </w:rPr>
              <w:t>，尺寸为长度</w:t>
            </w:r>
            <w:r>
              <w:rPr>
                <w:rFonts w:ascii="宋体" w:hAnsi="宋体" w:eastAsia="宋体" w:cs="Times New Roman"/>
              </w:rPr>
              <w:t>401m</w:t>
            </w:r>
            <w:r>
              <w:rPr>
                <w:rFonts w:hint="eastAsia" w:ascii="宋体" w:hAnsi="宋体" w:eastAsia="宋体"/>
              </w:rPr>
              <w:t>、宽度</w:t>
            </w:r>
            <w:r>
              <w:rPr>
                <w:rFonts w:ascii="宋体" w:hAnsi="宋体" w:eastAsia="宋体" w:cs="Times New Roman"/>
              </w:rPr>
              <w:t>16.5m</w:t>
            </w:r>
            <w:r>
              <w:rPr>
                <w:rFonts w:hint="eastAsia" w:ascii="宋体" w:hAnsi="宋体" w:eastAsia="宋体"/>
              </w:rPr>
              <w:t>，高度为</w:t>
            </w:r>
            <w:r>
              <w:rPr>
                <w:rFonts w:ascii="宋体" w:hAnsi="宋体" w:eastAsia="宋体" w:cs="Times New Roman"/>
              </w:rPr>
              <w:t>12m</w:t>
            </w:r>
            <w:r>
              <w:rPr>
                <w:rFonts w:hint="eastAsia" w:ascii="宋体" w:hAnsi="宋体" w:eastAsia="宋体"/>
              </w:rPr>
              <w:t>，轻钢结构，主体结构为门式钢架，位于地下受煤坑上方；北侧由于火车进出受限敞开，其余东侧、西侧、南侧、顶部全封闭；</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新建</w:t>
            </w:r>
            <w:r>
              <w:rPr>
                <w:rFonts w:ascii="宋体" w:hAnsi="宋体" w:eastAsia="宋体" w:cs="Times New Roman"/>
              </w:rPr>
              <w:t>1</w:t>
            </w:r>
            <w:r>
              <w:rPr>
                <w:rFonts w:hint="eastAsia" w:ascii="宋体" w:hAnsi="宋体" w:eastAsia="宋体"/>
              </w:rPr>
              <w:t>座卸煤大棚，建筑面积为</w:t>
            </w:r>
            <w:r>
              <w:rPr>
                <w:rFonts w:ascii="宋体" w:hAnsi="宋体" w:eastAsia="宋体" w:cs="Times New Roman"/>
              </w:rPr>
              <w:t>6616.5m²</w:t>
            </w:r>
            <w:r>
              <w:rPr>
                <w:rFonts w:hint="eastAsia" w:ascii="宋体" w:hAnsi="宋体" w:eastAsia="宋体"/>
              </w:rPr>
              <w:t>，尺寸为长度</w:t>
            </w:r>
            <w:r>
              <w:rPr>
                <w:rFonts w:ascii="宋体" w:hAnsi="宋体" w:eastAsia="宋体" w:cs="Times New Roman"/>
              </w:rPr>
              <w:t>401m</w:t>
            </w:r>
            <w:r>
              <w:rPr>
                <w:rFonts w:hint="eastAsia" w:ascii="宋体" w:hAnsi="宋体" w:eastAsia="宋体"/>
              </w:rPr>
              <w:t>、宽度</w:t>
            </w:r>
            <w:r>
              <w:rPr>
                <w:rFonts w:ascii="宋体" w:hAnsi="宋体" w:eastAsia="宋体" w:cs="Times New Roman"/>
              </w:rPr>
              <w:t>16.5m</w:t>
            </w:r>
            <w:r>
              <w:rPr>
                <w:rFonts w:hint="eastAsia" w:ascii="宋体" w:hAnsi="宋体" w:eastAsia="宋体"/>
              </w:rPr>
              <w:t>，高度为</w:t>
            </w:r>
            <w:r>
              <w:rPr>
                <w:rFonts w:ascii="宋体" w:hAnsi="宋体" w:eastAsia="宋体" w:cs="Times New Roman"/>
              </w:rPr>
              <w:t>12m</w:t>
            </w:r>
            <w:r>
              <w:rPr>
                <w:rFonts w:hint="eastAsia" w:ascii="宋体" w:hAnsi="宋体" w:eastAsia="宋体"/>
              </w:rPr>
              <w:t>，轻钢结构，主体结构为门式钢架，位于地下受煤坑上方；南侧、北侧由于火车进出受限设置卷帘门，其余东侧、西侧、顶部全封闭。</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南侧封闭改为设置卷帘门，方便火车进出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受煤坑</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2</w:t>
            </w:r>
            <w:r>
              <w:rPr>
                <w:rFonts w:hint="eastAsia" w:ascii="宋体" w:hAnsi="宋体" w:eastAsia="宋体"/>
              </w:rPr>
              <w:t>座，其中</w:t>
            </w:r>
            <w:r>
              <w:rPr>
                <w:rFonts w:ascii="宋体" w:hAnsi="宋体" w:eastAsia="宋体" w:cs="Times New Roman"/>
              </w:rPr>
              <w:t>1</w:t>
            </w:r>
            <w:r>
              <w:rPr>
                <w:rFonts w:hint="eastAsia" w:ascii="宋体" w:hAnsi="宋体" w:eastAsia="宋体"/>
              </w:rPr>
              <w:t>座尺寸为长</w:t>
            </w:r>
            <w:r>
              <w:rPr>
                <w:rFonts w:ascii="宋体" w:hAnsi="宋体" w:eastAsia="宋体" w:cs="Times New Roman"/>
              </w:rPr>
              <w:t>70m</w:t>
            </w:r>
            <w:r>
              <w:rPr>
                <w:rFonts w:hint="eastAsia" w:ascii="宋体" w:hAnsi="宋体" w:eastAsia="宋体"/>
              </w:rPr>
              <w:t>、宽</w:t>
            </w:r>
            <w:r>
              <w:rPr>
                <w:rFonts w:ascii="宋体" w:hAnsi="宋体" w:eastAsia="宋体" w:cs="Times New Roman"/>
              </w:rPr>
              <w:t>11m</w:t>
            </w:r>
            <w:r>
              <w:rPr>
                <w:rFonts w:hint="eastAsia" w:ascii="宋体" w:hAnsi="宋体" w:eastAsia="宋体"/>
              </w:rPr>
              <w:t>、深</w:t>
            </w:r>
            <w:r>
              <w:rPr>
                <w:rFonts w:ascii="宋体" w:hAnsi="宋体" w:eastAsia="宋体" w:cs="Times New Roman"/>
              </w:rPr>
              <w:t>6.8m</w:t>
            </w:r>
            <w:r>
              <w:rPr>
                <w:rFonts w:hint="eastAsia" w:ascii="宋体" w:hAnsi="宋体" w:eastAsia="宋体"/>
              </w:rPr>
              <w:t>，另外</w:t>
            </w:r>
            <w:r>
              <w:rPr>
                <w:rFonts w:ascii="宋体" w:hAnsi="宋体" w:eastAsia="宋体" w:cs="Times New Roman"/>
              </w:rPr>
              <w:t>1</w:t>
            </w:r>
            <w:r>
              <w:rPr>
                <w:rFonts w:hint="eastAsia" w:ascii="宋体" w:hAnsi="宋体" w:eastAsia="宋体"/>
              </w:rPr>
              <w:t>座尺寸为长</w:t>
            </w:r>
            <w:r>
              <w:rPr>
                <w:rFonts w:ascii="宋体" w:hAnsi="宋体" w:eastAsia="宋体" w:cs="Times New Roman"/>
              </w:rPr>
              <w:t>200m</w:t>
            </w:r>
            <w:r>
              <w:rPr>
                <w:rFonts w:hint="eastAsia" w:ascii="宋体" w:hAnsi="宋体" w:eastAsia="宋体"/>
              </w:rPr>
              <w:t>、宽</w:t>
            </w:r>
            <w:r>
              <w:rPr>
                <w:rFonts w:ascii="宋体" w:hAnsi="宋体" w:eastAsia="宋体" w:cs="Times New Roman"/>
              </w:rPr>
              <w:t>7m</w:t>
            </w:r>
            <w:r>
              <w:rPr>
                <w:rFonts w:hint="eastAsia" w:ascii="宋体" w:hAnsi="宋体" w:eastAsia="宋体"/>
              </w:rPr>
              <w:t>、深</w:t>
            </w:r>
            <w:r>
              <w:rPr>
                <w:rFonts w:ascii="宋体" w:hAnsi="宋体" w:eastAsia="宋体" w:cs="Times New Roman"/>
              </w:rPr>
              <w:t>6.8m</w:t>
            </w:r>
            <w:r>
              <w:rPr>
                <w:rFonts w:hint="eastAsia" w:ascii="宋体" w:hAnsi="宋体" w:eastAsia="宋体"/>
              </w:rPr>
              <w:t>，全部为地下钢筋混凝土地坑结构，钢格栅篦子</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受煤坑</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座受煤坑，尺寸为长</w:t>
            </w:r>
            <w:r>
              <w:rPr>
                <w:rFonts w:ascii="宋体" w:hAnsi="宋体" w:eastAsia="宋体" w:cs="Times New Roman"/>
              </w:rPr>
              <w:t>390m</w:t>
            </w:r>
            <w:r>
              <w:rPr>
                <w:rFonts w:hint="eastAsia" w:ascii="宋体" w:hAnsi="宋体" w:eastAsia="宋体"/>
              </w:rPr>
              <w:t>、宽</w:t>
            </w:r>
            <w:r>
              <w:rPr>
                <w:rFonts w:ascii="宋体" w:hAnsi="宋体" w:eastAsia="宋体" w:cs="Times New Roman"/>
              </w:rPr>
              <w:t>6.956m</w:t>
            </w:r>
            <w:r>
              <w:rPr>
                <w:rFonts w:hint="eastAsia" w:ascii="宋体" w:hAnsi="宋体" w:eastAsia="宋体"/>
              </w:rPr>
              <w:t>、深</w:t>
            </w:r>
            <w:r>
              <w:rPr>
                <w:rFonts w:ascii="宋体" w:hAnsi="宋体" w:eastAsia="宋体" w:cs="Times New Roman"/>
              </w:rPr>
              <w:t>6.69m</w:t>
            </w:r>
            <w:r>
              <w:rPr>
                <w:rFonts w:hint="eastAsia" w:ascii="宋体" w:hAnsi="宋体" w:eastAsia="宋体"/>
              </w:rPr>
              <w:t>，为地下钢筋混凝土地坑结构，受煤槽为槽仓，钢格栅篦子，受煤坑基础采用</w:t>
            </w:r>
            <w:r>
              <w:rPr>
                <w:rFonts w:ascii="宋体" w:hAnsi="宋体" w:eastAsia="宋体" w:cs="Times New Roman"/>
              </w:rPr>
              <w:t>C30</w:t>
            </w:r>
            <w:r>
              <w:rPr>
                <w:rFonts w:hint="eastAsia" w:ascii="宋体" w:hAnsi="宋体" w:eastAsia="宋体"/>
              </w:rPr>
              <w:t>防水钢筋混凝土，垫层为</w:t>
            </w:r>
            <w:r>
              <w:rPr>
                <w:rFonts w:ascii="宋体" w:hAnsi="宋体" w:eastAsia="宋体" w:cs="Times New Roman"/>
              </w:rPr>
              <w:t>C15</w:t>
            </w:r>
            <w:r>
              <w:rPr>
                <w:rFonts w:hint="eastAsia" w:ascii="宋体" w:hAnsi="宋体" w:eastAsia="宋体"/>
              </w:rPr>
              <w:t>混凝土</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新建</w:t>
            </w:r>
            <w:r>
              <w:rPr>
                <w:rFonts w:ascii="宋体" w:hAnsi="宋体" w:eastAsia="宋体" w:cs="Times New Roman"/>
              </w:rPr>
              <w:t>1</w:t>
            </w:r>
            <w:r>
              <w:rPr>
                <w:rFonts w:hint="eastAsia" w:ascii="宋体" w:hAnsi="宋体" w:eastAsia="宋体"/>
              </w:rPr>
              <w:t>座受煤坑，尺寸为长</w:t>
            </w:r>
            <w:r>
              <w:rPr>
                <w:rFonts w:ascii="宋体" w:hAnsi="宋体" w:eastAsia="宋体" w:cs="Times New Roman"/>
              </w:rPr>
              <w:t>390m</w:t>
            </w:r>
            <w:r>
              <w:rPr>
                <w:rFonts w:hint="eastAsia" w:ascii="宋体" w:hAnsi="宋体" w:eastAsia="宋体"/>
              </w:rPr>
              <w:t>、宽</w:t>
            </w:r>
            <w:r>
              <w:rPr>
                <w:rFonts w:ascii="宋体" w:hAnsi="宋体" w:eastAsia="宋体" w:cs="Times New Roman"/>
              </w:rPr>
              <w:t>6.956m</w:t>
            </w:r>
            <w:r>
              <w:rPr>
                <w:rFonts w:hint="eastAsia" w:ascii="宋体" w:hAnsi="宋体" w:eastAsia="宋体"/>
              </w:rPr>
              <w:t>、深</w:t>
            </w:r>
            <w:r>
              <w:rPr>
                <w:rFonts w:ascii="宋体" w:hAnsi="宋体" w:eastAsia="宋体" w:cs="Times New Roman"/>
              </w:rPr>
              <w:t>6.69m</w:t>
            </w:r>
            <w:r>
              <w:rPr>
                <w:rFonts w:hint="eastAsia" w:ascii="宋体" w:hAnsi="宋体" w:eastAsia="宋体"/>
              </w:rPr>
              <w:t>，为地下钢筋混凝土地坑结构，受煤槽为槽仓，钢格栅篦子，受煤坑基础采用</w:t>
            </w:r>
            <w:r>
              <w:rPr>
                <w:rFonts w:ascii="宋体" w:hAnsi="宋体" w:eastAsia="宋体" w:cs="Times New Roman"/>
              </w:rPr>
              <w:t>C30</w:t>
            </w:r>
            <w:r>
              <w:rPr>
                <w:rFonts w:hint="eastAsia" w:ascii="宋体" w:hAnsi="宋体" w:eastAsia="宋体"/>
              </w:rPr>
              <w:t>防水钢筋混凝土，垫层为</w:t>
            </w:r>
            <w:r>
              <w:rPr>
                <w:rFonts w:ascii="宋体" w:hAnsi="宋体" w:eastAsia="宋体" w:cs="Times New Roman"/>
              </w:rPr>
              <w:t>C15</w:t>
            </w:r>
            <w:r>
              <w:rPr>
                <w:rFonts w:hint="eastAsia" w:ascii="宋体" w:hAnsi="宋体" w:eastAsia="宋体"/>
              </w:rPr>
              <w:t>混凝土。</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汽车受煤系统</w:t>
            </w:r>
          </w:p>
        </w:tc>
        <w:tc>
          <w:tcPr>
            <w:tcW w:w="870"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w:t>
            </w: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受煤大棚</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座，建筑面积</w:t>
            </w:r>
            <w:r>
              <w:rPr>
                <w:rFonts w:ascii="宋体" w:hAnsi="宋体" w:eastAsia="宋体" w:cs="Times New Roman"/>
              </w:rPr>
              <w:t>75m²</w:t>
            </w:r>
            <w:r>
              <w:rPr>
                <w:rFonts w:hint="eastAsia" w:ascii="宋体" w:hAnsi="宋体" w:eastAsia="宋体"/>
              </w:rPr>
              <w:t>、高</w:t>
            </w:r>
            <w:r>
              <w:rPr>
                <w:rFonts w:ascii="宋体" w:hAnsi="宋体" w:eastAsia="宋体" w:cs="Times New Roman"/>
              </w:rPr>
              <w:t>9m</w:t>
            </w:r>
            <w:r>
              <w:rPr>
                <w:rFonts w:hint="eastAsia" w:ascii="宋体" w:hAnsi="宋体" w:eastAsia="宋体"/>
              </w:rPr>
              <w:t>，轻钢结构</w:t>
            </w:r>
          </w:p>
        </w:tc>
        <w:tc>
          <w:tcPr>
            <w:tcW w:w="4388" w:type="dxa"/>
            <w:gridSpan w:val="4"/>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技改后，汽车受煤系统全部停运，保留现有设施，作为火车运煤系统无法启运情况下的应急备用运煤系统。</w:t>
            </w:r>
          </w:p>
        </w:tc>
        <w:tc>
          <w:tcPr>
            <w:tcW w:w="567"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w:t>
            </w:r>
          </w:p>
        </w:tc>
        <w:tc>
          <w:tcPr>
            <w:tcW w:w="3088" w:type="dxa"/>
            <w:gridSpan w:val="2"/>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原有汽车受煤系统全部停运，保留现有设施，作为火车运煤系统无法启运情况下的应急备用运煤系统。</w:t>
            </w:r>
          </w:p>
        </w:tc>
        <w:tc>
          <w:tcPr>
            <w:tcW w:w="1124" w:type="dxa"/>
            <w:vMerge w:val="restart"/>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受煤坑</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座，尺寸为长</w:t>
            </w:r>
            <w:r>
              <w:rPr>
                <w:rFonts w:ascii="宋体" w:hAnsi="宋体" w:eastAsia="宋体" w:cs="Times New Roman"/>
              </w:rPr>
              <w:t>7m</w:t>
            </w:r>
            <w:r>
              <w:rPr>
                <w:rFonts w:hint="eastAsia" w:ascii="宋体" w:hAnsi="宋体" w:eastAsia="宋体"/>
              </w:rPr>
              <w:t>、宽</w:t>
            </w:r>
            <w:r>
              <w:rPr>
                <w:rFonts w:ascii="宋体" w:hAnsi="宋体" w:eastAsia="宋体" w:cs="Times New Roman"/>
              </w:rPr>
              <w:t>5m</w:t>
            </w:r>
            <w:r>
              <w:rPr>
                <w:rFonts w:hint="eastAsia" w:ascii="宋体" w:hAnsi="宋体" w:eastAsia="宋体"/>
              </w:rPr>
              <w:t>、深</w:t>
            </w:r>
            <w:r>
              <w:rPr>
                <w:rFonts w:ascii="宋体" w:hAnsi="宋体" w:eastAsia="宋体" w:cs="Times New Roman"/>
              </w:rPr>
              <w:t>6.8m</w:t>
            </w:r>
            <w:r>
              <w:rPr>
                <w:rFonts w:hint="eastAsia" w:ascii="宋体" w:hAnsi="宋体" w:eastAsia="宋体"/>
              </w:rPr>
              <w:t>，地下钢筋混凝土结构</w:t>
            </w:r>
          </w:p>
        </w:tc>
        <w:tc>
          <w:tcPr>
            <w:tcW w:w="4388" w:type="dxa"/>
            <w:gridSpan w:val="4"/>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1124" w:type="dxa"/>
            <w:vMerge w:val="continue"/>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firstLine="360"/>
              <w:rPr>
                <w:rFonts w:ascii="宋体" w:hAnsi="宋体"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restart"/>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辅助工程</w:t>
            </w:r>
          </w:p>
          <w:p>
            <w:pPr>
              <w:pStyle w:val="66"/>
              <w:adjustRightInd w:val="0"/>
              <w:spacing w:line="240" w:lineRule="atLeast"/>
              <w:ind w:left="0" w:leftChars="0" w:right="0" w:firstLine="360"/>
              <w:rPr>
                <w:rFonts w:ascii="宋体" w:hAnsi="宋体" w:eastAsia="宋体" w:cs="Times New Roman"/>
              </w:rPr>
            </w:pPr>
          </w:p>
        </w:tc>
        <w:tc>
          <w:tcPr>
            <w:tcW w:w="703"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火车受煤系统</w:t>
            </w:r>
          </w:p>
        </w:tc>
        <w:tc>
          <w:tcPr>
            <w:tcW w:w="870"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转运站及皮带通廊</w:t>
            </w: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A101-A104</w:t>
            </w:r>
            <w:r>
              <w:rPr>
                <w:rFonts w:hint="eastAsia" w:ascii="宋体" w:hAnsi="宋体" w:eastAsia="宋体"/>
              </w:rPr>
              <w:t>转运站</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4</w:t>
            </w:r>
            <w:r>
              <w:rPr>
                <w:rFonts w:hint="eastAsia" w:ascii="宋体" w:hAnsi="宋体" w:eastAsia="宋体"/>
              </w:rPr>
              <w:t>座转运站，建筑面积均为</w:t>
            </w:r>
            <w:r>
              <w:rPr>
                <w:rFonts w:ascii="宋体" w:hAnsi="宋体" w:eastAsia="宋体" w:cs="Times New Roman"/>
              </w:rPr>
              <w:t>72m²</w:t>
            </w:r>
            <w:r>
              <w:rPr>
                <w:rFonts w:hint="eastAsia" w:ascii="宋体" w:hAnsi="宋体" w:eastAsia="宋体"/>
              </w:rPr>
              <w:t>，地下为钢筋混凝土结构，地上为钢筋混凝土框架结构，全封闭；</w:t>
            </w:r>
          </w:p>
        </w:tc>
        <w:tc>
          <w:tcPr>
            <w:tcW w:w="681"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现有火车受煤系统转运站及皮带通廊</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A101-A104</w:t>
            </w:r>
            <w:r>
              <w:rPr>
                <w:rFonts w:hint="eastAsia" w:ascii="宋体" w:hAnsi="宋体" w:eastAsia="宋体"/>
              </w:rPr>
              <w:t>转运站</w:t>
            </w:r>
          </w:p>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保留现有设施</w:t>
            </w:r>
          </w:p>
        </w:tc>
        <w:tc>
          <w:tcPr>
            <w:tcW w:w="567"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现有火车受煤系统转运站及皮带通廊</w:t>
            </w: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w:t>
            </w:r>
            <w:r>
              <w:rPr>
                <w:rFonts w:ascii="宋体" w:hAnsi="宋体" w:eastAsia="宋体" w:cs="Times New Roman"/>
              </w:rPr>
              <w:t>A101-A104</w:t>
            </w:r>
            <w:r>
              <w:rPr>
                <w:rFonts w:hint="eastAsia" w:ascii="宋体" w:hAnsi="宋体" w:eastAsia="宋体"/>
              </w:rPr>
              <w:t>转运站设施。</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地上通廊</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长度</w:t>
            </w:r>
            <w:r>
              <w:rPr>
                <w:rFonts w:ascii="宋体" w:hAnsi="宋体" w:eastAsia="宋体" w:cs="Times New Roman"/>
              </w:rPr>
              <w:t>380</w:t>
            </w:r>
            <w:r>
              <w:rPr>
                <w:rFonts w:hint="eastAsia" w:ascii="宋体" w:hAnsi="宋体" w:eastAsia="宋体"/>
              </w:rPr>
              <w:t>米，截面尺寸为</w:t>
            </w:r>
            <w:r>
              <w:rPr>
                <w:rFonts w:ascii="宋体" w:hAnsi="宋体" w:eastAsia="宋体" w:cs="Times New Roman"/>
              </w:rPr>
              <w:t>4x2.5m2</w:t>
            </w:r>
            <w:r>
              <w:rPr>
                <w:rFonts w:hint="eastAsia" w:ascii="宋体" w:hAnsi="宋体" w:eastAsia="宋体"/>
              </w:rPr>
              <w:t>，结构为钢筋混凝土结构。</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地上通廊</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保留现有设施</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保留现有</w:t>
            </w:r>
            <w:r>
              <w:rPr>
                <w:rFonts w:ascii="宋体" w:hAnsi="宋体" w:eastAsia="宋体" w:cs="Times New Roman"/>
              </w:rPr>
              <w:t>1#</w:t>
            </w:r>
            <w:r>
              <w:rPr>
                <w:rFonts w:hint="eastAsia" w:ascii="宋体" w:hAnsi="宋体" w:eastAsia="宋体"/>
              </w:rPr>
              <w:t>地上通廊设施。</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B201</w:t>
            </w:r>
            <w:r>
              <w:rPr>
                <w:rFonts w:hint="eastAsia" w:ascii="宋体" w:hAnsi="宋体" w:eastAsia="宋体"/>
              </w:rPr>
              <w:t>转运站</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建筑面积</w:t>
            </w:r>
            <w:r>
              <w:rPr>
                <w:rFonts w:ascii="宋体" w:hAnsi="宋体" w:eastAsia="宋体" w:cs="Times New Roman"/>
              </w:rPr>
              <w:t>72m2</w:t>
            </w:r>
            <w:r>
              <w:rPr>
                <w:rFonts w:hint="eastAsia" w:ascii="宋体" w:hAnsi="宋体" w:eastAsia="宋体"/>
              </w:rPr>
              <w:t>，地下为钢筋混凝土结构，地上为钢筋混凝土框架结构，全封闭；</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50"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B201</w:t>
            </w:r>
            <w:r>
              <w:rPr>
                <w:rFonts w:hint="eastAsia" w:ascii="宋体" w:hAnsi="宋体" w:eastAsia="宋体"/>
              </w:rPr>
              <w:t>转运站</w:t>
            </w:r>
          </w:p>
        </w:tc>
        <w:tc>
          <w:tcPr>
            <w:tcW w:w="285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转运站内增加一层钢平台，便于新旧火车运煤系统衔接落料</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在</w:t>
            </w:r>
            <w:r>
              <w:rPr>
                <w:rFonts w:ascii="宋体" w:hAnsi="宋体" w:eastAsia="宋体" w:cs="Times New Roman"/>
              </w:rPr>
              <w:t>B201</w:t>
            </w:r>
            <w:r>
              <w:rPr>
                <w:rFonts w:hint="eastAsia" w:ascii="宋体" w:hAnsi="宋体" w:eastAsia="宋体"/>
              </w:rPr>
              <w:t>转运站内增加一层钢平台。</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2#</w:t>
            </w:r>
            <w:r>
              <w:rPr>
                <w:rFonts w:hint="eastAsia" w:ascii="宋体" w:hAnsi="宋体" w:eastAsia="宋体"/>
              </w:rPr>
              <w:t>地下通廊</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长度</w:t>
            </w:r>
            <w:r>
              <w:rPr>
                <w:rFonts w:ascii="宋体" w:hAnsi="宋体" w:eastAsia="宋体" w:cs="Times New Roman"/>
              </w:rPr>
              <w:t>86.8</w:t>
            </w:r>
            <w:r>
              <w:rPr>
                <w:rFonts w:hint="eastAsia" w:ascii="宋体" w:hAnsi="宋体" w:eastAsia="宋体"/>
              </w:rPr>
              <w:t>米，截面尺寸为</w:t>
            </w:r>
            <w:r>
              <w:rPr>
                <w:rFonts w:ascii="宋体" w:hAnsi="宋体" w:eastAsia="宋体" w:cs="Times New Roman"/>
              </w:rPr>
              <w:t>4x3m2</w:t>
            </w:r>
            <w:r>
              <w:rPr>
                <w:rFonts w:hint="eastAsia" w:ascii="宋体" w:hAnsi="宋体" w:eastAsia="宋体"/>
              </w:rPr>
              <w:t>，结构形式为钢筋混凝土结构。</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50" w:type="dxa"/>
            <w:gridSpan w:val="2"/>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地下及地上皮带通廊</w:t>
            </w:r>
          </w:p>
        </w:tc>
        <w:tc>
          <w:tcPr>
            <w:tcW w:w="2857"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全部保留现有设施</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全部保留现有地下及地上皮带通廊设施。</w:t>
            </w:r>
          </w:p>
        </w:tc>
        <w:tc>
          <w:tcPr>
            <w:tcW w:w="1124" w:type="dxa"/>
            <w:vMerge w:val="restart"/>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2"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2#</w:t>
            </w:r>
            <w:r>
              <w:rPr>
                <w:rFonts w:hint="eastAsia" w:ascii="宋体" w:hAnsi="宋体" w:eastAsia="宋体"/>
              </w:rPr>
              <w:t>地上通廊</w:t>
            </w:r>
          </w:p>
        </w:tc>
        <w:tc>
          <w:tcPr>
            <w:tcW w:w="2154"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长度</w:t>
            </w:r>
            <w:r>
              <w:rPr>
                <w:rFonts w:ascii="宋体" w:hAnsi="宋体" w:eastAsia="宋体" w:cs="Times New Roman"/>
              </w:rPr>
              <w:t>179</w:t>
            </w:r>
            <w:r>
              <w:rPr>
                <w:rFonts w:hint="eastAsia" w:ascii="宋体" w:hAnsi="宋体" w:eastAsia="宋体"/>
              </w:rPr>
              <w:t>米，截面尺寸为</w:t>
            </w:r>
            <w:r>
              <w:rPr>
                <w:rFonts w:ascii="宋体" w:hAnsi="宋体" w:eastAsia="宋体" w:cs="Times New Roman"/>
              </w:rPr>
              <w:t>4x2.5m²</w:t>
            </w:r>
            <w:r>
              <w:rPr>
                <w:rFonts w:hint="eastAsia" w:ascii="宋体" w:hAnsi="宋体" w:eastAsia="宋体"/>
              </w:rPr>
              <w:t>，结构形式为钢筋混凝土结构。</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50" w:type="dxa"/>
            <w:gridSpan w:val="2"/>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285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1124" w:type="dxa"/>
            <w:vMerge w:val="continue"/>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firstLine="360"/>
              <w:rPr>
                <w:rFonts w:ascii="宋体" w:hAnsi="宋体"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2154"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681"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新增火车受煤系统转运站及皮带通廊</w:t>
            </w:r>
          </w:p>
        </w:tc>
        <w:tc>
          <w:tcPr>
            <w:tcW w:w="850"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转运站</w:t>
            </w:r>
          </w:p>
        </w:tc>
        <w:tc>
          <w:tcPr>
            <w:tcW w:w="285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3</w:t>
            </w:r>
            <w:r>
              <w:rPr>
                <w:rFonts w:hint="eastAsia" w:ascii="宋体" w:hAnsi="宋体" w:eastAsia="宋体"/>
              </w:rPr>
              <w:t>座，建筑面积分别为</w:t>
            </w:r>
            <w:r>
              <w:rPr>
                <w:rFonts w:ascii="宋体" w:hAnsi="宋体" w:eastAsia="宋体" w:cs="Times New Roman"/>
              </w:rPr>
              <w:t>72m²</w:t>
            </w:r>
            <w:r>
              <w:rPr>
                <w:rFonts w:hint="eastAsia" w:ascii="宋体" w:hAnsi="宋体" w:eastAsia="宋体"/>
              </w:rPr>
              <w:t>、</w:t>
            </w:r>
            <w:r>
              <w:rPr>
                <w:rFonts w:ascii="宋体" w:hAnsi="宋体" w:eastAsia="宋体" w:cs="Times New Roman"/>
              </w:rPr>
              <w:t>48m²</w:t>
            </w:r>
            <w:r>
              <w:rPr>
                <w:rFonts w:hint="eastAsia" w:ascii="宋体" w:hAnsi="宋体" w:eastAsia="宋体"/>
              </w:rPr>
              <w:t>、</w:t>
            </w:r>
            <w:r>
              <w:rPr>
                <w:rFonts w:ascii="宋体" w:hAnsi="宋体" w:eastAsia="宋体" w:cs="Times New Roman"/>
              </w:rPr>
              <w:t>64m²</w:t>
            </w:r>
            <w:r>
              <w:rPr>
                <w:rFonts w:hint="eastAsia" w:ascii="宋体" w:hAnsi="宋体" w:eastAsia="宋体"/>
              </w:rPr>
              <w:t>，地坑均为钢筋混凝土结构，地上均为钢筋混凝土框架结构，全封闭；</w:t>
            </w:r>
          </w:p>
        </w:tc>
        <w:tc>
          <w:tcPr>
            <w:tcW w:w="567"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新增火车受煤系统转运站及皮带通廊</w:t>
            </w: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新建</w:t>
            </w:r>
            <w:r>
              <w:rPr>
                <w:rFonts w:ascii="宋体" w:hAnsi="宋体" w:eastAsia="宋体" w:cs="Times New Roman"/>
              </w:rPr>
              <w:t>3</w:t>
            </w:r>
            <w:r>
              <w:rPr>
                <w:rFonts w:hint="eastAsia" w:ascii="宋体" w:hAnsi="宋体" w:eastAsia="宋体"/>
              </w:rPr>
              <w:t>座转运站，建筑面积分别为</w:t>
            </w:r>
            <w:r>
              <w:rPr>
                <w:rFonts w:ascii="宋体" w:hAnsi="宋体" w:eastAsia="宋体" w:cs="Times New Roman"/>
              </w:rPr>
              <w:t>72m²</w:t>
            </w:r>
            <w:r>
              <w:rPr>
                <w:rFonts w:hint="eastAsia" w:ascii="宋体" w:hAnsi="宋体" w:eastAsia="宋体"/>
              </w:rPr>
              <w:t>、</w:t>
            </w:r>
            <w:r>
              <w:rPr>
                <w:rFonts w:ascii="宋体" w:hAnsi="宋体" w:eastAsia="宋体" w:cs="Times New Roman"/>
              </w:rPr>
              <w:t>48m²</w:t>
            </w:r>
            <w:r>
              <w:rPr>
                <w:rFonts w:hint="eastAsia" w:ascii="宋体" w:hAnsi="宋体" w:eastAsia="宋体"/>
              </w:rPr>
              <w:t>、</w:t>
            </w:r>
            <w:r>
              <w:rPr>
                <w:rFonts w:ascii="宋体" w:hAnsi="宋体" w:eastAsia="宋体" w:cs="Times New Roman"/>
              </w:rPr>
              <w:t>64m²</w:t>
            </w:r>
            <w:r>
              <w:rPr>
                <w:rFonts w:hint="eastAsia" w:ascii="宋体" w:hAnsi="宋体" w:eastAsia="宋体"/>
              </w:rPr>
              <w:t>，地坑均为钢筋混凝土结构，地上均为钢筋混凝土框架结构，全封闭。</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2154"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50"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皮带通廊</w:t>
            </w:r>
          </w:p>
        </w:tc>
        <w:tc>
          <w:tcPr>
            <w:tcW w:w="285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3</w:t>
            </w:r>
            <w:r>
              <w:rPr>
                <w:rFonts w:hint="eastAsia" w:ascii="宋体" w:hAnsi="宋体" w:eastAsia="宋体"/>
              </w:rPr>
              <w:t>条，全部为地下通廊，长度分别为</w:t>
            </w:r>
            <w:r>
              <w:rPr>
                <w:rFonts w:ascii="宋体" w:hAnsi="宋体" w:eastAsia="宋体" w:cs="Times New Roman"/>
              </w:rPr>
              <w:t>86.8m</w:t>
            </w:r>
            <w:r>
              <w:rPr>
                <w:rFonts w:hint="eastAsia" w:ascii="宋体" w:hAnsi="宋体" w:eastAsia="宋体"/>
              </w:rPr>
              <w:t>、</w:t>
            </w:r>
            <w:r>
              <w:rPr>
                <w:rFonts w:ascii="宋体" w:hAnsi="宋体" w:eastAsia="宋体" w:cs="Times New Roman"/>
              </w:rPr>
              <w:t>48.37m</w:t>
            </w:r>
            <w:r>
              <w:rPr>
                <w:rFonts w:hint="eastAsia" w:ascii="宋体" w:hAnsi="宋体" w:eastAsia="宋体"/>
              </w:rPr>
              <w:t>、</w:t>
            </w:r>
            <w:r>
              <w:rPr>
                <w:rFonts w:ascii="宋体" w:hAnsi="宋体" w:eastAsia="宋体" w:cs="Times New Roman"/>
              </w:rPr>
              <w:t>18.1m</w:t>
            </w:r>
            <w:r>
              <w:rPr>
                <w:rFonts w:hint="eastAsia" w:ascii="宋体" w:hAnsi="宋体" w:eastAsia="宋体"/>
              </w:rPr>
              <w:t>，截面尺寸均为为</w:t>
            </w:r>
            <w:r>
              <w:rPr>
                <w:rFonts w:ascii="宋体" w:hAnsi="宋体" w:eastAsia="宋体" w:cs="Times New Roman"/>
              </w:rPr>
              <w:t>4x3m²</w:t>
            </w:r>
            <w:r>
              <w:rPr>
                <w:rFonts w:hint="eastAsia" w:ascii="宋体" w:hAnsi="宋体" w:eastAsia="宋体"/>
              </w:rPr>
              <w:t>，结构形式均为钢筋混凝土结构。</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新建</w:t>
            </w:r>
            <w:r>
              <w:rPr>
                <w:rFonts w:ascii="宋体" w:hAnsi="宋体" w:eastAsia="宋体" w:cs="Times New Roman"/>
              </w:rPr>
              <w:t>3</w:t>
            </w:r>
            <w:r>
              <w:rPr>
                <w:rFonts w:hint="eastAsia" w:ascii="宋体" w:hAnsi="宋体" w:eastAsia="宋体"/>
              </w:rPr>
              <w:t>条皮带通廊，全部为地下通廊，长度分别为</w:t>
            </w:r>
            <w:r>
              <w:rPr>
                <w:rFonts w:ascii="宋体" w:hAnsi="宋体" w:eastAsia="宋体" w:cs="Times New Roman"/>
              </w:rPr>
              <w:t>86.8m</w:t>
            </w:r>
            <w:r>
              <w:rPr>
                <w:rFonts w:hint="eastAsia" w:ascii="宋体" w:hAnsi="宋体" w:eastAsia="宋体"/>
              </w:rPr>
              <w:t>、</w:t>
            </w:r>
            <w:r>
              <w:rPr>
                <w:rFonts w:ascii="宋体" w:hAnsi="宋体" w:eastAsia="宋体" w:cs="Times New Roman"/>
              </w:rPr>
              <w:t>48.37m</w:t>
            </w:r>
            <w:r>
              <w:rPr>
                <w:rFonts w:hint="eastAsia" w:ascii="宋体" w:hAnsi="宋体" w:eastAsia="宋体"/>
              </w:rPr>
              <w:t>、</w:t>
            </w:r>
            <w:r>
              <w:rPr>
                <w:rFonts w:ascii="宋体" w:hAnsi="宋体" w:eastAsia="宋体" w:cs="Times New Roman"/>
              </w:rPr>
              <w:t>18.1m</w:t>
            </w:r>
            <w:r>
              <w:rPr>
                <w:rFonts w:hint="eastAsia" w:ascii="宋体" w:hAnsi="宋体" w:eastAsia="宋体"/>
              </w:rPr>
              <w:t>，截面尺寸均为为</w:t>
            </w:r>
            <w:r>
              <w:rPr>
                <w:rFonts w:ascii="宋体" w:hAnsi="宋体" w:eastAsia="宋体" w:cs="Times New Roman"/>
              </w:rPr>
              <w:t>4x3m²</w:t>
            </w:r>
            <w:r>
              <w:rPr>
                <w:rFonts w:hint="eastAsia" w:ascii="宋体" w:hAnsi="宋体" w:eastAsia="宋体"/>
              </w:rPr>
              <w:t>，结构形式均为钢筋混凝土结构。</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2154"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50"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管带机通廊</w:t>
            </w:r>
          </w:p>
        </w:tc>
        <w:tc>
          <w:tcPr>
            <w:tcW w:w="285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地上通廊，长度</w:t>
            </w:r>
            <w:r>
              <w:rPr>
                <w:rFonts w:ascii="宋体" w:hAnsi="宋体" w:eastAsia="宋体" w:cs="Times New Roman"/>
              </w:rPr>
              <w:t>490.8m</w:t>
            </w:r>
            <w:r>
              <w:rPr>
                <w:rFonts w:hint="eastAsia" w:ascii="宋体" w:hAnsi="宋体" w:eastAsia="宋体"/>
              </w:rPr>
              <w:t>，管径</w:t>
            </w:r>
            <w:r>
              <w:rPr>
                <w:rFonts w:ascii="宋体" w:hAnsi="宋体" w:eastAsia="宋体" w:cs="Times New Roman"/>
              </w:rPr>
              <w:t>400mm</w:t>
            </w:r>
            <w:r>
              <w:rPr>
                <w:rFonts w:hint="eastAsia" w:ascii="宋体" w:hAnsi="宋体" w:eastAsia="宋体"/>
              </w:rPr>
              <w:t>，支架和通廊均为钢结构，基础为：低支架基础为钢筋混凝土独立基础，高支架基础为钢筋混凝土桩基础。</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新建</w:t>
            </w:r>
            <w:r>
              <w:rPr>
                <w:rFonts w:ascii="宋体" w:hAnsi="宋体" w:eastAsia="宋体" w:cs="Times New Roman"/>
              </w:rPr>
              <w:t>2</w:t>
            </w:r>
            <w:r>
              <w:rPr>
                <w:rFonts w:hint="eastAsia" w:ascii="宋体" w:hAnsi="宋体" w:eastAsia="宋体"/>
              </w:rPr>
              <w:t>条地上管带机通廊，水平长度分别为</w:t>
            </w:r>
            <w:r>
              <w:rPr>
                <w:rFonts w:ascii="宋体" w:hAnsi="宋体" w:eastAsia="宋体" w:cs="Times New Roman"/>
              </w:rPr>
              <w:t>219.2m</w:t>
            </w:r>
            <w:r>
              <w:rPr>
                <w:rFonts w:hint="eastAsia" w:ascii="宋体" w:hAnsi="宋体" w:eastAsia="宋体"/>
              </w:rPr>
              <w:t>、</w:t>
            </w:r>
            <w:r>
              <w:rPr>
                <w:rFonts w:ascii="宋体" w:hAnsi="宋体" w:eastAsia="宋体" w:cs="Times New Roman"/>
              </w:rPr>
              <w:t>147m</w:t>
            </w:r>
            <w:r>
              <w:rPr>
                <w:rFonts w:hint="eastAsia" w:ascii="宋体" w:hAnsi="宋体" w:eastAsia="宋体"/>
              </w:rPr>
              <w:t>，管径均为</w:t>
            </w:r>
            <w:r>
              <w:rPr>
                <w:rFonts w:ascii="宋体" w:hAnsi="宋体" w:eastAsia="宋体" w:cs="Times New Roman"/>
              </w:rPr>
              <w:t>400mm</w:t>
            </w:r>
            <w:r>
              <w:rPr>
                <w:rFonts w:hint="eastAsia" w:ascii="宋体" w:hAnsi="宋体" w:eastAsia="宋体"/>
              </w:rPr>
              <w:t>，支架和通廊均为钢结构，基础为低支架基础为钢筋混凝土独立基础，高支架基础为钢筋混凝土桩基础。</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基本一致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80"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汽车受煤系统</w:t>
            </w:r>
          </w:p>
        </w:tc>
        <w:tc>
          <w:tcPr>
            <w:tcW w:w="870"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转运站及皮带通廊</w:t>
            </w: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号转运站</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座，建筑面积</w:t>
            </w:r>
            <w:r>
              <w:rPr>
                <w:rFonts w:ascii="宋体" w:hAnsi="宋体" w:eastAsia="宋体" w:cs="Times New Roman"/>
              </w:rPr>
              <w:t>110m²</w:t>
            </w:r>
            <w:r>
              <w:rPr>
                <w:rFonts w:hint="eastAsia" w:ascii="宋体" w:hAnsi="宋体" w:eastAsia="宋体"/>
              </w:rPr>
              <w:t>、高</w:t>
            </w:r>
            <w:r>
              <w:rPr>
                <w:rFonts w:ascii="宋体" w:hAnsi="宋体" w:eastAsia="宋体" w:cs="Times New Roman"/>
              </w:rPr>
              <w:t>18m</w:t>
            </w:r>
            <w:r>
              <w:rPr>
                <w:rFonts w:hint="eastAsia" w:ascii="宋体" w:hAnsi="宋体" w:eastAsia="宋体"/>
              </w:rPr>
              <w:t>，砖混结构</w:t>
            </w:r>
          </w:p>
        </w:tc>
        <w:tc>
          <w:tcPr>
            <w:tcW w:w="681"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汽车受煤系统转运站及皮带通廊</w:t>
            </w:r>
          </w:p>
        </w:tc>
        <w:tc>
          <w:tcPr>
            <w:tcW w:w="850"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号转运站</w:t>
            </w:r>
          </w:p>
        </w:tc>
        <w:tc>
          <w:tcPr>
            <w:tcW w:w="2857"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技改后停运，保留现有设施，作为火车运煤系统无法启运情况下的应急备用运煤系统。</w:t>
            </w:r>
          </w:p>
        </w:tc>
        <w:tc>
          <w:tcPr>
            <w:tcW w:w="567"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汽车受煤系统转运站及皮带通廊</w:t>
            </w:r>
          </w:p>
        </w:tc>
        <w:tc>
          <w:tcPr>
            <w:tcW w:w="3088" w:type="dxa"/>
            <w:gridSpan w:val="2"/>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停运，保留现有</w:t>
            </w:r>
            <w:r>
              <w:rPr>
                <w:rFonts w:ascii="宋体" w:hAnsi="宋体" w:eastAsia="宋体" w:cs="Times New Roman"/>
              </w:rPr>
              <w:t>1</w:t>
            </w:r>
            <w:r>
              <w:rPr>
                <w:rFonts w:hint="eastAsia" w:ascii="宋体" w:hAnsi="宋体" w:eastAsia="宋体"/>
              </w:rPr>
              <w:t>号转运站和</w:t>
            </w:r>
            <w:r>
              <w:rPr>
                <w:rFonts w:ascii="宋体" w:hAnsi="宋体" w:eastAsia="宋体" w:cs="Times New Roman"/>
              </w:rPr>
              <w:t>2</w:t>
            </w:r>
            <w:r>
              <w:rPr>
                <w:rFonts w:hint="eastAsia" w:ascii="宋体" w:hAnsi="宋体" w:eastAsia="宋体"/>
              </w:rPr>
              <w:t>号转运站设施，作为火车运煤系统无法启运情况下的应急备用运煤系统。</w:t>
            </w:r>
          </w:p>
        </w:tc>
        <w:tc>
          <w:tcPr>
            <w:tcW w:w="1124" w:type="dxa"/>
            <w:vMerge w:val="restart"/>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4"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2</w:t>
            </w:r>
            <w:r>
              <w:rPr>
                <w:rFonts w:hint="eastAsia" w:ascii="宋体" w:hAnsi="宋体" w:eastAsia="宋体"/>
              </w:rPr>
              <w:t>号转运站</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座，建筑面积</w:t>
            </w:r>
            <w:r>
              <w:rPr>
                <w:rFonts w:ascii="宋体" w:hAnsi="宋体" w:eastAsia="宋体" w:cs="Times New Roman"/>
              </w:rPr>
              <w:t>110m²</w:t>
            </w:r>
            <w:r>
              <w:rPr>
                <w:rFonts w:hint="eastAsia" w:ascii="宋体" w:hAnsi="宋体" w:eastAsia="宋体"/>
              </w:rPr>
              <w:t>、高</w:t>
            </w:r>
            <w:r>
              <w:rPr>
                <w:rFonts w:ascii="宋体" w:hAnsi="宋体" w:eastAsia="宋体" w:cs="Times New Roman"/>
              </w:rPr>
              <w:t>31m</w:t>
            </w:r>
            <w:r>
              <w:rPr>
                <w:rFonts w:hint="eastAsia" w:ascii="宋体" w:hAnsi="宋体" w:eastAsia="宋体"/>
              </w:rPr>
              <w:t>，砖混结构</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50"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2</w:t>
            </w:r>
            <w:r>
              <w:rPr>
                <w:rFonts w:hint="eastAsia" w:ascii="宋体" w:hAnsi="宋体" w:eastAsia="宋体"/>
              </w:rPr>
              <w:t>号转运站</w:t>
            </w:r>
          </w:p>
        </w:tc>
        <w:tc>
          <w:tcPr>
            <w:tcW w:w="285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firstLine="360"/>
              <w:rPr>
                <w:rFonts w:ascii="宋体" w:hAnsi="宋体" w:eastAsia="宋体" w:cs="Times New Roman"/>
              </w:rPr>
            </w:pPr>
          </w:p>
        </w:tc>
        <w:tc>
          <w:tcPr>
            <w:tcW w:w="3088" w:type="dxa"/>
            <w:gridSpan w:val="2"/>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1124" w:type="dxa"/>
            <w:vMerge w:val="continue"/>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firstLine="360"/>
              <w:rPr>
                <w:rFonts w:ascii="宋体" w:hAnsi="宋体" w:eastAsia="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9"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3</w:t>
            </w:r>
            <w:r>
              <w:rPr>
                <w:rFonts w:hint="eastAsia" w:ascii="宋体" w:hAnsi="宋体" w:eastAsia="宋体"/>
              </w:rPr>
              <w:t>号转运站</w:t>
            </w:r>
          </w:p>
        </w:tc>
        <w:tc>
          <w:tcPr>
            <w:tcW w:w="2154"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1</w:t>
            </w:r>
            <w:r>
              <w:rPr>
                <w:rFonts w:hint="eastAsia" w:ascii="宋体" w:hAnsi="宋体" w:eastAsia="宋体"/>
              </w:rPr>
              <w:t>座，建筑面积</w:t>
            </w:r>
            <w:r>
              <w:rPr>
                <w:rFonts w:ascii="宋体" w:hAnsi="宋体" w:eastAsia="宋体" w:cs="Times New Roman"/>
              </w:rPr>
              <w:t>110m²</w:t>
            </w:r>
            <w:r>
              <w:rPr>
                <w:rFonts w:hint="eastAsia" w:ascii="宋体" w:hAnsi="宋体" w:eastAsia="宋体"/>
              </w:rPr>
              <w:t>、高</w:t>
            </w:r>
            <w:r>
              <w:rPr>
                <w:rFonts w:ascii="宋体" w:hAnsi="宋体" w:eastAsia="宋体" w:cs="Times New Roman"/>
              </w:rPr>
              <w:t>44m</w:t>
            </w:r>
            <w:r>
              <w:rPr>
                <w:rFonts w:hint="eastAsia" w:ascii="宋体" w:hAnsi="宋体" w:eastAsia="宋体"/>
              </w:rPr>
              <w:t>，砖混结构</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50"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3</w:t>
            </w:r>
            <w:r>
              <w:rPr>
                <w:rFonts w:hint="eastAsia" w:ascii="宋体" w:hAnsi="宋体" w:eastAsia="宋体"/>
              </w:rPr>
              <w:t>号转运站</w:t>
            </w:r>
          </w:p>
        </w:tc>
        <w:tc>
          <w:tcPr>
            <w:tcW w:w="285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转运站内增加一层钢平台，便于新旧运煤系统衔接落料</w:t>
            </w:r>
          </w:p>
        </w:tc>
        <w:tc>
          <w:tcPr>
            <w:tcW w:w="567"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ascii="宋体" w:hAnsi="宋体" w:eastAsia="宋体" w:cs="Times New Roman"/>
              </w:rPr>
              <w:t>3</w:t>
            </w:r>
            <w:r>
              <w:rPr>
                <w:rFonts w:hint="eastAsia" w:ascii="宋体" w:hAnsi="宋体" w:eastAsia="宋体"/>
              </w:rPr>
              <w:t>号转运站内增加一层钢平台，便于新旧运煤系统衔接落料。</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4436" w:type="dxa"/>
            <w:gridSpan w:val="4"/>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r>
              <w:rPr>
                <w:rFonts w:ascii="宋体" w:hAnsi="宋体" w:eastAsia="宋体" w:cs="Times New Roman"/>
              </w:rPr>
              <w:t>--</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挡土墙</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在新建火车运煤线东侧，设</w:t>
            </w:r>
            <w:r>
              <w:rPr>
                <w:rFonts w:ascii="宋体" w:hAnsi="宋体" w:eastAsia="宋体" w:cs="Times New Roman"/>
              </w:rPr>
              <w:t>450m</w:t>
            </w:r>
            <w:r>
              <w:rPr>
                <w:rFonts w:hint="eastAsia" w:ascii="宋体" w:hAnsi="宋体" w:eastAsia="宋体"/>
              </w:rPr>
              <w:t>长的挡土墙，钢筋混凝土挡土墙，高度</w:t>
            </w:r>
            <w:r>
              <w:rPr>
                <w:rFonts w:ascii="宋体" w:hAnsi="宋体" w:eastAsia="宋体" w:cs="Times New Roman"/>
              </w:rPr>
              <w:t>4m</w:t>
            </w:r>
            <w:r>
              <w:rPr>
                <w:rFonts w:hint="eastAsia" w:ascii="宋体" w:hAnsi="宋体" w:eastAsia="宋体"/>
              </w:rPr>
              <w:t>，上部加设</w:t>
            </w:r>
            <w:r>
              <w:rPr>
                <w:rFonts w:ascii="宋体" w:hAnsi="宋体" w:eastAsia="宋体" w:cs="Times New Roman"/>
              </w:rPr>
              <w:t>2m</w:t>
            </w:r>
            <w:r>
              <w:rPr>
                <w:rFonts w:hint="eastAsia" w:ascii="宋体" w:hAnsi="宋体" w:eastAsia="宋体"/>
              </w:rPr>
              <w:t>高砖围墙，南北两侧设置透视围墙；</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挡土墙</w:t>
            </w:r>
          </w:p>
        </w:tc>
        <w:tc>
          <w:tcPr>
            <w:tcW w:w="307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新建火车运煤线东侧设</w:t>
            </w:r>
            <w:r>
              <w:rPr>
                <w:rFonts w:ascii="宋体" w:hAnsi="宋体" w:eastAsia="宋体" w:cs="Times New Roman"/>
              </w:rPr>
              <w:t>450m</w:t>
            </w:r>
            <w:r>
              <w:rPr>
                <w:rFonts w:hint="eastAsia" w:ascii="宋体" w:hAnsi="宋体" w:eastAsia="宋体"/>
              </w:rPr>
              <w:t>长的钢筋混凝土挡土墙，高度</w:t>
            </w:r>
            <w:r>
              <w:rPr>
                <w:rFonts w:ascii="宋体" w:hAnsi="宋体" w:eastAsia="宋体" w:cs="Times New Roman"/>
              </w:rPr>
              <w:t>4m</w:t>
            </w:r>
            <w:r>
              <w:rPr>
                <w:rFonts w:hint="eastAsia" w:ascii="宋体" w:hAnsi="宋体" w:eastAsia="宋体"/>
              </w:rPr>
              <w:t>，上部加设</w:t>
            </w:r>
            <w:r>
              <w:rPr>
                <w:rFonts w:ascii="宋体" w:hAnsi="宋体" w:eastAsia="宋体" w:cs="Times New Roman"/>
              </w:rPr>
              <w:t>2m</w:t>
            </w:r>
            <w:r>
              <w:rPr>
                <w:rFonts w:hint="eastAsia" w:ascii="宋体" w:hAnsi="宋体" w:eastAsia="宋体"/>
              </w:rPr>
              <w:t>高砖围墙，南北两侧设置透视围墙。</w:t>
            </w:r>
          </w:p>
        </w:tc>
        <w:tc>
          <w:tcPr>
            <w:tcW w:w="1134" w:type="dxa"/>
            <w:gridSpan w:val="2"/>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restart"/>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公用工程</w:t>
            </w: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火车信号系统</w:t>
            </w:r>
          </w:p>
        </w:tc>
        <w:tc>
          <w:tcPr>
            <w:tcW w:w="3733"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由太钢厂区内火车信号系统控制中心统一控制</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火车信号系统</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Times New Roman"/>
              </w:rPr>
            </w:pPr>
            <w:r>
              <w:rPr>
                <w:rFonts w:hint="eastAsia" w:ascii="宋体" w:hAnsi="宋体" w:eastAsia="宋体" w:cs="宋体"/>
              </w:rPr>
              <w:t>由太钢厂区内火车信号系统控制中心统一控制</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火车信号系统</w:t>
            </w:r>
          </w:p>
        </w:tc>
        <w:tc>
          <w:tcPr>
            <w:tcW w:w="307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由太钢厂区内火车信号系统控制中心统一控制。</w:t>
            </w:r>
          </w:p>
        </w:tc>
        <w:tc>
          <w:tcPr>
            <w:tcW w:w="1134" w:type="dxa"/>
            <w:gridSpan w:val="2"/>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08"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供电</w:t>
            </w:r>
          </w:p>
        </w:tc>
        <w:tc>
          <w:tcPr>
            <w:tcW w:w="3733"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受煤系统用电电源引自焦化厂内变压器，由焦化厂配电室统一控制。</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供电</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新增火车受煤系统用电引自焦化厂内现有变压器，由现有配电室统一控制</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供电</w:t>
            </w:r>
          </w:p>
        </w:tc>
        <w:tc>
          <w:tcPr>
            <w:tcW w:w="307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新增火车受煤系统用电引自焦化厂内现有变压器，由现有配电室统一控制。</w:t>
            </w:r>
          </w:p>
        </w:tc>
        <w:tc>
          <w:tcPr>
            <w:tcW w:w="1134" w:type="dxa"/>
            <w:gridSpan w:val="2"/>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供水</w:t>
            </w:r>
          </w:p>
        </w:tc>
        <w:tc>
          <w:tcPr>
            <w:tcW w:w="3733"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受煤系统生产环节不涉及用水，职工生活用水由太钢厂区生活供水系统统一供应。</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供水</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供水</w:t>
            </w:r>
          </w:p>
        </w:tc>
        <w:tc>
          <w:tcPr>
            <w:tcW w:w="307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同技改前，生产环节不涉及用水，职工生活用水由太钢厂区生活供水系统统一供应。</w:t>
            </w:r>
          </w:p>
        </w:tc>
        <w:tc>
          <w:tcPr>
            <w:tcW w:w="1134" w:type="dxa"/>
            <w:gridSpan w:val="2"/>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采暖</w:t>
            </w:r>
          </w:p>
        </w:tc>
        <w:tc>
          <w:tcPr>
            <w:tcW w:w="3733"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火车和汽车卸煤大棚不涉及采暖供热，为了防止受煤坑受煤篦子结冻，受煤篦子侧面敷设有蒸汽管道，蒸汽由太钢厂区统一供应。</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采暖</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火车卸煤大棚不涉及采暖供热，为了防止受煤坑受煤篦子结冻，受煤篦子侧面敷设有蒸汽管道，蒸汽由太钢厂区统一供应。</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采暖</w:t>
            </w:r>
          </w:p>
        </w:tc>
        <w:tc>
          <w:tcPr>
            <w:tcW w:w="307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火车卸煤大棚不涉及采暖供热，为了防止受煤坑受煤篦子结冻，受煤篦子侧面敷设蒸汽管道，蒸汽由太钢厂区统一供应。</w:t>
            </w:r>
          </w:p>
        </w:tc>
        <w:tc>
          <w:tcPr>
            <w:tcW w:w="1134" w:type="dxa"/>
            <w:gridSpan w:val="2"/>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30"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排水</w:t>
            </w:r>
          </w:p>
        </w:tc>
        <w:tc>
          <w:tcPr>
            <w:tcW w:w="3733"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雨水排入太钢厂区雨水管网；生活污水排入太钢厂区现有生活污水排水管网，最终进入太钢赵庄污水处理厂处理后回用，不外排</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排水</w:t>
            </w:r>
          </w:p>
        </w:tc>
        <w:tc>
          <w:tcPr>
            <w:tcW w:w="3707" w:type="dxa"/>
            <w:gridSpan w:val="3"/>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排水</w:t>
            </w:r>
          </w:p>
        </w:tc>
        <w:tc>
          <w:tcPr>
            <w:tcW w:w="307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同技改前，雨水排入太钢厂区雨水管网；生活污水排入太钢厂区现有生活污水排水管网，最终进入太钢赵庄污水处理厂处理后回用，不外排。</w:t>
            </w:r>
          </w:p>
        </w:tc>
        <w:tc>
          <w:tcPr>
            <w:tcW w:w="1134" w:type="dxa"/>
            <w:gridSpan w:val="2"/>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restart"/>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环保工程</w:t>
            </w: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废气</w:t>
            </w:r>
          </w:p>
        </w:tc>
        <w:tc>
          <w:tcPr>
            <w:tcW w:w="870"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运输、转运、贮存</w:t>
            </w:r>
          </w:p>
        </w:tc>
        <w:tc>
          <w:tcPr>
            <w:tcW w:w="2863"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火车车厢全部用篷布遮盖，火车受煤坑大棚除火车进口方向，其余面封闭；汽车车厢全部用篷布遮盖，汽车受煤坑大棚全封闭；转运站全封闭；皮带通廊全封闭；精煤贮存采用钢筋混凝土筒仓；</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废气</w:t>
            </w: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运输、转运、贮存</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火车车厢全部用篷布遮盖，火车受煤坑大棚除火车进口方向，其余面封闭；转运站全封闭；皮带通廊全封闭；精煤贮存采用钢筋混凝土筒仓；环评要求加强管理，如火车运输的精煤含水率低于</w:t>
            </w:r>
            <w:r>
              <w:rPr>
                <w:rFonts w:ascii="宋体" w:hAnsi="宋体" w:eastAsia="宋体" w:cs="Times New Roman"/>
              </w:rPr>
              <w:t>10%</w:t>
            </w:r>
            <w:r>
              <w:rPr>
                <w:rFonts w:hint="eastAsia" w:ascii="宋体" w:hAnsi="宋体" w:eastAsia="宋体"/>
              </w:rPr>
              <w:t>时，可利用受煤坑、转运站内的消防设施对精煤进行喷淋、加湿，降低精煤转运过程中的扬尘排放</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运输、转运、贮存</w:t>
            </w: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车厢全部用篷布遮盖；火车受煤大棚除火车南北进出口方向设卷帘门，东西面及顶部封闭；转运站全封闭；皮带通廊全封闭；精煤贮存采用钢筋混凝土筒仓（利旧）；受煤坑、转运站内设消防设施，火车运输的精煤含水率低于</w:t>
            </w:r>
            <w:r>
              <w:rPr>
                <w:rFonts w:ascii="宋体" w:hAnsi="宋体" w:eastAsia="宋体" w:cs="Times New Roman"/>
              </w:rPr>
              <w:t>10%</w:t>
            </w:r>
            <w:r>
              <w:rPr>
                <w:rFonts w:hint="eastAsia" w:ascii="宋体" w:hAnsi="宋体" w:eastAsia="宋体"/>
              </w:rPr>
              <w:t>时，对精煤进行喷淋、加湿，降低精煤转运过程中的扬尘排放。</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火车受煤大棚除火车南北进出口方向设卷帘门，东西面及顶部封闭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废水</w:t>
            </w:r>
          </w:p>
        </w:tc>
        <w:tc>
          <w:tcPr>
            <w:tcW w:w="870"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生活污水</w:t>
            </w:r>
          </w:p>
        </w:tc>
        <w:tc>
          <w:tcPr>
            <w:tcW w:w="2863"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化粪池处理后排入太钢厂区现有生活污水排水管网，最终进入太钢赵庄污水处理厂处理后回用，不外排</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废水</w:t>
            </w: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生活污水</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生活污水</w:t>
            </w: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同技改前，经化粪池处理后排入太钢厂区现有生活污水排水管网，最终进入太钢赵庄污水处理厂处理后回用，不外排。</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噪声</w:t>
            </w:r>
          </w:p>
        </w:tc>
        <w:tc>
          <w:tcPr>
            <w:tcW w:w="870"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生产设备</w:t>
            </w:r>
          </w:p>
        </w:tc>
        <w:tc>
          <w:tcPr>
            <w:tcW w:w="2863"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选用高效低噪设备、加强设备维护和管理，转运站全封闭；限制火车车速低于</w:t>
            </w:r>
            <w:r>
              <w:rPr>
                <w:rFonts w:ascii="宋体" w:hAnsi="宋体" w:eastAsia="宋体" w:cs="Times New Roman"/>
              </w:rPr>
              <w:t>15km/h</w:t>
            </w:r>
            <w:r>
              <w:rPr>
                <w:rFonts w:hint="eastAsia" w:ascii="宋体" w:hAnsi="宋体" w:eastAsia="宋体"/>
              </w:rPr>
              <w:t>，汽车车速低于</w:t>
            </w:r>
            <w:r>
              <w:rPr>
                <w:rFonts w:ascii="宋体" w:hAnsi="宋体" w:eastAsia="宋体" w:cs="Times New Roman"/>
              </w:rPr>
              <w:t>30km/h</w:t>
            </w:r>
          </w:p>
        </w:tc>
        <w:tc>
          <w:tcPr>
            <w:tcW w:w="681"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噪声</w:t>
            </w: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生产设备</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选用高效低噪设备、加强设备维护和管理，转运站全封闭；限制火车车速低于</w:t>
            </w:r>
            <w:r>
              <w:rPr>
                <w:rFonts w:ascii="宋体" w:hAnsi="宋体" w:eastAsia="宋体" w:cs="Times New Roman"/>
              </w:rPr>
              <w:t>15km/h</w:t>
            </w:r>
            <w:r>
              <w:rPr>
                <w:rFonts w:hint="eastAsia" w:ascii="宋体" w:hAnsi="宋体" w:eastAsia="宋体"/>
              </w:rPr>
              <w:t>；</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p>
        </w:tc>
        <w:tc>
          <w:tcPr>
            <w:tcW w:w="3088"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选用高效低噪设备、加强设备维护和管理，转运站全封闭；限制火车车速低于</w:t>
            </w:r>
            <w:r>
              <w:rPr>
                <w:rFonts w:ascii="宋体" w:hAnsi="宋体" w:eastAsia="宋体" w:cs="Times New Roman"/>
              </w:rPr>
              <w:t>15km/h</w:t>
            </w:r>
            <w:r>
              <w:rPr>
                <w:rFonts w:hint="eastAsia" w:ascii="宋体" w:hAnsi="宋体" w:eastAsia="宋体"/>
              </w:rPr>
              <w:t>。</w:t>
            </w:r>
          </w:p>
        </w:tc>
        <w:tc>
          <w:tcPr>
            <w:tcW w:w="1124" w:type="dxa"/>
            <w:tcBorders>
              <w:top w:val="single" w:color="auto" w:sz="6" w:space="0"/>
              <w:left w:val="single" w:color="auto" w:sz="6" w:space="0"/>
              <w:bottom w:val="single" w:color="auto" w:sz="6" w:space="0"/>
              <w:right w:val="single" w:color="auto" w:sz="12"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固废</w:t>
            </w:r>
          </w:p>
        </w:tc>
        <w:tc>
          <w:tcPr>
            <w:tcW w:w="870"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生活垃圾</w:t>
            </w:r>
          </w:p>
        </w:tc>
        <w:tc>
          <w:tcPr>
            <w:tcW w:w="2863"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设垃圾桶，集中收集后委托当地环卫部门统一清运处理</w:t>
            </w:r>
          </w:p>
        </w:tc>
        <w:tc>
          <w:tcPr>
            <w:tcW w:w="681" w:type="dxa"/>
            <w:vMerge w:val="restart"/>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固废</w:t>
            </w: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生活垃圾</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生活垃圾</w:t>
            </w:r>
          </w:p>
        </w:tc>
        <w:tc>
          <w:tcPr>
            <w:tcW w:w="3088"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Times New Roman"/>
              </w:rPr>
            </w:pPr>
            <w:r>
              <w:rPr>
                <w:rFonts w:hint="eastAsia" w:ascii="宋体" w:hAnsi="宋体" w:eastAsia="宋体" w:cs="宋体"/>
              </w:rPr>
              <w:t>同技改前。</w:t>
            </w:r>
          </w:p>
        </w:tc>
        <w:tc>
          <w:tcPr>
            <w:tcW w:w="112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宋体" w:hAnsi="宋体" w:eastAsia="宋体" w:cs="Times New Roman"/>
              </w:rPr>
            </w:pPr>
            <w:r>
              <w:rPr>
                <w:rFonts w:hint="eastAsia" w:ascii="宋体" w:hAnsi="宋体" w:eastAsia="宋体" w:cs="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铁屑</w:t>
            </w:r>
          </w:p>
        </w:tc>
        <w:tc>
          <w:tcPr>
            <w:tcW w:w="2863"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收集后送到太钢高炉生产系统作为生产原料利用</w:t>
            </w:r>
          </w:p>
        </w:tc>
        <w:tc>
          <w:tcPr>
            <w:tcW w:w="681" w:type="dxa"/>
            <w:vMerge w:val="continue"/>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铁屑</w:t>
            </w:r>
          </w:p>
        </w:tc>
        <w:tc>
          <w:tcPr>
            <w:tcW w:w="2999" w:type="dxa"/>
            <w:gridSpan w:val="2"/>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w:t>
            </w:r>
          </w:p>
        </w:tc>
        <w:tc>
          <w:tcPr>
            <w:tcW w:w="567" w:type="dxa"/>
            <w:tcBorders>
              <w:top w:val="single" w:color="auto" w:sz="6" w:space="0"/>
              <w:left w:val="single" w:color="auto" w:sz="6" w:space="0"/>
              <w:bottom w:val="single" w:color="auto" w:sz="6"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铁屑</w:t>
            </w:r>
          </w:p>
        </w:tc>
        <w:tc>
          <w:tcPr>
            <w:tcW w:w="3088"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240" w:lineRule="atLeast"/>
              <w:jc w:val="center"/>
              <w:rPr>
                <w:rFonts w:ascii="宋体" w:hAnsi="宋体" w:eastAsia="宋体" w:cs="Times New Roman"/>
              </w:rPr>
            </w:pPr>
            <w:r>
              <w:rPr>
                <w:rFonts w:hint="eastAsia" w:ascii="宋体" w:hAnsi="宋体" w:eastAsia="宋体" w:cs="宋体"/>
              </w:rPr>
              <w:t>同技改前，收集后送到太钢高炉生产系统作为生产原料利用。</w:t>
            </w:r>
          </w:p>
        </w:tc>
        <w:tc>
          <w:tcPr>
            <w:tcW w:w="1124"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240" w:lineRule="atLeast"/>
              <w:jc w:val="center"/>
              <w:rPr>
                <w:rFonts w:ascii="宋体" w:hAnsi="宋体" w:eastAsia="宋体" w:cs="Times New Roman"/>
              </w:rPr>
            </w:pPr>
            <w:r>
              <w:rPr>
                <w:rFonts w:hint="eastAsia" w:ascii="宋体" w:hAnsi="宋体" w:eastAsia="宋体" w:cs="宋体"/>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426" w:type="dxa"/>
            <w:vMerge w:val="continue"/>
            <w:tcBorders>
              <w:top w:val="single" w:color="auto" w:sz="6" w:space="0"/>
              <w:left w:val="single" w:color="auto" w:sz="12" w:space="0"/>
              <w:bottom w:val="single" w:color="auto" w:sz="12"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3" w:type="dxa"/>
            <w:vMerge w:val="continue"/>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870" w:type="dxa"/>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除铁器杂物</w:t>
            </w:r>
          </w:p>
        </w:tc>
        <w:tc>
          <w:tcPr>
            <w:tcW w:w="2863" w:type="dxa"/>
            <w:gridSpan w:val="2"/>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属于一般废物，收集后和生活垃圾一同委托当地环卫部门统一处理。</w:t>
            </w:r>
          </w:p>
        </w:tc>
        <w:tc>
          <w:tcPr>
            <w:tcW w:w="681" w:type="dxa"/>
            <w:vMerge w:val="continue"/>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firstLine="360"/>
              <w:rPr>
                <w:rFonts w:ascii="宋体" w:hAnsi="宋体" w:eastAsia="宋体" w:cs="Times New Roman"/>
              </w:rPr>
            </w:pPr>
          </w:p>
        </w:tc>
        <w:tc>
          <w:tcPr>
            <w:tcW w:w="708" w:type="dxa"/>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除铁器杂物</w:t>
            </w:r>
          </w:p>
        </w:tc>
        <w:tc>
          <w:tcPr>
            <w:tcW w:w="2999" w:type="dxa"/>
            <w:gridSpan w:val="2"/>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0" w:leftChars="0" w:right="0"/>
              <w:rPr>
                <w:rFonts w:ascii="宋体" w:hAnsi="宋体" w:eastAsia="宋体" w:cs="Times New Roman"/>
              </w:rPr>
            </w:pPr>
            <w:r>
              <w:rPr>
                <w:rFonts w:hint="eastAsia" w:ascii="宋体" w:hAnsi="宋体" w:eastAsia="宋体"/>
              </w:rPr>
              <w:t>同技改前；</w:t>
            </w:r>
          </w:p>
        </w:tc>
        <w:tc>
          <w:tcPr>
            <w:tcW w:w="567" w:type="dxa"/>
            <w:tcBorders>
              <w:top w:val="single" w:color="auto" w:sz="6" w:space="0"/>
              <w:left w:val="single" w:color="auto" w:sz="6" w:space="0"/>
              <w:bottom w:val="single" w:color="auto" w:sz="12" w:space="0"/>
              <w:right w:val="single" w:color="auto" w:sz="6" w:space="0"/>
            </w:tcBorders>
            <w:vAlign w:val="center"/>
          </w:tcPr>
          <w:p>
            <w:pPr>
              <w:pStyle w:val="66"/>
              <w:adjustRightInd w:val="0"/>
              <w:spacing w:line="240" w:lineRule="atLeast"/>
              <w:ind w:left="-105" w:right="-105"/>
              <w:rPr>
                <w:rFonts w:ascii="宋体" w:hAnsi="宋体" w:eastAsia="宋体" w:cs="Times New Roman"/>
              </w:rPr>
            </w:pPr>
            <w:r>
              <w:rPr>
                <w:rFonts w:hint="eastAsia" w:ascii="宋体" w:hAnsi="宋体" w:eastAsia="宋体"/>
              </w:rPr>
              <w:t>除铁器杂物</w:t>
            </w:r>
          </w:p>
        </w:tc>
        <w:tc>
          <w:tcPr>
            <w:tcW w:w="3088" w:type="dxa"/>
            <w:gridSpan w:val="2"/>
            <w:tcBorders>
              <w:top w:val="single" w:color="auto" w:sz="6" w:space="0"/>
              <w:left w:val="single" w:color="auto" w:sz="6" w:space="0"/>
              <w:bottom w:val="single" w:color="auto" w:sz="12" w:space="0"/>
              <w:right w:val="single" w:color="auto" w:sz="6" w:space="0"/>
            </w:tcBorders>
            <w:vAlign w:val="center"/>
          </w:tcPr>
          <w:p>
            <w:pPr>
              <w:adjustRightInd w:val="0"/>
              <w:snapToGrid w:val="0"/>
              <w:spacing w:line="240" w:lineRule="atLeast"/>
              <w:rPr>
                <w:rFonts w:ascii="宋体" w:hAnsi="宋体" w:eastAsia="宋体" w:cs="Times New Roman"/>
              </w:rPr>
            </w:pPr>
            <w:r>
              <w:rPr>
                <w:rFonts w:hint="eastAsia" w:ascii="宋体" w:hAnsi="宋体" w:eastAsia="宋体" w:cs="宋体"/>
              </w:rPr>
              <w:t>同技改前，收集后和生活垃圾一同委托当地环卫部门统一处理。</w:t>
            </w:r>
          </w:p>
        </w:tc>
        <w:tc>
          <w:tcPr>
            <w:tcW w:w="1124" w:type="dxa"/>
            <w:tcBorders>
              <w:top w:val="single" w:color="auto" w:sz="6" w:space="0"/>
              <w:left w:val="single" w:color="auto" w:sz="6" w:space="0"/>
              <w:bottom w:val="single" w:color="auto" w:sz="12" w:space="0"/>
              <w:right w:val="single" w:color="auto" w:sz="12" w:space="0"/>
            </w:tcBorders>
            <w:vAlign w:val="center"/>
          </w:tcPr>
          <w:p>
            <w:pPr>
              <w:adjustRightInd w:val="0"/>
              <w:snapToGrid w:val="0"/>
              <w:spacing w:line="240" w:lineRule="atLeast"/>
              <w:jc w:val="center"/>
              <w:rPr>
                <w:rFonts w:ascii="宋体" w:hAnsi="宋体" w:eastAsia="宋体" w:cs="Times New Roman"/>
              </w:rPr>
            </w:pPr>
            <w:r>
              <w:rPr>
                <w:rFonts w:hint="eastAsia" w:ascii="宋体" w:hAnsi="宋体" w:eastAsia="宋体" w:cs="宋体"/>
              </w:rPr>
              <w:t>一致</w:t>
            </w:r>
          </w:p>
        </w:tc>
      </w:tr>
    </w:tbl>
    <w:p>
      <w:pPr>
        <w:pStyle w:val="60"/>
        <w:snapToGrid w:val="0"/>
        <w:spacing w:before="0" w:beforeAutospacing="0" w:after="0" w:afterAutospacing="0" w:line="500" w:lineRule="exact"/>
        <w:ind w:firstLine="560" w:firstLineChars="200"/>
        <w:jc w:val="both"/>
        <w:outlineLvl w:val="1"/>
        <w:rPr>
          <w:rFonts w:ascii="宋体" w:hAnsi="宋体" w:eastAsia="宋体" w:cs="Times New Roman"/>
          <w:color w:val="000000"/>
          <w:sz w:val="28"/>
          <w:szCs w:val="28"/>
        </w:rPr>
        <w:sectPr>
          <w:pgSz w:w="16838" w:h="11906" w:orient="landscape"/>
          <w:pgMar w:top="1701" w:right="1418" w:bottom="1588" w:left="1418" w:header="851" w:footer="992" w:gutter="0"/>
          <w:cols w:space="720" w:num="1"/>
          <w:docGrid w:type="linesAndChars" w:linePitch="312" w:charSpace="0"/>
        </w:sectPr>
      </w:pP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（二）建设过程及环保审批情况</w:t>
      </w:r>
    </w:p>
    <w:p>
      <w:pPr>
        <w:shd w:val="clear" w:color="auto" w:fill="FFFFFF"/>
        <w:adjustRightInd w:val="0"/>
        <w:snapToGrid w:val="0"/>
        <w:spacing w:line="460" w:lineRule="exact"/>
        <w:ind w:firstLine="560" w:firstLineChars="200"/>
        <w:rPr>
          <w:rFonts w:ascii="宋体" w:hAnsi="宋体" w:eastAsia="宋体" w:cs="Times New Roman"/>
          <w:color w:val="000000"/>
          <w:sz w:val="28"/>
          <w:szCs w:val="28"/>
        </w:rPr>
      </w:pPr>
      <w:r>
        <w:rPr>
          <w:rFonts w:ascii="宋体" w:hAnsi="宋体" w:eastAsia="宋体" w:cs="Times New Roman"/>
          <w:color w:val="000000"/>
          <w:sz w:val="28"/>
          <w:szCs w:val="28"/>
        </w:rPr>
        <w:t>1、项目环境影响报告表编制与审批情况</w:t>
      </w:r>
    </w:p>
    <w:p>
      <w:pPr>
        <w:pStyle w:val="65"/>
        <w:adjustRightInd w:val="0"/>
        <w:snapToGrid w:val="0"/>
        <w:spacing w:line="460" w:lineRule="exact"/>
        <w:ind w:firstLine="560"/>
        <w:rPr>
          <w:rFonts w:ascii="宋体" w:hAnsi="宋体" w:eastAsia="宋体"/>
          <w:sz w:val="28"/>
          <w:szCs w:val="28"/>
        </w:rPr>
      </w:pPr>
      <w:r>
        <w:rPr>
          <w:rFonts w:hint="eastAsia" w:ascii="宋体" w:hAnsi="宋体" w:eastAsia="宋体"/>
          <w:color w:val="auto"/>
          <w:sz w:val="28"/>
          <w:szCs w:val="28"/>
        </w:rPr>
        <w:t>太原市尖草坪区工业和信息化局</w:t>
      </w:r>
      <w:r>
        <w:rPr>
          <w:rFonts w:ascii="宋体" w:hAnsi="宋体" w:eastAsia="宋体"/>
          <w:color w:val="auto"/>
          <w:sz w:val="28"/>
          <w:szCs w:val="28"/>
        </w:rPr>
        <w:t>于201</w:t>
      </w:r>
      <w:r>
        <w:rPr>
          <w:rFonts w:hint="eastAsia" w:ascii="宋体" w:hAnsi="宋体" w:eastAsia="宋体"/>
          <w:color w:val="auto"/>
          <w:sz w:val="28"/>
          <w:szCs w:val="28"/>
        </w:rPr>
        <w:t>8</w:t>
      </w:r>
      <w:r>
        <w:rPr>
          <w:rFonts w:ascii="宋体" w:hAnsi="宋体" w:eastAsia="宋体"/>
          <w:color w:val="auto"/>
          <w:sz w:val="28"/>
          <w:szCs w:val="28"/>
        </w:rPr>
        <w:t>年</w:t>
      </w:r>
      <w:r>
        <w:rPr>
          <w:rFonts w:hint="eastAsia" w:ascii="宋体" w:hAnsi="宋体"/>
          <w:color w:val="auto"/>
          <w:sz w:val="28"/>
          <w:szCs w:val="28"/>
          <w:lang w:val="en-US" w:eastAsia="zh-CN"/>
        </w:rPr>
        <w:t>2</w:t>
      </w:r>
      <w:r>
        <w:rPr>
          <w:rFonts w:ascii="宋体" w:hAnsi="宋体" w:eastAsia="宋体"/>
          <w:color w:val="auto"/>
          <w:sz w:val="28"/>
          <w:szCs w:val="28"/>
        </w:rPr>
        <w:t>月</w:t>
      </w:r>
      <w:r>
        <w:rPr>
          <w:rFonts w:hint="eastAsia" w:ascii="宋体" w:hAnsi="宋体"/>
          <w:color w:val="auto"/>
          <w:sz w:val="28"/>
          <w:szCs w:val="28"/>
          <w:lang w:val="en-US" w:eastAsia="zh-CN"/>
        </w:rPr>
        <w:t>6</w:t>
      </w:r>
      <w:r>
        <w:rPr>
          <w:rFonts w:ascii="宋体" w:hAnsi="宋体" w:eastAsia="宋体"/>
          <w:color w:val="auto"/>
          <w:sz w:val="28"/>
          <w:szCs w:val="28"/>
        </w:rPr>
        <w:t>日以</w:t>
      </w:r>
      <w:r>
        <w:rPr>
          <w:rFonts w:hint="eastAsia" w:ascii="宋体" w:hAnsi="宋体" w:eastAsia="宋体"/>
          <w:color w:val="auto"/>
          <w:sz w:val="28"/>
          <w:szCs w:val="28"/>
        </w:rPr>
        <w:t>草</w:t>
      </w:r>
      <w:r>
        <w:rPr>
          <w:rFonts w:hint="eastAsia" w:ascii="宋体" w:hAnsi="宋体" w:eastAsia="宋体"/>
          <w:sz w:val="28"/>
          <w:szCs w:val="28"/>
        </w:rPr>
        <w:t>坪经信备字﹝</w:t>
      </w:r>
      <w:r>
        <w:rPr>
          <w:rFonts w:ascii="宋体" w:hAnsi="宋体" w:eastAsia="宋体"/>
          <w:sz w:val="28"/>
          <w:szCs w:val="28"/>
        </w:rPr>
        <w:t>2018</w:t>
      </w:r>
      <w:r>
        <w:rPr>
          <w:rFonts w:hint="eastAsia" w:ascii="宋体" w:hAnsi="宋体" w:eastAsia="宋体"/>
          <w:sz w:val="28"/>
          <w:szCs w:val="28"/>
        </w:rPr>
        <w:t>﹞</w:t>
      </w:r>
      <w:r>
        <w:rPr>
          <w:rFonts w:ascii="宋体" w:hAnsi="宋体" w:eastAsia="宋体"/>
          <w:sz w:val="28"/>
          <w:szCs w:val="28"/>
        </w:rPr>
        <w:t>3</w:t>
      </w:r>
      <w:r>
        <w:rPr>
          <w:rFonts w:hint="eastAsia" w:ascii="宋体" w:hAnsi="宋体" w:eastAsia="宋体"/>
          <w:sz w:val="28"/>
          <w:szCs w:val="28"/>
        </w:rPr>
        <w:t>号</w:t>
      </w:r>
      <w:r>
        <w:rPr>
          <w:rFonts w:ascii="宋体" w:hAnsi="宋体" w:eastAsia="宋体"/>
          <w:sz w:val="28"/>
          <w:szCs w:val="28"/>
        </w:rPr>
        <w:t>对该项目进行了备案。山西清源环境咨询有限公司于201</w:t>
      </w:r>
      <w:r>
        <w:rPr>
          <w:rFonts w:hint="eastAsia" w:ascii="宋体" w:hAnsi="宋体" w:eastAsia="宋体"/>
          <w:sz w:val="28"/>
          <w:szCs w:val="28"/>
        </w:rPr>
        <w:t>8</w:t>
      </w:r>
      <w:r>
        <w:rPr>
          <w:rFonts w:ascii="宋体" w:hAnsi="宋体" w:eastAsia="宋体"/>
          <w:sz w:val="28"/>
          <w:szCs w:val="28"/>
        </w:rPr>
        <w:t>年</w:t>
      </w:r>
      <w:r>
        <w:rPr>
          <w:rFonts w:hint="eastAsia" w:ascii="宋体" w:hAnsi="宋体" w:eastAsia="宋体"/>
          <w:sz w:val="28"/>
          <w:szCs w:val="28"/>
        </w:rPr>
        <w:t>7</w:t>
      </w:r>
      <w:r>
        <w:rPr>
          <w:rFonts w:ascii="宋体" w:hAnsi="宋体" w:eastAsia="宋体"/>
          <w:sz w:val="28"/>
          <w:szCs w:val="28"/>
        </w:rPr>
        <w:t>月编制完成了《</w:t>
      </w:r>
      <w:r>
        <w:rPr>
          <w:rFonts w:hint="eastAsia" w:ascii="宋体" w:hAnsi="宋体" w:eastAsia="宋体"/>
          <w:sz w:val="28"/>
          <w:szCs w:val="28"/>
        </w:rPr>
        <w:t>山西太钢不锈钢股份有限公司焦化厂全火车运煤系统改造</w:t>
      </w:r>
      <w:r>
        <w:rPr>
          <w:rFonts w:hint="eastAsia" w:ascii="宋体" w:hAnsi="宋体" w:eastAsia="宋体" w:cs="宋体"/>
        </w:rPr>
        <w:t>项目</w:t>
      </w:r>
      <w:r>
        <w:rPr>
          <w:rFonts w:ascii="宋体" w:hAnsi="宋体" w:eastAsia="宋体"/>
          <w:sz w:val="28"/>
          <w:szCs w:val="28"/>
        </w:rPr>
        <w:t>环境影响报告表》</w:t>
      </w:r>
      <w:r>
        <w:rPr>
          <w:rFonts w:hint="eastAsia" w:ascii="宋体" w:hAnsi="宋体" w:eastAsia="宋体"/>
          <w:sz w:val="28"/>
          <w:szCs w:val="28"/>
        </w:rPr>
        <w:t>，太原市环境保护局尖草坪分局于2018年7月9日以并环尖审批</w:t>
      </w:r>
      <w:r>
        <w:rPr>
          <w:rFonts w:ascii="宋体" w:hAnsi="宋体" w:eastAsia="宋体"/>
          <w:sz w:val="28"/>
          <w:szCs w:val="28"/>
        </w:rPr>
        <w:t>(2018</w:t>
      </w:r>
      <w:r>
        <w:rPr>
          <w:rFonts w:hint="eastAsia" w:ascii="宋体" w:hAnsi="宋体" w:eastAsia="宋体"/>
          <w:sz w:val="28"/>
          <w:szCs w:val="28"/>
        </w:rPr>
        <w:t>〕第</w:t>
      </w:r>
      <w:r>
        <w:rPr>
          <w:rFonts w:ascii="宋体" w:hAnsi="宋体" w:eastAsia="宋体"/>
          <w:sz w:val="28"/>
          <w:szCs w:val="28"/>
        </w:rPr>
        <w:t>12</w:t>
      </w:r>
      <w:r>
        <w:rPr>
          <w:rFonts w:hint="eastAsia" w:ascii="宋体" w:hAnsi="宋体" w:eastAsia="宋体"/>
          <w:sz w:val="28"/>
          <w:szCs w:val="28"/>
        </w:rPr>
        <w:t>号</w:t>
      </w:r>
      <w:r>
        <w:rPr>
          <w:rFonts w:ascii="宋体" w:hAnsi="宋体" w:eastAsia="宋体"/>
          <w:sz w:val="28"/>
          <w:szCs w:val="28"/>
        </w:rPr>
        <w:t>对该项目环境影响报告表进行了批复。</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2、开工与竣工时间、调试运行时间</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项目于2018</w:t>
      </w:r>
      <w:r>
        <w:rPr>
          <w:rFonts w:hint="eastAsia" w:ascii="宋体" w:hAnsi="宋体" w:eastAsia="宋体" w:cs="Times New Roman"/>
          <w:sz w:val="28"/>
          <w:szCs w:val="28"/>
        </w:rPr>
        <w:t>年</w:t>
      </w:r>
      <w:r>
        <w:rPr>
          <w:rFonts w:ascii="宋体" w:hAnsi="宋体" w:eastAsia="宋体" w:cs="Times New Roman"/>
          <w:sz w:val="28"/>
          <w:szCs w:val="28"/>
        </w:rPr>
        <w:t>8</w:t>
      </w:r>
      <w:r>
        <w:rPr>
          <w:rFonts w:hint="eastAsia" w:ascii="宋体" w:hAnsi="宋体" w:eastAsia="宋体" w:cs="Times New Roman"/>
          <w:sz w:val="28"/>
          <w:szCs w:val="28"/>
        </w:rPr>
        <w:t>月</w:t>
      </w:r>
      <w:r>
        <w:rPr>
          <w:rFonts w:ascii="宋体" w:hAnsi="宋体" w:eastAsia="宋体" w:cs="Times New Roman"/>
          <w:sz w:val="28"/>
          <w:szCs w:val="28"/>
        </w:rPr>
        <w:t>开工建设，</w:t>
      </w:r>
      <w:r>
        <w:rPr>
          <w:rFonts w:ascii="宋体" w:hAnsi="宋体" w:eastAsia="宋体" w:cs="Times New Roman"/>
          <w:color w:val="auto"/>
          <w:sz w:val="28"/>
          <w:szCs w:val="28"/>
        </w:rPr>
        <w:t>于</w:t>
      </w:r>
      <w:r>
        <w:rPr>
          <w:rFonts w:hint="eastAsia" w:ascii="宋体" w:hAnsi="宋体" w:eastAsia="宋体" w:cs="Times New Roman"/>
          <w:color w:val="auto"/>
          <w:sz w:val="28"/>
          <w:szCs w:val="28"/>
        </w:rPr>
        <w:t>2020年11月</w:t>
      </w:r>
      <w:r>
        <w:rPr>
          <w:rFonts w:ascii="宋体" w:hAnsi="宋体" w:eastAsia="宋体" w:cs="Times New Roman"/>
          <w:color w:val="auto"/>
          <w:sz w:val="28"/>
          <w:szCs w:val="28"/>
        </w:rPr>
        <w:t>竣工</w:t>
      </w:r>
      <w:r>
        <w:rPr>
          <w:rFonts w:hint="eastAsia" w:ascii="宋体" w:hAnsi="宋体" w:eastAsia="宋体" w:cs="Times New Roman"/>
          <w:color w:val="auto"/>
          <w:sz w:val="28"/>
          <w:szCs w:val="28"/>
        </w:rPr>
        <w:t>并</w:t>
      </w:r>
      <w:r>
        <w:rPr>
          <w:rFonts w:ascii="宋体" w:hAnsi="宋体" w:eastAsia="宋体" w:cs="Times New Roman"/>
          <w:sz w:val="28"/>
          <w:szCs w:val="28"/>
        </w:rPr>
        <w:t>进行环保设施调试。调试期间，委托</w:t>
      </w:r>
      <w:r>
        <w:rPr>
          <w:rFonts w:hint="eastAsia" w:ascii="宋体" w:hAnsi="宋体" w:eastAsia="宋体" w:cs="Times New Roman"/>
          <w:sz w:val="28"/>
          <w:szCs w:val="28"/>
        </w:rPr>
        <w:t>山西太钢环境监测有限公司</w:t>
      </w:r>
      <w:r>
        <w:rPr>
          <w:rFonts w:ascii="宋体" w:hAnsi="宋体" w:eastAsia="宋体" w:cs="Times New Roman"/>
          <w:sz w:val="28"/>
          <w:szCs w:val="28"/>
        </w:rPr>
        <w:t>于20</w:t>
      </w:r>
      <w:r>
        <w:rPr>
          <w:rFonts w:hint="eastAsia" w:ascii="宋体" w:hAnsi="宋体" w:eastAsia="宋体" w:cs="Times New Roman"/>
          <w:sz w:val="28"/>
          <w:szCs w:val="28"/>
        </w:rPr>
        <w:t>20</w:t>
      </w:r>
      <w:r>
        <w:rPr>
          <w:rFonts w:ascii="宋体" w:hAnsi="宋体" w:eastAsia="宋体" w:cs="Times New Roman"/>
          <w:sz w:val="28"/>
          <w:szCs w:val="28"/>
        </w:rPr>
        <w:t>年1</w:t>
      </w:r>
      <w:r>
        <w:rPr>
          <w:rFonts w:hint="eastAsia" w:ascii="宋体" w:hAnsi="宋体" w:eastAsia="宋体" w:cs="Times New Roman"/>
          <w:sz w:val="28"/>
          <w:szCs w:val="28"/>
        </w:rPr>
        <w:t>2</w:t>
      </w:r>
      <w:r>
        <w:rPr>
          <w:rFonts w:ascii="宋体" w:hAnsi="宋体" w:eastAsia="宋体" w:cs="Times New Roman"/>
          <w:sz w:val="28"/>
          <w:szCs w:val="28"/>
        </w:rPr>
        <w:t>月</w:t>
      </w:r>
      <w:r>
        <w:rPr>
          <w:rFonts w:hint="eastAsia" w:ascii="宋体" w:hAnsi="宋体" w:eastAsia="宋体" w:cs="Times New Roman"/>
          <w:sz w:val="28"/>
          <w:szCs w:val="28"/>
        </w:rPr>
        <w:t>27</w:t>
      </w:r>
      <w:r>
        <w:rPr>
          <w:rFonts w:ascii="宋体" w:hAnsi="宋体" w:eastAsia="宋体" w:cs="Times New Roman"/>
          <w:sz w:val="28"/>
          <w:szCs w:val="28"/>
        </w:rPr>
        <w:t>日至</w:t>
      </w:r>
      <w:r>
        <w:rPr>
          <w:rFonts w:hint="eastAsia" w:ascii="宋体" w:hAnsi="宋体" w:eastAsia="宋体" w:cs="Times New Roman"/>
          <w:sz w:val="28"/>
          <w:szCs w:val="28"/>
        </w:rPr>
        <w:t>12</w:t>
      </w:r>
      <w:r>
        <w:rPr>
          <w:rFonts w:ascii="宋体" w:hAnsi="宋体" w:eastAsia="宋体" w:cs="Times New Roman"/>
          <w:sz w:val="28"/>
          <w:szCs w:val="28"/>
        </w:rPr>
        <w:t>月</w:t>
      </w:r>
      <w:r>
        <w:rPr>
          <w:rFonts w:hint="eastAsia" w:ascii="宋体" w:hAnsi="宋体" w:eastAsia="宋体" w:cs="Times New Roman"/>
          <w:sz w:val="28"/>
          <w:szCs w:val="28"/>
        </w:rPr>
        <w:t>29</w:t>
      </w:r>
      <w:r>
        <w:rPr>
          <w:rFonts w:ascii="宋体" w:hAnsi="宋体" w:eastAsia="宋体" w:cs="Times New Roman"/>
          <w:sz w:val="28"/>
          <w:szCs w:val="28"/>
        </w:rPr>
        <w:t>日按照验收监测方案开展了验收监测和环境管理检查。</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3、排污许可证申领情况</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本项目运营期内无有组织废气污染源，无生产废水产生，少量生活污水排入太钢厂区现有生活污水排水管网，最终进入太钢赵庄污水处理厂处理后回用不外排，根据晋环发[</w:t>
      </w:r>
      <w:r>
        <w:rPr>
          <w:rFonts w:ascii="宋体" w:hAnsi="宋体" w:eastAsia="宋体" w:cs="Times New Roman"/>
          <w:sz w:val="28"/>
          <w:szCs w:val="28"/>
        </w:rPr>
        <w:t>2015</w:t>
      </w:r>
      <w:r>
        <w:rPr>
          <w:rFonts w:hint="eastAsia" w:ascii="宋体" w:hAnsi="宋体" w:eastAsia="宋体" w:cs="Times New Roman"/>
          <w:sz w:val="28"/>
          <w:szCs w:val="28"/>
        </w:rPr>
        <w:t>]</w:t>
      </w:r>
      <w:r>
        <w:rPr>
          <w:rFonts w:ascii="宋体" w:hAnsi="宋体" w:eastAsia="宋体" w:cs="Times New Roman"/>
          <w:sz w:val="28"/>
          <w:szCs w:val="28"/>
        </w:rPr>
        <w:t>25</w:t>
      </w:r>
      <w:r>
        <w:rPr>
          <w:rFonts w:hint="eastAsia" w:ascii="宋体" w:hAnsi="宋体" w:eastAsia="宋体" w:cs="Times New Roman"/>
          <w:sz w:val="28"/>
          <w:szCs w:val="28"/>
        </w:rPr>
        <w:t>号文规定，本项目不需要进行总量控制与核定，也不涉及总量控制指标及排污许可证的申领。</w:t>
      </w:r>
    </w:p>
    <w:p>
      <w:pPr>
        <w:shd w:val="clear" w:color="auto" w:fill="FFFFFF"/>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4、项目从立项至调试过程中无环境投诉、违法或处罚记录等。</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（三）投资情况</w:t>
      </w:r>
    </w:p>
    <w:p>
      <w:pPr>
        <w:tabs>
          <w:tab w:val="left" w:pos="4305"/>
        </w:tabs>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项目实际总投资</w:t>
      </w:r>
      <w:r>
        <w:rPr>
          <w:rFonts w:hint="eastAsia" w:ascii="宋体" w:hAnsi="宋体" w:eastAsia="宋体" w:cs="Times New Roman"/>
          <w:sz w:val="28"/>
          <w:szCs w:val="28"/>
        </w:rPr>
        <w:t>8143.5</w:t>
      </w:r>
      <w:r>
        <w:rPr>
          <w:rFonts w:ascii="宋体" w:hAnsi="宋体" w:eastAsia="宋体" w:cs="Times New Roman"/>
          <w:sz w:val="28"/>
          <w:szCs w:val="28"/>
        </w:rPr>
        <w:t>万元，其中环保投资</w:t>
      </w:r>
      <w:r>
        <w:rPr>
          <w:rFonts w:hint="eastAsia" w:ascii="宋体" w:hAnsi="宋体" w:eastAsia="宋体" w:cs="Times New Roman"/>
          <w:sz w:val="28"/>
          <w:szCs w:val="28"/>
        </w:rPr>
        <w:t>19</w:t>
      </w:r>
      <w:r>
        <w:rPr>
          <w:rFonts w:ascii="宋体" w:hAnsi="宋体" w:eastAsia="宋体" w:cs="Times New Roman"/>
          <w:sz w:val="28"/>
          <w:szCs w:val="28"/>
        </w:rPr>
        <w:t>万元，占总投资的</w:t>
      </w:r>
      <w:r>
        <w:rPr>
          <w:rFonts w:hint="eastAsia" w:ascii="宋体" w:hAnsi="宋体" w:eastAsia="宋体" w:cs="Times New Roman"/>
          <w:sz w:val="28"/>
          <w:szCs w:val="28"/>
        </w:rPr>
        <w:t>0.23</w:t>
      </w:r>
      <w:r>
        <w:rPr>
          <w:rFonts w:ascii="宋体" w:hAnsi="宋体" w:eastAsia="宋体" w:cs="Times New Roman"/>
          <w:sz w:val="28"/>
          <w:szCs w:val="28"/>
        </w:rPr>
        <w:t>%。</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kern w:val="2"/>
          <w:sz w:val="28"/>
          <w:szCs w:val="28"/>
        </w:rPr>
      </w:pPr>
      <w:r>
        <w:rPr>
          <w:rFonts w:ascii="宋体" w:hAnsi="宋体" w:eastAsia="宋体" w:cs="Times New Roman"/>
          <w:color w:val="000000"/>
          <w:sz w:val="28"/>
          <w:szCs w:val="28"/>
        </w:rPr>
        <w:t>（四）验收范围</w:t>
      </w:r>
    </w:p>
    <w:p>
      <w:pPr>
        <w:overflowPunct w:val="0"/>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本次竣工环境保护验收包括</w:t>
      </w:r>
      <w:r>
        <w:rPr>
          <w:rFonts w:hint="eastAsia" w:ascii="宋体" w:hAnsi="宋体" w:eastAsia="宋体" w:cs="Times New Roman"/>
          <w:sz w:val="28"/>
          <w:szCs w:val="28"/>
        </w:rPr>
        <w:t>山西太钢不锈钢股份有限公司焦化厂全火车运煤系统改造项目</w:t>
      </w:r>
      <w:r>
        <w:rPr>
          <w:rFonts w:ascii="宋体" w:hAnsi="宋体" w:eastAsia="宋体" w:cs="Times New Roman"/>
          <w:sz w:val="28"/>
          <w:szCs w:val="28"/>
        </w:rPr>
        <w:t>的主体工程、辅助工程、环保工程及公</w:t>
      </w:r>
      <w:r>
        <w:rPr>
          <w:rFonts w:hint="eastAsia" w:ascii="宋体" w:hAnsi="宋体" w:eastAsia="宋体" w:cs="Times New Roman"/>
          <w:sz w:val="28"/>
          <w:szCs w:val="28"/>
        </w:rPr>
        <w:t>用工程</w:t>
      </w:r>
      <w:r>
        <w:rPr>
          <w:rFonts w:ascii="宋体" w:hAnsi="宋体" w:eastAsia="宋体" w:cs="Times New Roman"/>
          <w:sz w:val="28"/>
          <w:szCs w:val="28"/>
        </w:rPr>
        <w:t>等。</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bCs/>
          <w:kern w:val="2"/>
          <w:sz w:val="28"/>
          <w:szCs w:val="28"/>
        </w:rPr>
      </w:pPr>
      <w:r>
        <w:rPr>
          <w:rFonts w:ascii="宋体" w:hAnsi="宋体" w:eastAsia="宋体" w:cs="Times New Roman"/>
          <w:b/>
          <w:bCs/>
          <w:kern w:val="2"/>
          <w:sz w:val="28"/>
          <w:szCs w:val="28"/>
        </w:rPr>
        <w:t>二、工程变动情况</w:t>
      </w:r>
    </w:p>
    <w:p>
      <w:pPr>
        <w:autoSpaceDE w:val="0"/>
        <w:autoSpaceDN w:val="0"/>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经核实，本项目</w:t>
      </w:r>
      <w:r>
        <w:rPr>
          <w:rFonts w:hint="eastAsia" w:ascii="宋体" w:hAnsi="宋体" w:eastAsia="宋体" w:cs="Times New Roman"/>
          <w:sz w:val="28"/>
          <w:szCs w:val="28"/>
        </w:rPr>
        <w:t>各项内容</w:t>
      </w:r>
      <w:r>
        <w:rPr>
          <w:rFonts w:ascii="宋体" w:hAnsi="宋体" w:eastAsia="宋体" w:cs="Times New Roman"/>
          <w:sz w:val="28"/>
          <w:szCs w:val="28"/>
        </w:rPr>
        <w:t>在建设过程中无变动。</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sz w:val="28"/>
          <w:szCs w:val="28"/>
        </w:rPr>
      </w:pPr>
      <w:r>
        <w:rPr>
          <w:rFonts w:ascii="宋体" w:hAnsi="宋体" w:eastAsia="宋体" w:cs="Times New Roman"/>
          <w:b/>
          <w:sz w:val="28"/>
          <w:szCs w:val="28"/>
        </w:rPr>
        <w:t>三、环境保护设施建设情况</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sz w:val="28"/>
          <w:szCs w:val="28"/>
        </w:rPr>
      </w:pPr>
      <w:r>
        <w:rPr>
          <w:rFonts w:ascii="宋体" w:hAnsi="宋体" w:eastAsia="宋体" w:cs="Times New Roman"/>
          <w:sz w:val="28"/>
          <w:szCs w:val="28"/>
        </w:rPr>
        <w:t>（一）废气产生及治理设施</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本项目生产过程中产生的废气主要为火车运输过程产生的粉尘，火车卸煤过程产生的粉尘，精煤输送、转运过程中产生的粉尘。</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火车运输的精煤含水率约</w:t>
      </w:r>
      <w:r>
        <w:rPr>
          <w:rFonts w:ascii="宋体" w:hAnsi="宋体" w:eastAsia="宋体"/>
          <w:sz w:val="28"/>
          <w:szCs w:val="28"/>
        </w:rPr>
        <w:t>10%-12%</w:t>
      </w:r>
      <w:r>
        <w:rPr>
          <w:rFonts w:hint="eastAsia" w:ascii="宋体" w:hAnsi="宋体" w:eastAsia="宋体"/>
          <w:sz w:val="28"/>
          <w:szCs w:val="28"/>
        </w:rPr>
        <w:t>，为防止运输过程精煤水分蒸发后物料起尘和运输过程中抛洒造成的二次扬尘，火车运输车厢全部加盖篷布。精煤输送、转运过程中，输送皮带全封闭，转运站全封闭。</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火车卸煤全部在卸煤大棚内进行，卸煤大棚采用轻钢结构，除火车南北进出口方向由于火车进出受限设置卷帘门，其余东面、西面、顶部全部封闭，受煤坑为地下设施。</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火车运输的精煤含水率低于</w:t>
      </w:r>
      <w:r>
        <w:rPr>
          <w:rFonts w:ascii="宋体" w:hAnsi="宋体" w:eastAsia="宋体"/>
          <w:sz w:val="28"/>
          <w:szCs w:val="28"/>
        </w:rPr>
        <w:t>10%</w:t>
      </w:r>
      <w:r>
        <w:rPr>
          <w:rFonts w:hint="eastAsia" w:ascii="宋体" w:hAnsi="宋体" w:eastAsia="宋体"/>
          <w:sz w:val="28"/>
          <w:szCs w:val="28"/>
        </w:rPr>
        <w:t>时，利用受煤坑、转运站内的消防设施对精煤进行喷淋、加湿，可降低精煤转运过程中的粉尘排放。</w:t>
      </w:r>
    </w:p>
    <w:p>
      <w:pPr>
        <w:pStyle w:val="65"/>
        <w:adjustRightInd w:val="0"/>
        <w:snapToGrid w:val="0"/>
        <w:spacing w:line="460" w:lineRule="exact"/>
        <w:ind w:firstLine="560" w:firstLineChars="200"/>
        <w:rPr>
          <w:rFonts w:ascii="宋体" w:hAnsi="宋体" w:eastAsia="宋体" w:cs="Tahoma"/>
        </w:rPr>
      </w:pPr>
      <w:r>
        <w:rPr>
          <w:rFonts w:hint="eastAsia" w:ascii="宋体" w:hAnsi="宋体" w:eastAsia="宋体"/>
          <w:sz w:val="28"/>
          <w:szCs w:val="28"/>
        </w:rPr>
        <w:t>火车运输的精煤含水率低于</w:t>
      </w:r>
      <w:r>
        <w:rPr>
          <w:rFonts w:ascii="宋体" w:hAnsi="宋体" w:eastAsia="宋体"/>
          <w:sz w:val="28"/>
          <w:szCs w:val="28"/>
        </w:rPr>
        <w:t>10%</w:t>
      </w:r>
      <w:r>
        <w:rPr>
          <w:rFonts w:hint="eastAsia" w:ascii="宋体" w:hAnsi="宋体" w:eastAsia="宋体"/>
          <w:sz w:val="28"/>
          <w:szCs w:val="28"/>
        </w:rPr>
        <w:t>时，利用受煤坑、转运站内的消防设施对精煤进行喷淋、加湿，可降低精煤转运过程中的粉尘排放</w:t>
      </w:r>
      <w:r>
        <w:rPr>
          <w:rFonts w:hint="eastAsia" w:ascii="宋体" w:hAnsi="宋体" w:eastAsia="宋体" w:cs="宋体"/>
        </w:rPr>
        <w:t>。</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（二）废水产生及治理设施</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本项目不涉及生产用水，生产过程中无精煤淋滤水产生，无生产废水产生。</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本项目不新增劳动定员，不新增生活污水。现生活污水经焦化厂化粪池处理后排入太钢厂区现有生活污水排水管网，最终进入太钢赵庄污水处理厂处理后回用，不外排，故本项目不对生活污水进行监测。</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sz w:val="28"/>
          <w:szCs w:val="28"/>
        </w:rPr>
      </w:pPr>
      <w:bookmarkStart w:id="0" w:name="_Toc5029893"/>
      <w:r>
        <w:rPr>
          <w:rFonts w:ascii="宋体" w:hAnsi="宋体" w:eastAsia="宋体" w:cs="Times New Roman"/>
          <w:sz w:val="28"/>
          <w:szCs w:val="28"/>
        </w:rPr>
        <w:t>（三）固体废物</w:t>
      </w:r>
      <w:bookmarkEnd w:id="0"/>
    </w:p>
    <w:p>
      <w:pPr>
        <w:pStyle w:val="65"/>
        <w:adjustRightInd w:val="0"/>
        <w:snapToGrid w:val="0"/>
        <w:spacing w:line="460" w:lineRule="exact"/>
        <w:ind w:firstLine="560" w:firstLineChars="200"/>
        <w:rPr>
          <w:rFonts w:ascii="宋体" w:hAnsi="宋体" w:eastAsia="宋体"/>
          <w:sz w:val="28"/>
          <w:szCs w:val="28"/>
        </w:rPr>
      </w:pPr>
      <w:bookmarkStart w:id="1" w:name="_Toc5029894"/>
      <w:r>
        <w:rPr>
          <w:rFonts w:hint="eastAsia" w:ascii="宋体" w:hAnsi="宋体" w:eastAsia="宋体"/>
          <w:sz w:val="28"/>
          <w:szCs w:val="28"/>
        </w:rPr>
        <w:t>本项目固体废物主要为除铁器产生的铁屑、除杂器产生的杂物及职工生活垃圾。</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除铁器铁屑产生量约</w:t>
      </w:r>
      <w:r>
        <w:rPr>
          <w:rFonts w:ascii="宋体" w:hAnsi="宋体" w:eastAsia="宋体"/>
          <w:sz w:val="28"/>
          <w:szCs w:val="28"/>
        </w:rPr>
        <w:t>13t/a</w:t>
      </w:r>
      <w:r>
        <w:rPr>
          <w:rFonts w:hint="eastAsia" w:ascii="宋体" w:hAnsi="宋体" w:eastAsia="宋体"/>
          <w:sz w:val="28"/>
          <w:szCs w:val="28"/>
        </w:rPr>
        <w:t>，收集后送到太钢高炉生产系统作为生产原料利用。</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除杂器产生的杂物包括编织袋、树枝等，属于一般固废，产生量约</w:t>
      </w:r>
      <w:r>
        <w:rPr>
          <w:rFonts w:ascii="宋体" w:hAnsi="宋体" w:eastAsia="宋体"/>
          <w:sz w:val="28"/>
          <w:szCs w:val="28"/>
        </w:rPr>
        <w:t>42t/a</w:t>
      </w:r>
      <w:r>
        <w:rPr>
          <w:rFonts w:hint="eastAsia" w:ascii="宋体" w:hAnsi="宋体" w:eastAsia="宋体"/>
          <w:sz w:val="28"/>
          <w:szCs w:val="28"/>
        </w:rPr>
        <w:t>，火车运煤系统职工定员为</w:t>
      </w:r>
      <w:r>
        <w:rPr>
          <w:rFonts w:ascii="宋体" w:hAnsi="宋体" w:eastAsia="宋体"/>
          <w:sz w:val="28"/>
          <w:szCs w:val="28"/>
        </w:rPr>
        <w:t>54</w:t>
      </w:r>
      <w:r>
        <w:rPr>
          <w:rFonts w:hint="eastAsia" w:ascii="宋体" w:hAnsi="宋体" w:eastAsia="宋体"/>
          <w:sz w:val="28"/>
          <w:szCs w:val="28"/>
        </w:rPr>
        <w:t>人，生活垃圾产生量为</w:t>
      </w:r>
      <w:r>
        <w:rPr>
          <w:rFonts w:ascii="宋体" w:hAnsi="宋体" w:eastAsia="宋体"/>
          <w:sz w:val="28"/>
          <w:szCs w:val="28"/>
        </w:rPr>
        <w:t>9.86t/a</w:t>
      </w:r>
      <w:r>
        <w:rPr>
          <w:rFonts w:hint="eastAsia" w:ascii="宋体" w:hAnsi="宋体" w:eastAsia="宋体"/>
          <w:sz w:val="28"/>
          <w:szCs w:val="28"/>
        </w:rPr>
        <w:t>，除杂器产生的杂物和生活垃圾收集后一同委托当地环卫部门统一处理。</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（四）噪声</w:t>
      </w:r>
      <w:bookmarkEnd w:id="1"/>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本项目生产过程中产生的噪声主要包括火车铁路运输噪声和卸煤、转运过程中的设备噪声。</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精煤装卸、转运过程中设备噪声主要来源于卸煤机、给煤机、除杂器、皮带输送机等，其噪声值在</w:t>
      </w:r>
      <w:r>
        <w:rPr>
          <w:rFonts w:ascii="宋体" w:hAnsi="宋体" w:eastAsia="宋体"/>
          <w:sz w:val="28"/>
          <w:szCs w:val="28"/>
        </w:rPr>
        <w:t>70-100dB</w:t>
      </w:r>
      <w:r>
        <w:rPr>
          <w:rFonts w:hint="eastAsia" w:ascii="宋体" w:hAnsi="宋体" w:eastAsia="宋体"/>
          <w:sz w:val="28"/>
          <w:szCs w:val="28"/>
        </w:rPr>
        <w:t>（</w:t>
      </w:r>
      <w:r>
        <w:rPr>
          <w:rFonts w:ascii="宋体" w:hAnsi="宋体" w:eastAsia="宋体"/>
          <w:sz w:val="28"/>
          <w:szCs w:val="28"/>
        </w:rPr>
        <w:t>A</w:t>
      </w:r>
      <w:r>
        <w:rPr>
          <w:rFonts w:hint="eastAsia" w:ascii="宋体" w:hAnsi="宋体" w:eastAsia="宋体"/>
          <w:sz w:val="28"/>
          <w:szCs w:val="28"/>
        </w:rPr>
        <w:t>）范围内。采取了高效低噪设备；卸煤大棚采用轻钢结构，除火车南北进出口方向设置卷帘门，其余东面、西面、顶部全部封闭；受煤坑设置在卸煤大棚内，为地下钢筋混凝土结构；转运站和物料输送皮带全封闭等措施后，项目机械运行噪声对周围环境影响很小，且项目位于太钢焦化厂厂区内，项目</w:t>
      </w:r>
      <w:r>
        <w:rPr>
          <w:rFonts w:ascii="宋体" w:hAnsi="宋体" w:eastAsia="宋体"/>
          <w:sz w:val="28"/>
          <w:szCs w:val="28"/>
        </w:rPr>
        <w:t>200m</w:t>
      </w:r>
      <w:r>
        <w:rPr>
          <w:rFonts w:hint="eastAsia" w:ascii="宋体" w:hAnsi="宋体" w:eastAsia="宋体"/>
          <w:sz w:val="28"/>
          <w:szCs w:val="28"/>
        </w:rPr>
        <w:t>范围内没有声环境敏感目标。</w:t>
      </w:r>
    </w:p>
    <w:p>
      <w:pPr>
        <w:pStyle w:val="65"/>
        <w:adjustRightInd w:val="0"/>
        <w:snapToGrid w:val="0"/>
        <w:spacing w:line="460" w:lineRule="exact"/>
        <w:ind w:firstLine="560" w:firstLineChars="200"/>
        <w:rPr>
          <w:rFonts w:ascii="宋体" w:hAnsi="宋体" w:eastAsia="宋体"/>
          <w:sz w:val="28"/>
          <w:szCs w:val="28"/>
        </w:rPr>
      </w:pPr>
      <w:r>
        <w:rPr>
          <w:rFonts w:hint="eastAsia" w:ascii="宋体" w:hAnsi="宋体" w:eastAsia="宋体"/>
          <w:sz w:val="28"/>
          <w:szCs w:val="28"/>
        </w:rPr>
        <w:t>新建铁路线是从原火车运煤铁路线引出，新建铁路线长约2300</w:t>
      </w:r>
      <w:r>
        <w:rPr>
          <w:rFonts w:ascii="宋体" w:hAnsi="宋体" w:eastAsia="宋体"/>
          <w:sz w:val="28"/>
          <w:szCs w:val="28"/>
        </w:rPr>
        <w:t>m</w:t>
      </w:r>
      <w:r>
        <w:rPr>
          <w:rFonts w:hint="eastAsia" w:ascii="宋体" w:hAnsi="宋体" w:eastAsia="宋体"/>
          <w:sz w:val="28"/>
          <w:szCs w:val="28"/>
        </w:rPr>
        <w:t>。火车铁路线东侧建有长</w:t>
      </w:r>
      <w:r>
        <w:rPr>
          <w:rFonts w:ascii="宋体" w:hAnsi="宋体" w:eastAsia="宋体"/>
          <w:sz w:val="28"/>
          <w:szCs w:val="28"/>
        </w:rPr>
        <w:t>450m</w:t>
      </w:r>
      <w:r>
        <w:rPr>
          <w:rFonts w:hint="eastAsia" w:ascii="宋体" w:hAnsi="宋体" w:eastAsia="宋体"/>
          <w:sz w:val="28"/>
          <w:szCs w:val="28"/>
        </w:rPr>
        <w:t>、高</w:t>
      </w:r>
      <w:r>
        <w:rPr>
          <w:rFonts w:ascii="宋体" w:hAnsi="宋体" w:eastAsia="宋体"/>
          <w:sz w:val="28"/>
          <w:szCs w:val="28"/>
        </w:rPr>
        <w:t>4m</w:t>
      </w:r>
      <w:r>
        <w:rPr>
          <w:rFonts w:hint="eastAsia" w:ascii="宋体" w:hAnsi="宋体" w:eastAsia="宋体"/>
          <w:sz w:val="28"/>
          <w:szCs w:val="28"/>
        </w:rPr>
        <w:t>的钢筋混凝土挡土墙，其上部加设</w:t>
      </w:r>
      <w:r>
        <w:rPr>
          <w:rFonts w:ascii="宋体" w:hAnsi="宋体" w:eastAsia="宋体"/>
          <w:sz w:val="28"/>
          <w:szCs w:val="28"/>
        </w:rPr>
        <w:t>2m</w:t>
      </w:r>
      <w:r>
        <w:rPr>
          <w:rFonts w:hint="eastAsia" w:ascii="宋体" w:hAnsi="宋体" w:eastAsia="宋体"/>
          <w:sz w:val="28"/>
          <w:szCs w:val="28"/>
        </w:rPr>
        <w:t>高的砖墙，挡土墙与太钢厂界之间有绿化林带、太钢办公大楼，通过挡土墙、绿化带和建筑物的阻隔作用，能够降低对周围声环境的影响。</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color w:val="000000"/>
          <w:sz w:val="28"/>
          <w:szCs w:val="28"/>
        </w:rPr>
      </w:pPr>
      <w:r>
        <w:rPr>
          <w:rFonts w:ascii="宋体" w:hAnsi="宋体" w:eastAsia="宋体" w:cs="Times New Roman"/>
          <w:color w:val="000000"/>
          <w:sz w:val="28"/>
          <w:szCs w:val="28"/>
        </w:rPr>
        <w:t>（</w:t>
      </w:r>
      <w:r>
        <w:rPr>
          <w:rFonts w:hint="eastAsia" w:ascii="宋体" w:hAnsi="宋体" w:eastAsia="宋体" w:cs="Times New Roman"/>
          <w:color w:val="000000"/>
          <w:sz w:val="28"/>
          <w:szCs w:val="28"/>
        </w:rPr>
        <w:t>五</w:t>
      </w:r>
      <w:r>
        <w:rPr>
          <w:rFonts w:ascii="宋体" w:hAnsi="宋体" w:eastAsia="宋体" w:cs="Times New Roman"/>
          <w:color w:val="000000"/>
          <w:sz w:val="28"/>
          <w:szCs w:val="28"/>
        </w:rPr>
        <w:t>）环保设施建设情况与环评报告及批复对照</w:t>
      </w:r>
    </w:p>
    <w:p>
      <w:pPr>
        <w:pStyle w:val="60"/>
        <w:adjustRightInd w:val="0"/>
        <w:snapToGrid w:val="0"/>
        <w:spacing w:before="0" w:beforeAutospacing="0" w:after="0" w:afterAutospacing="0" w:line="460" w:lineRule="exact"/>
        <w:ind w:firstLine="560" w:firstLineChars="200"/>
        <w:jc w:val="both"/>
        <w:rPr>
          <w:rFonts w:ascii="宋体" w:hAnsi="宋体" w:eastAsia="宋体" w:cs="Times New Roman"/>
          <w:b/>
          <w:color w:val="000000"/>
        </w:rPr>
      </w:pPr>
      <w:r>
        <w:rPr>
          <w:rFonts w:ascii="宋体" w:hAnsi="宋体" w:eastAsia="宋体" w:cs="Times New Roman"/>
          <w:color w:val="000000"/>
          <w:sz w:val="28"/>
          <w:szCs w:val="28"/>
        </w:rPr>
        <w:t>环保设施建设情况与环评报告要求对照见表2。</w:t>
      </w:r>
    </w:p>
    <w:tbl>
      <w:tblPr>
        <w:tblStyle w:val="21"/>
        <w:tblW w:w="88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88"/>
        <w:gridCol w:w="878"/>
        <w:gridCol w:w="1026"/>
        <w:gridCol w:w="3245"/>
        <w:gridCol w:w="3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37" w:hRule="atLeast"/>
          <w:tblHeader/>
        </w:trPr>
        <w:tc>
          <w:tcPr>
            <w:tcW w:w="8833" w:type="dxa"/>
            <w:gridSpan w:val="5"/>
            <w:tcBorders>
              <w:top w:val="nil"/>
              <w:left w:val="nil"/>
              <w:bottom w:val="single" w:color="auto" w:sz="12" w:space="0"/>
              <w:right w:val="nil"/>
            </w:tcBorders>
            <w:vAlign w:val="center"/>
          </w:tcPr>
          <w:p>
            <w:pPr>
              <w:jc w:val="center"/>
              <w:rPr>
                <w:rFonts w:ascii="宋体" w:hAnsi="宋体" w:eastAsia="宋体" w:cs="Times New Roman"/>
                <w:b/>
                <w:szCs w:val="21"/>
              </w:rPr>
            </w:pPr>
            <w:r>
              <w:rPr>
                <w:rFonts w:ascii="宋体" w:hAnsi="宋体" w:eastAsia="宋体" w:cs="Times New Roman"/>
                <w:b/>
                <w:color w:val="000000"/>
                <w:sz w:val="24"/>
              </w:rPr>
              <w:t>表2环保设施建设情况与环评报告对照表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37" w:hRule="atLeast"/>
          <w:tblHeader/>
        </w:trPr>
        <w:tc>
          <w:tcPr>
            <w:tcW w:w="1366" w:type="dxa"/>
            <w:gridSpan w:val="2"/>
            <w:tcBorders>
              <w:top w:val="single" w:color="auto" w:sz="12" w:space="0"/>
              <w:left w:val="single" w:color="auto" w:sz="12" w:space="0"/>
              <w:bottom w:val="single" w:color="auto" w:sz="12" w:space="0"/>
              <w:right w:val="single" w:color="auto" w:sz="6" w:space="0"/>
            </w:tcBorders>
            <w:vAlign w:val="center"/>
          </w:tcPr>
          <w:p>
            <w:pPr>
              <w:jc w:val="center"/>
              <w:rPr>
                <w:rFonts w:ascii="宋体" w:hAnsi="宋体" w:eastAsia="宋体" w:cs="Times New Roman"/>
                <w:b/>
                <w:szCs w:val="21"/>
              </w:rPr>
            </w:pPr>
            <w:r>
              <w:rPr>
                <w:rFonts w:ascii="宋体" w:hAnsi="宋体" w:eastAsia="宋体" w:cs="Times New Roman"/>
                <w:b/>
                <w:szCs w:val="21"/>
              </w:rPr>
              <w:t>污染源</w:t>
            </w:r>
          </w:p>
        </w:tc>
        <w:tc>
          <w:tcPr>
            <w:tcW w:w="1026" w:type="dxa"/>
            <w:tcBorders>
              <w:top w:val="single" w:color="auto" w:sz="12" w:space="0"/>
              <w:left w:val="single" w:color="auto" w:sz="6" w:space="0"/>
              <w:bottom w:val="single" w:color="auto" w:sz="12" w:space="0"/>
              <w:right w:val="single" w:color="auto" w:sz="6" w:space="0"/>
            </w:tcBorders>
            <w:vAlign w:val="center"/>
          </w:tcPr>
          <w:p>
            <w:pPr>
              <w:jc w:val="center"/>
              <w:rPr>
                <w:rFonts w:ascii="宋体" w:hAnsi="宋体" w:eastAsia="宋体" w:cs="Times New Roman"/>
                <w:b/>
                <w:szCs w:val="21"/>
              </w:rPr>
            </w:pPr>
            <w:r>
              <w:rPr>
                <w:rFonts w:ascii="宋体" w:hAnsi="宋体" w:eastAsia="宋体" w:cs="Times New Roman"/>
                <w:b/>
                <w:szCs w:val="21"/>
              </w:rPr>
              <w:t>污染物</w:t>
            </w:r>
          </w:p>
        </w:tc>
        <w:tc>
          <w:tcPr>
            <w:tcW w:w="3245" w:type="dxa"/>
            <w:tcBorders>
              <w:top w:val="single" w:color="auto" w:sz="12" w:space="0"/>
              <w:left w:val="single" w:color="auto" w:sz="6" w:space="0"/>
              <w:bottom w:val="single" w:color="auto" w:sz="12" w:space="0"/>
              <w:right w:val="single" w:color="auto" w:sz="6" w:space="0"/>
            </w:tcBorders>
            <w:vAlign w:val="center"/>
          </w:tcPr>
          <w:p>
            <w:pPr>
              <w:jc w:val="center"/>
              <w:rPr>
                <w:rFonts w:ascii="宋体" w:hAnsi="宋体" w:eastAsia="宋体" w:cs="Times New Roman"/>
                <w:b/>
                <w:szCs w:val="21"/>
              </w:rPr>
            </w:pPr>
            <w:r>
              <w:rPr>
                <w:rFonts w:ascii="宋体" w:hAnsi="宋体" w:eastAsia="宋体" w:cs="Times New Roman"/>
                <w:b/>
                <w:szCs w:val="21"/>
              </w:rPr>
              <w:t>环评要求</w:t>
            </w:r>
          </w:p>
        </w:tc>
        <w:tc>
          <w:tcPr>
            <w:tcW w:w="3196" w:type="dxa"/>
            <w:tcBorders>
              <w:top w:val="single" w:color="auto" w:sz="12" w:space="0"/>
              <w:left w:val="single" w:color="auto" w:sz="6" w:space="0"/>
              <w:bottom w:val="single" w:color="auto" w:sz="12" w:space="0"/>
              <w:right w:val="single" w:color="auto" w:sz="12" w:space="0"/>
            </w:tcBorders>
            <w:vAlign w:val="center"/>
          </w:tcPr>
          <w:p>
            <w:pPr>
              <w:jc w:val="center"/>
              <w:rPr>
                <w:rFonts w:ascii="宋体" w:hAnsi="宋体" w:eastAsia="宋体" w:cs="Times New Roman"/>
                <w:b/>
                <w:szCs w:val="21"/>
              </w:rPr>
            </w:pPr>
            <w:r>
              <w:rPr>
                <w:rFonts w:ascii="宋体" w:hAnsi="宋体"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390" w:hRule="atLeast"/>
        </w:trPr>
        <w:tc>
          <w:tcPr>
            <w:tcW w:w="488" w:type="dxa"/>
            <w:vMerge w:val="restart"/>
            <w:tcBorders>
              <w:top w:val="single" w:color="auto" w:sz="12" w:space="0"/>
              <w:left w:val="single" w:color="auto" w:sz="12" w:space="0"/>
              <w:bottom w:val="single" w:color="auto" w:sz="6" w:space="0"/>
              <w:right w:val="single" w:color="auto" w:sz="6" w:space="0"/>
            </w:tcBorders>
            <w:vAlign w:val="center"/>
          </w:tcPr>
          <w:p>
            <w:pPr>
              <w:contextualSpacing/>
              <w:jc w:val="center"/>
              <w:rPr>
                <w:rFonts w:ascii="宋体" w:hAnsi="宋体" w:eastAsia="宋体" w:cs="Times New Roman"/>
                <w:szCs w:val="21"/>
              </w:rPr>
            </w:pPr>
            <w:r>
              <w:rPr>
                <w:rFonts w:ascii="宋体" w:hAnsi="宋体" w:eastAsia="宋体" w:cs="Times New Roman"/>
                <w:szCs w:val="21"/>
              </w:rPr>
              <w:t>废气</w:t>
            </w:r>
          </w:p>
        </w:tc>
        <w:tc>
          <w:tcPr>
            <w:tcW w:w="878" w:type="dxa"/>
            <w:tcBorders>
              <w:top w:val="single" w:color="auto" w:sz="12" w:space="0"/>
              <w:left w:val="single" w:color="auto" w:sz="6" w:space="0"/>
              <w:bottom w:val="single" w:color="auto" w:sz="6" w:space="0"/>
              <w:right w:val="single" w:color="auto" w:sz="6" w:space="0"/>
            </w:tcBorders>
            <w:vAlign w:val="center"/>
          </w:tcPr>
          <w:p>
            <w:pPr>
              <w:jc w:val="center"/>
              <w:rPr>
                <w:rFonts w:ascii="宋体" w:hAnsi="宋体" w:eastAsia="宋体" w:cs="Times New Roman"/>
                <w:color w:val="000000"/>
                <w:szCs w:val="21"/>
              </w:rPr>
            </w:pPr>
            <w:r>
              <w:rPr>
                <w:rFonts w:hint="eastAsia" w:ascii="宋体" w:hAnsi="宋体" w:eastAsia="宋体" w:cs="宋体"/>
              </w:rPr>
              <w:t>火车运输</w:t>
            </w:r>
          </w:p>
        </w:tc>
        <w:tc>
          <w:tcPr>
            <w:tcW w:w="1026" w:type="dxa"/>
            <w:tcBorders>
              <w:top w:val="single" w:color="auto" w:sz="12"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粉尘</w:t>
            </w:r>
          </w:p>
        </w:tc>
        <w:tc>
          <w:tcPr>
            <w:tcW w:w="3245" w:type="dxa"/>
            <w:tcBorders>
              <w:top w:val="single" w:color="auto" w:sz="12" w:space="0"/>
              <w:left w:val="single" w:color="auto" w:sz="6" w:space="0"/>
              <w:bottom w:val="single" w:color="auto" w:sz="6" w:space="0"/>
              <w:right w:val="single" w:color="auto" w:sz="6" w:space="0"/>
            </w:tcBorders>
            <w:vAlign w:val="center"/>
          </w:tcPr>
          <w:p>
            <w:pPr>
              <w:pStyle w:val="12"/>
              <w:spacing w:line="276" w:lineRule="auto"/>
              <w:rPr>
                <w:rFonts w:ascii="宋体" w:hAnsi="宋体" w:eastAsia="宋体" w:cs="Times New Roman"/>
              </w:rPr>
            </w:pPr>
            <w:r>
              <w:rPr>
                <w:rFonts w:hint="eastAsia" w:ascii="宋体" w:hAnsi="宋体" w:eastAsia="宋体"/>
              </w:rPr>
              <w:t>火车货车车厢全部加盖篷布，精煤含水率约为</w:t>
            </w:r>
            <w:r>
              <w:rPr>
                <w:rFonts w:ascii="宋体" w:hAnsi="宋体" w:eastAsia="宋体" w:cs="Times New Roman"/>
              </w:rPr>
              <w:t>10%-12%</w:t>
            </w:r>
            <w:r>
              <w:rPr>
                <w:rFonts w:hint="eastAsia" w:ascii="宋体" w:hAnsi="宋体" w:eastAsia="宋体"/>
              </w:rPr>
              <w:t>。</w:t>
            </w:r>
          </w:p>
        </w:tc>
        <w:tc>
          <w:tcPr>
            <w:tcW w:w="3196" w:type="dxa"/>
            <w:tcBorders>
              <w:top w:val="single" w:color="auto" w:sz="12" w:space="0"/>
              <w:left w:val="single" w:color="auto" w:sz="6" w:space="0"/>
              <w:bottom w:val="single" w:color="auto" w:sz="6" w:space="0"/>
              <w:right w:val="single" w:color="auto" w:sz="12" w:space="0"/>
            </w:tcBorders>
            <w:vAlign w:val="center"/>
          </w:tcPr>
          <w:p>
            <w:pPr>
              <w:jc w:val="left"/>
              <w:rPr>
                <w:rFonts w:ascii="宋体" w:hAnsi="宋体" w:eastAsia="宋体" w:cs="Times New Roman"/>
                <w:color w:val="000000"/>
                <w:szCs w:val="21"/>
              </w:rPr>
            </w:pPr>
            <w:r>
              <w:rPr>
                <w:rFonts w:hint="eastAsia" w:ascii="宋体" w:hAnsi="宋体" w:eastAsia="宋体"/>
                <w:szCs w:val="21"/>
              </w:rPr>
              <w:t>火车货</w:t>
            </w:r>
            <w:r>
              <w:rPr>
                <w:rFonts w:hint="eastAsia" w:ascii="宋体" w:hAnsi="宋体" w:eastAsia="宋体"/>
                <w:color w:val="auto"/>
                <w:szCs w:val="21"/>
              </w:rPr>
              <w:t>车车厢全部加盖篷布，精煤含水率约为</w:t>
            </w:r>
            <w:r>
              <w:rPr>
                <w:rFonts w:ascii="宋体" w:hAnsi="宋体" w:eastAsia="宋体" w:cs="Times New Roman"/>
                <w:color w:val="auto"/>
                <w:szCs w:val="21"/>
              </w:rPr>
              <w:t>10%-12%</w:t>
            </w:r>
            <w:r>
              <w:rPr>
                <w:rFonts w:hint="eastAsia" w:ascii="宋体" w:hAnsi="宋体" w:eastAsia="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382" w:hRule="atLeast"/>
        </w:trPr>
        <w:tc>
          <w:tcPr>
            <w:tcW w:w="488" w:type="dxa"/>
            <w:vMerge w:val="continue"/>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Times New Roman"/>
                <w:szCs w:val="21"/>
              </w:rPr>
            </w:pPr>
          </w:p>
        </w:tc>
        <w:tc>
          <w:tcPr>
            <w:tcW w:w="878" w:type="dxa"/>
            <w:tcBorders>
              <w:top w:val="single" w:color="auto" w:sz="6" w:space="0"/>
              <w:left w:val="single" w:color="auto" w:sz="6" w:space="0"/>
              <w:bottom w:val="single" w:color="auto" w:sz="6" w:space="0"/>
              <w:right w:val="single" w:color="auto" w:sz="6" w:space="0"/>
            </w:tcBorders>
            <w:vAlign w:val="center"/>
          </w:tcPr>
          <w:p>
            <w:pPr>
              <w:contextualSpacing/>
              <w:jc w:val="center"/>
              <w:rPr>
                <w:rFonts w:ascii="宋体" w:hAnsi="宋体" w:eastAsia="宋体" w:cs="Times New Roman"/>
                <w:szCs w:val="21"/>
              </w:rPr>
            </w:pPr>
            <w:r>
              <w:rPr>
                <w:rFonts w:hint="eastAsia" w:ascii="宋体" w:hAnsi="宋体" w:eastAsia="宋体" w:cs="宋体"/>
              </w:rPr>
              <w:t>卸煤</w:t>
            </w:r>
          </w:p>
        </w:tc>
        <w:tc>
          <w:tcPr>
            <w:tcW w:w="1026"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粉尘</w:t>
            </w:r>
          </w:p>
        </w:tc>
        <w:tc>
          <w:tcPr>
            <w:tcW w:w="3245" w:type="dxa"/>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Times New Roman"/>
                <w:spacing w:val="-2"/>
              </w:rPr>
            </w:pPr>
            <w:r>
              <w:rPr>
                <w:rFonts w:hint="eastAsia" w:ascii="宋体" w:hAnsi="宋体" w:eastAsia="宋体" w:cs="宋体"/>
              </w:rPr>
              <w:t>设置卸煤大棚，为轻钢结构，受火车进出限制，卸煤大棚北侧敞开，大棚东侧、西侧、南侧及顶部全部封闭；受煤坑设在卸煤大棚内，为地下钢筋混凝土结构。</w:t>
            </w:r>
          </w:p>
        </w:tc>
        <w:tc>
          <w:tcPr>
            <w:tcW w:w="3196"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eastAsia="宋体" w:cs="Times New Roman"/>
                <w:szCs w:val="21"/>
              </w:rPr>
            </w:pPr>
            <w:r>
              <w:rPr>
                <w:rFonts w:hint="eastAsia" w:ascii="宋体" w:hAnsi="宋体" w:eastAsia="宋体" w:cs="宋体"/>
              </w:rPr>
              <w:t>卸煤大棚封闭改为南、北侧火车进出口设置卷帘门，东面、西面、顶部全封闭。受煤坑设在卸煤大棚内，为地下钢筋混凝土结构。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575" w:hRule="atLeast"/>
        </w:trPr>
        <w:tc>
          <w:tcPr>
            <w:tcW w:w="488" w:type="dxa"/>
            <w:vMerge w:val="continue"/>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Times New Roman"/>
                <w:szCs w:val="21"/>
              </w:rPr>
            </w:pPr>
          </w:p>
        </w:tc>
        <w:tc>
          <w:tcPr>
            <w:tcW w:w="878" w:type="dxa"/>
            <w:tcBorders>
              <w:top w:val="single" w:color="auto" w:sz="6" w:space="0"/>
              <w:left w:val="single" w:color="auto" w:sz="6" w:space="0"/>
              <w:bottom w:val="single" w:color="auto" w:sz="6" w:space="0"/>
              <w:right w:val="single" w:color="auto" w:sz="6" w:space="0"/>
            </w:tcBorders>
            <w:vAlign w:val="center"/>
          </w:tcPr>
          <w:p>
            <w:pPr>
              <w:contextualSpacing/>
              <w:jc w:val="center"/>
              <w:rPr>
                <w:rFonts w:ascii="宋体" w:hAnsi="宋体" w:eastAsia="宋体" w:cs="Times New Roman"/>
                <w:szCs w:val="21"/>
              </w:rPr>
            </w:pPr>
            <w:r>
              <w:rPr>
                <w:rFonts w:hint="eastAsia" w:ascii="宋体" w:hAnsi="宋体" w:eastAsia="宋体" w:cs="宋体"/>
              </w:rPr>
              <w:t>转运</w:t>
            </w:r>
          </w:p>
        </w:tc>
        <w:tc>
          <w:tcPr>
            <w:tcW w:w="1026"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粉尘</w:t>
            </w:r>
          </w:p>
        </w:tc>
        <w:tc>
          <w:tcPr>
            <w:tcW w:w="3245" w:type="dxa"/>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Times New Roman"/>
              </w:rPr>
            </w:pPr>
            <w:r>
              <w:rPr>
                <w:rFonts w:hint="eastAsia" w:ascii="宋体" w:hAnsi="宋体" w:eastAsia="宋体" w:cs="宋体"/>
              </w:rPr>
              <w:t>转运站采取全封闭结构，运输皮带全部封闭，管廊机全封闭。</w:t>
            </w:r>
          </w:p>
        </w:tc>
        <w:tc>
          <w:tcPr>
            <w:tcW w:w="3196"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eastAsia="宋体" w:cs="Times New Roman"/>
                <w:szCs w:val="21"/>
              </w:rPr>
            </w:pPr>
            <w:r>
              <w:rPr>
                <w:rFonts w:hint="eastAsia" w:ascii="宋体" w:hAnsi="宋体" w:eastAsia="宋体" w:cs="宋体"/>
              </w:rPr>
              <w:t>转运站采取全封闭结构，运输皮带全部封闭，管廊机全封闭。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575" w:hRule="atLeast"/>
        </w:trPr>
        <w:tc>
          <w:tcPr>
            <w:tcW w:w="488" w:type="dxa"/>
            <w:vMerge w:val="continue"/>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Times New Roman"/>
                <w:szCs w:val="21"/>
              </w:rPr>
            </w:pPr>
          </w:p>
        </w:tc>
        <w:tc>
          <w:tcPr>
            <w:tcW w:w="878" w:type="dxa"/>
            <w:tcBorders>
              <w:top w:val="single" w:color="auto" w:sz="6" w:space="0"/>
              <w:left w:val="single" w:color="auto" w:sz="6" w:space="0"/>
              <w:bottom w:val="single" w:color="auto" w:sz="6" w:space="0"/>
              <w:right w:val="single" w:color="auto" w:sz="6" w:space="0"/>
            </w:tcBorders>
            <w:vAlign w:val="center"/>
          </w:tcPr>
          <w:p>
            <w:pPr>
              <w:contextualSpacing/>
              <w:jc w:val="center"/>
              <w:rPr>
                <w:rFonts w:ascii="宋体" w:hAnsi="宋体" w:eastAsia="宋体" w:cs="宋体"/>
              </w:rPr>
            </w:pPr>
            <w:r>
              <w:rPr>
                <w:rFonts w:hint="eastAsia" w:ascii="宋体" w:hAnsi="宋体" w:eastAsia="宋体" w:cs="宋体"/>
              </w:rPr>
              <w:t>贮存</w:t>
            </w:r>
          </w:p>
        </w:tc>
        <w:tc>
          <w:tcPr>
            <w:tcW w:w="1026"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粉尘</w:t>
            </w:r>
          </w:p>
        </w:tc>
        <w:tc>
          <w:tcPr>
            <w:tcW w:w="3245" w:type="dxa"/>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Times New Roman"/>
              </w:rPr>
            </w:pPr>
            <w:r>
              <w:rPr>
                <w:rFonts w:hint="eastAsia" w:ascii="宋体" w:hAnsi="宋体" w:eastAsia="宋体" w:cs="宋体"/>
              </w:rPr>
              <w:t>采用钢筋混凝土结构筒仓贮存。</w:t>
            </w:r>
          </w:p>
        </w:tc>
        <w:tc>
          <w:tcPr>
            <w:tcW w:w="3196"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eastAsia="宋体" w:cs="Times New Roman"/>
                <w:szCs w:val="21"/>
              </w:rPr>
            </w:pPr>
            <w:r>
              <w:rPr>
                <w:rFonts w:hint="eastAsia" w:ascii="宋体" w:hAnsi="宋体" w:eastAsia="宋体" w:cs="宋体"/>
              </w:rPr>
              <w:t>贮存采用钢筋混凝土结构筒仓（利旧设施）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537" w:hRule="atLeast"/>
        </w:trPr>
        <w:tc>
          <w:tcPr>
            <w:tcW w:w="488" w:type="dxa"/>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Times New Roman"/>
                <w:szCs w:val="21"/>
              </w:rPr>
            </w:pPr>
            <w:r>
              <w:rPr>
                <w:rFonts w:ascii="宋体" w:hAnsi="宋体" w:eastAsia="宋体" w:cs="Times New Roman"/>
                <w:szCs w:val="21"/>
              </w:rPr>
              <w:t>废水</w:t>
            </w:r>
          </w:p>
        </w:tc>
        <w:tc>
          <w:tcPr>
            <w:tcW w:w="87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000000"/>
                <w:szCs w:val="21"/>
              </w:rPr>
            </w:pPr>
            <w:r>
              <w:rPr>
                <w:rFonts w:hint="eastAsia" w:ascii="宋体" w:hAnsi="宋体" w:eastAsia="宋体" w:cs="宋体"/>
              </w:rPr>
              <w:t>办公生活</w:t>
            </w:r>
          </w:p>
        </w:tc>
        <w:tc>
          <w:tcPr>
            <w:tcW w:w="1026"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生活废水</w:t>
            </w:r>
          </w:p>
        </w:tc>
        <w:tc>
          <w:tcPr>
            <w:tcW w:w="3245" w:type="dxa"/>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Times New Roman"/>
              </w:rPr>
            </w:pPr>
            <w:r>
              <w:rPr>
                <w:rFonts w:hint="eastAsia" w:ascii="宋体" w:hAnsi="宋体" w:eastAsia="宋体" w:cs="宋体"/>
                <w:shd w:val="clear" w:color="auto" w:fill="FFFFFF"/>
              </w:rPr>
              <w:t>经焦化厂化粪池处理后排入太钢厂区现有生活污水排水管网，最终进入太钢赵庄污水处理厂处理后回用，不外排</w:t>
            </w:r>
            <w:r>
              <w:rPr>
                <w:rFonts w:hint="eastAsia" w:ascii="宋体" w:hAnsi="宋体" w:eastAsia="宋体" w:cs="宋体"/>
              </w:rPr>
              <w:t>。</w:t>
            </w:r>
          </w:p>
        </w:tc>
        <w:tc>
          <w:tcPr>
            <w:tcW w:w="3196"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eastAsia="宋体" w:cs="Times New Roman"/>
                <w:szCs w:val="21"/>
              </w:rPr>
            </w:pPr>
            <w:r>
              <w:rPr>
                <w:rFonts w:hint="eastAsia" w:ascii="宋体" w:hAnsi="宋体" w:eastAsia="宋体" w:cs="宋体"/>
              </w:rPr>
              <w:t>本项目无生产废水产生，生活污水经焦化厂化粪池处理后排入太钢厂区现有生活污水排水管网，最终进入太钢赵庄污水处理厂处理后回用，不外排。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892" w:hRule="atLeast"/>
        </w:trPr>
        <w:tc>
          <w:tcPr>
            <w:tcW w:w="488" w:type="dxa"/>
            <w:vMerge w:val="restart"/>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Times New Roman"/>
                <w:szCs w:val="21"/>
              </w:rPr>
            </w:pPr>
            <w:r>
              <w:rPr>
                <w:rFonts w:hint="eastAsia" w:ascii="宋体" w:hAnsi="宋体" w:eastAsia="宋体" w:cs="Times New Roman"/>
                <w:szCs w:val="21"/>
              </w:rPr>
              <w:t>噪声</w:t>
            </w:r>
          </w:p>
        </w:tc>
        <w:tc>
          <w:tcPr>
            <w:tcW w:w="878"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宋体"/>
              </w:rPr>
              <w:t>铁路</w:t>
            </w:r>
          </w:p>
        </w:tc>
        <w:tc>
          <w:tcPr>
            <w:tcW w:w="102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噪声</w:t>
            </w:r>
          </w:p>
        </w:tc>
        <w:tc>
          <w:tcPr>
            <w:tcW w:w="3245" w:type="dxa"/>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Times New Roman"/>
              </w:rPr>
            </w:pPr>
            <w:r>
              <w:rPr>
                <w:rFonts w:hint="eastAsia" w:ascii="宋体" w:hAnsi="宋体" w:eastAsia="宋体" w:cs="宋体"/>
                <w:shd w:val="clear" w:color="auto" w:fill="FFFFFF"/>
              </w:rPr>
              <w:t>铁路线东侧进行植树绿化；并建议规划部门在新建铁路外侧轨道</w:t>
            </w:r>
            <w:r>
              <w:rPr>
                <w:rFonts w:ascii="宋体" w:hAnsi="宋体" w:eastAsia="宋体" w:cs="Times New Roman"/>
                <w:shd w:val="clear" w:color="auto" w:fill="FFFFFF"/>
              </w:rPr>
              <w:t>30m</w:t>
            </w:r>
            <w:r>
              <w:rPr>
                <w:rFonts w:hint="eastAsia" w:ascii="宋体" w:hAnsi="宋体" w:eastAsia="宋体" w:cs="宋体"/>
                <w:shd w:val="clear" w:color="auto" w:fill="FFFFFF"/>
              </w:rPr>
              <w:t>范围内不再规划建设医院、学校、居民住宅等噪声敏感建筑物。</w:t>
            </w:r>
          </w:p>
        </w:tc>
        <w:tc>
          <w:tcPr>
            <w:tcW w:w="3196"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eastAsia="宋体" w:cs="Times New Roman"/>
                <w:szCs w:val="21"/>
              </w:rPr>
            </w:pPr>
            <w:r>
              <w:rPr>
                <w:rFonts w:hint="eastAsia" w:ascii="宋体" w:hAnsi="宋体" w:eastAsia="宋体" w:cs="宋体"/>
                <w:shd w:val="clear" w:color="auto" w:fill="FFFFFF"/>
              </w:rPr>
              <w:t>铁路线东侧进行植树绿化；并建议规划部门在新建铁路外侧轨道</w:t>
            </w:r>
            <w:r>
              <w:rPr>
                <w:rFonts w:ascii="宋体" w:hAnsi="宋体" w:eastAsia="宋体" w:cs="Times New Roman"/>
                <w:shd w:val="clear" w:color="auto" w:fill="FFFFFF"/>
              </w:rPr>
              <w:t>30m</w:t>
            </w:r>
            <w:r>
              <w:rPr>
                <w:rFonts w:hint="eastAsia" w:ascii="宋体" w:hAnsi="宋体" w:eastAsia="宋体" w:cs="宋体"/>
                <w:shd w:val="clear" w:color="auto" w:fill="FFFFFF"/>
              </w:rPr>
              <w:t>范围内不再规划建设医院、学校、居民住宅等噪声敏感建筑物。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045" w:hRule="atLeast"/>
        </w:trPr>
        <w:tc>
          <w:tcPr>
            <w:tcW w:w="488" w:type="dxa"/>
            <w:vMerge w:val="continue"/>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Times New Roman"/>
                <w:szCs w:val="21"/>
              </w:rPr>
            </w:pPr>
          </w:p>
        </w:tc>
        <w:tc>
          <w:tcPr>
            <w:tcW w:w="878"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宋体"/>
              </w:rPr>
              <w:t>卸煤机、给煤机、除杂器、皮带输送机</w:t>
            </w:r>
          </w:p>
        </w:tc>
        <w:tc>
          <w:tcPr>
            <w:tcW w:w="102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000000"/>
                <w:szCs w:val="21"/>
              </w:rPr>
            </w:pPr>
            <w:r>
              <w:rPr>
                <w:rFonts w:hint="eastAsia" w:ascii="宋体" w:hAnsi="宋体" w:eastAsia="宋体" w:cs="Times New Roman"/>
                <w:color w:val="000000"/>
                <w:szCs w:val="21"/>
              </w:rPr>
              <w:t>噪声</w:t>
            </w:r>
          </w:p>
        </w:tc>
        <w:tc>
          <w:tcPr>
            <w:tcW w:w="3245" w:type="dxa"/>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Times New Roman"/>
              </w:rPr>
            </w:pPr>
            <w:r>
              <w:rPr>
                <w:rFonts w:hint="eastAsia" w:ascii="宋体" w:hAnsi="宋体" w:eastAsia="宋体" w:cs="宋体"/>
                <w:shd w:val="clear" w:color="auto" w:fill="FFFFFF"/>
              </w:rPr>
              <w:t>优化设备选型，选用高效低噪设备，加强设备的日常维护；卸煤机布置在卸煤大棚内，卸煤大棚采取轻钢结构，除火车进口方向敞开，其余</w:t>
            </w:r>
            <w:r>
              <w:rPr>
                <w:rFonts w:ascii="宋体" w:hAnsi="宋体" w:eastAsia="宋体" w:cs="Times New Roman"/>
                <w:shd w:val="clear" w:color="auto" w:fill="FFFFFF"/>
              </w:rPr>
              <w:t>4</w:t>
            </w:r>
            <w:r>
              <w:rPr>
                <w:rFonts w:hint="eastAsia" w:ascii="宋体" w:hAnsi="宋体" w:eastAsia="宋体" w:cs="宋体"/>
                <w:shd w:val="clear" w:color="auto" w:fill="FFFFFF"/>
              </w:rPr>
              <w:t>个面全部封闭，卸煤机布置在卸煤大棚最南侧；受煤坑设在卸煤大棚内，为地下钢筋混凝土结构；转运站和物料输送皮带全封闭；设备基础减振；钢筋混凝土挡土墙隔声。</w:t>
            </w:r>
          </w:p>
        </w:tc>
        <w:tc>
          <w:tcPr>
            <w:tcW w:w="3196" w:type="dxa"/>
            <w:tcBorders>
              <w:top w:val="single" w:color="auto" w:sz="6" w:space="0"/>
              <w:left w:val="single" w:color="auto" w:sz="6" w:space="0"/>
              <w:bottom w:val="single" w:color="auto" w:sz="6" w:space="0"/>
              <w:right w:val="single" w:color="auto" w:sz="12" w:space="0"/>
            </w:tcBorders>
            <w:vAlign w:val="center"/>
          </w:tcPr>
          <w:p>
            <w:pPr>
              <w:jc w:val="left"/>
              <w:rPr>
                <w:rFonts w:ascii="宋体" w:hAnsi="宋体" w:eastAsia="宋体" w:cs="Times New Roman"/>
                <w:szCs w:val="21"/>
              </w:rPr>
            </w:pPr>
            <w:r>
              <w:rPr>
                <w:rFonts w:hint="eastAsia" w:ascii="宋体" w:hAnsi="宋体" w:eastAsia="宋体" w:cs="宋体"/>
                <w:shd w:val="clear" w:color="auto" w:fill="FFFFFF"/>
              </w:rPr>
              <w:t>优化设备选型，选用高效低噪设备，加强设备的日常维护；卸煤机布置在卸煤大棚内最南侧，</w:t>
            </w:r>
            <w:r>
              <w:rPr>
                <w:rFonts w:hint="eastAsia" w:ascii="宋体" w:hAnsi="宋体" w:eastAsia="宋体" w:cs="宋体"/>
              </w:rPr>
              <w:t>卸煤大棚封闭改为南、北侧火车进出口设置卷帘门，东面、西面、顶部全封闭。</w:t>
            </w:r>
            <w:r>
              <w:rPr>
                <w:rFonts w:hint="eastAsia" w:ascii="宋体" w:hAnsi="宋体" w:eastAsia="宋体" w:cs="宋体"/>
                <w:shd w:val="clear" w:color="auto" w:fill="FFFFFF"/>
              </w:rPr>
              <w:t>受煤坑设在卸煤大棚内，为地下钢筋混凝土结构；转运站和物料输送皮带全封闭；设备基础减振；钢筋混凝土挡土墙隔声。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826" w:hRule="atLeast"/>
        </w:trPr>
        <w:tc>
          <w:tcPr>
            <w:tcW w:w="488" w:type="dxa"/>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宋体"/>
                <w:shd w:val="clear" w:color="auto" w:fill="FFFFFF"/>
              </w:rPr>
            </w:pPr>
            <w:r>
              <w:rPr>
                <w:rFonts w:hint="eastAsia" w:ascii="宋体" w:hAnsi="宋体" w:eastAsia="宋体" w:cs="宋体"/>
                <w:shd w:val="clear" w:color="auto" w:fill="FFFFFF"/>
              </w:rPr>
              <w:t>振动</w:t>
            </w:r>
          </w:p>
        </w:tc>
        <w:tc>
          <w:tcPr>
            <w:tcW w:w="87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000000"/>
                <w:szCs w:val="21"/>
              </w:rPr>
            </w:pPr>
            <w:r>
              <w:rPr>
                <w:rFonts w:hint="eastAsia" w:ascii="宋体" w:hAnsi="宋体" w:eastAsia="宋体" w:cs="宋体"/>
              </w:rPr>
              <w:t>火车运输</w:t>
            </w:r>
          </w:p>
        </w:tc>
        <w:tc>
          <w:tcPr>
            <w:tcW w:w="1026"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Times New Roman"/>
                <w:color w:val="000000"/>
                <w:szCs w:val="21"/>
              </w:rPr>
            </w:pPr>
            <w:r>
              <w:rPr>
                <w:rFonts w:hint="eastAsia" w:ascii="宋体" w:hAnsi="宋体" w:eastAsia="宋体" w:cs="宋体"/>
                <w:shd w:val="clear" w:color="auto" w:fill="FFFFFF"/>
              </w:rPr>
              <w:t>振动</w:t>
            </w:r>
          </w:p>
        </w:tc>
        <w:tc>
          <w:tcPr>
            <w:tcW w:w="3245" w:type="dxa"/>
            <w:tcBorders>
              <w:top w:val="single" w:color="auto" w:sz="6" w:space="0"/>
              <w:left w:val="single" w:color="auto" w:sz="6" w:space="0"/>
              <w:bottom w:val="single" w:color="auto" w:sz="6" w:space="0"/>
              <w:right w:val="single" w:color="auto" w:sz="6" w:space="0"/>
            </w:tcBorders>
            <w:vAlign w:val="center"/>
          </w:tcPr>
          <w:p>
            <w:pPr>
              <w:contextualSpacing/>
              <w:jc w:val="left"/>
              <w:rPr>
                <w:rFonts w:ascii="宋体" w:hAnsi="宋体" w:eastAsia="宋体" w:cs="Times New Roman"/>
                <w:szCs w:val="21"/>
              </w:rPr>
            </w:pPr>
            <w:r>
              <w:rPr>
                <w:rFonts w:hint="eastAsia" w:ascii="宋体" w:hAnsi="宋体" w:eastAsia="宋体" w:cs="宋体"/>
                <w:shd w:val="clear" w:color="auto" w:fill="FFFFFF"/>
              </w:rPr>
              <w:t>加强运营管理措施，对车轮定期进行铣、镟；建议规划部门在临近线路两侧</w:t>
            </w:r>
            <w:r>
              <w:rPr>
                <w:rFonts w:ascii="宋体" w:hAnsi="宋体" w:eastAsia="宋体" w:cs="Times New Roman"/>
                <w:shd w:val="clear" w:color="auto" w:fill="FFFFFF"/>
              </w:rPr>
              <w:t>35m</w:t>
            </w:r>
            <w:r>
              <w:rPr>
                <w:rFonts w:hint="eastAsia" w:ascii="宋体" w:hAnsi="宋体" w:eastAsia="宋体" w:cs="宋体"/>
                <w:shd w:val="clear" w:color="auto" w:fill="FFFFFF"/>
              </w:rPr>
              <w:t>以内不规划居民住宅、学校、医院等振动敏感建筑物。</w:t>
            </w:r>
          </w:p>
        </w:tc>
        <w:tc>
          <w:tcPr>
            <w:tcW w:w="3196" w:type="dxa"/>
            <w:tcBorders>
              <w:top w:val="single" w:color="auto" w:sz="6" w:space="0"/>
              <w:left w:val="single" w:color="auto" w:sz="6" w:space="0"/>
              <w:bottom w:val="single" w:color="auto" w:sz="6" w:space="0"/>
              <w:right w:val="single" w:color="auto" w:sz="12" w:space="0"/>
            </w:tcBorders>
            <w:vAlign w:val="center"/>
          </w:tcPr>
          <w:p>
            <w:pPr>
              <w:contextualSpacing/>
              <w:jc w:val="left"/>
              <w:rPr>
                <w:rFonts w:ascii="宋体" w:hAnsi="宋体" w:eastAsia="宋体" w:cs="Times New Roman"/>
                <w:szCs w:val="21"/>
              </w:rPr>
            </w:pPr>
            <w:r>
              <w:rPr>
                <w:rFonts w:hint="eastAsia" w:ascii="宋体" w:hAnsi="宋体" w:eastAsia="宋体" w:cs="宋体"/>
                <w:shd w:val="clear" w:color="auto" w:fill="FFFFFF"/>
              </w:rPr>
              <w:t>加强运营管理措施，对车轮定期进行铣、镟；建议规划部门在临近线路两侧</w:t>
            </w:r>
            <w:r>
              <w:rPr>
                <w:rFonts w:ascii="宋体" w:hAnsi="宋体" w:eastAsia="宋体" w:cs="Times New Roman"/>
                <w:shd w:val="clear" w:color="auto" w:fill="FFFFFF"/>
              </w:rPr>
              <w:t>35m</w:t>
            </w:r>
            <w:r>
              <w:rPr>
                <w:rFonts w:hint="eastAsia" w:ascii="宋体" w:hAnsi="宋体" w:eastAsia="宋体" w:cs="宋体"/>
                <w:shd w:val="clear" w:color="auto" w:fill="FFFFFF"/>
              </w:rPr>
              <w:t>以内不规划居民住宅、学校、医院等振动敏感建筑物。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3" w:hRule="atLeast"/>
        </w:trPr>
        <w:tc>
          <w:tcPr>
            <w:tcW w:w="488" w:type="dxa"/>
            <w:vMerge w:val="restart"/>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宋体"/>
                <w:shd w:val="clear" w:color="auto" w:fill="FFFFFF"/>
              </w:rPr>
            </w:pPr>
            <w:r>
              <w:rPr>
                <w:rFonts w:hint="eastAsia" w:ascii="宋体" w:hAnsi="宋体" w:eastAsia="宋体" w:cs="宋体"/>
                <w:szCs w:val="21"/>
              </w:rPr>
              <w:t>固体废物</w:t>
            </w:r>
          </w:p>
        </w:tc>
        <w:tc>
          <w:tcPr>
            <w:tcW w:w="878" w:type="dxa"/>
            <w:tcBorders>
              <w:top w:val="single" w:color="auto" w:sz="6" w:space="0"/>
              <w:left w:val="single" w:color="auto" w:sz="6" w:space="0"/>
              <w:bottom w:val="single" w:color="auto" w:sz="6" w:space="0"/>
              <w:right w:val="single" w:color="auto" w:sz="6" w:space="0"/>
            </w:tcBorders>
            <w:vAlign w:val="center"/>
          </w:tcPr>
          <w:p>
            <w:pPr>
              <w:jc w:val="center"/>
              <w:rPr>
                <w:rFonts w:ascii="宋体" w:hAnsi="宋体" w:eastAsia="宋体" w:cs="宋体"/>
              </w:rPr>
            </w:pPr>
            <w:r>
              <w:rPr>
                <w:rFonts w:hint="eastAsia" w:ascii="宋体" w:hAnsi="宋体" w:eastAsia="宋体" w:cs="宋体"/>
              </w:rPr>
              <w:t>除铁器</w:t>
            </w:r>
          </w:p>
        </w:tc>
        <w:tc>
          <w:tcPr>
            <w:tcW w:w="1026"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铁屑</w:t>
            </w:r>
          </w:p>
        </w:tc>
        <w:tc>
          <w:tcPr>
            <w:tcW w:w="3245" w:type="dxa"/>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Times New Roman"/>
              </w:rPr>
            </w:pPr>
            <w:r>
              <w:rPr>
                <w:rFonts w:hint="eastAsia" w:ascii="宋体" w:hAnsi="宋体" w:eastAsia="宋体" w:cs="宋体"/>
              </w:rPr>
              <w:t>收集后送到太钢高炉生产系统作为生产原料利用。</w:t>
            </w:r>
          </w:p>
        </w:tc>
        <w:tc>
          <w:tcPr>
            <w:tcW w:w="3196" w:type="dxa"/>
            <w:tcBorders>
              <w:top w:val="single" w:color="auto" w:sz="6" w:space="0"/>
              <w:left w:val="single" w:color="auto" w:sz="6" w:space="0"/>
              <w:bottom w:val="single" w:color="auto" w:sz="6" w:space="0"/>
              <w:right w:val="single" w:color="auto" w:sz="12" w:space="0"/>
            </w:tcBorders>
            <w:vAlign w:val="center"/>
          </w:tcPr>
          <w:p>
            <w:pPr>
              <w:spacing w:line="276" w:lineRule="auto"/>
              <w:rPr>
                <w:rFonts w:ascii="宋体" w:hAnsi="宋体" w:eastAsia="宋体" w:cs="Times New Roman"/>
              </w:rPr>
            </w:pPr>
            <w:r>
              <w:rPr>
                <w:rFonts w:hint="eastAsia" w:ascii="宋体" w:hAnsi="宋体" w:eastAsia="宋体" w:cs="宋体"/>
              </w:rPr>
              <w:t>收集后送到太钢高炉生产系统作为生产原料利用。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418" w:hRule="atLeast"/>
        </w:trPr>
        <w:tc>
          <w:tcPr>
            <w:tcW w:w="488" w:type="dxa"/>
            <w:vMerge w:val="continue"/>
            <w:tcBorders>
              <w:top w:val="single" w:color="auto" w:sz="6" w:space="0"/>
              <w:left w:val="single" w:color="auto" w:sz="12" w:space="0"/>
              <w:bottom w:val="single" w:color="auto" w:sz="6" w:space="0"/>
              <w:right w:val="single" w:color="auto" w:sz="6" w:space="0"/>
            </w:tcBorders>
            <w:vAlign w:val="center"/>
          </w:tcPr>
          <w:p>
            <w:pPr>
              <w:contextualSpacing/>
              <w:jc w:val="center"/>
              <w:rPr>
                <w:rFonts w:ascii="宋体" w:hAnsi="宋体" w:eastAsia="宋体" w:cs="宋体"/>
                <w:szCs w:val="21"/>
              </w:rPr>
            </w:pPr>
          </w:p>
        </w:tc>
        <w:tc>
          <w:tcPr>
            <w:tcW w:w="878"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宋体"/>
              </w:rPr>
              <w:t>除杂器</w:t>
            </w:r>
          </w:p>
        </w:tc>
        <w:tc>
          <w:tcPr>
            <w:tcW w:w="1026"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固废</w:t>
            </w:r>
            <w:r>
              <w:rPr>
                <w:rFonts w:hint="eastAsia" w:ascii="宋体" w:hAnsi="宋体" w:eastAsia="宋体" w:cs="宋体"/>
                <w:szCs w:val="21"/>
              </w:rPr>
              <w:t xml:space="preserve">                </w:t>
            </w:r>
          </w:p>
        </w:tc>
        <w:tc>
          <w:tcPr>
            <w:tcW w:w="3245" w:type="dxa"/>
            <w:vMerge w:val="restart"/>
            <w:tcBorders>
              <w:top w:val="single" w:color="auto" w:sz="6" w:space="0"/>
              <w:left w:val="single" w:color="auto" w:sz="6" w:space="0"/>
              <w:bottom w:val="single" w:color="auto" w:sz="6" w:space="0"/>
              <w:right w:val="single" w:color="auto" w:sz="6" w:space="0"/>
            </w:tcBorders>
            <w:vAlign w:val="center"/>
          </w:tcPr>
          <w:p>
            <w:pPr>
              <w:spacing w:line="276" w:lineRule="auto"/>
              <w:rPr>
                <w:rFonts w:ascii="宋体" w:hAnsi="宋体" w:eastAsia="宋体" w:cs="宋体"/>
              </w:rPr>
            </w:pPr>
            <w:r>
              <w:rPr>
                <w:rFonts w:hint="eastAsia" w:ascii="宋体" w:hAnsi="宋体" w:eastAsia="宋体" w:cs="宋体"/>
              </w:rPr>
              <w:t>集中收集后委托当地环卫部门统一处理</w:t>
            </w:r>
          </w:p>
        </w:tc>
        <w:tc>
          <w:tcPr>
            <w:tcW w:w="3196" w:type="dxa"/>
            <w:vMerge w:val="restart"/>
            <w:tcBorders>
              <w:top w:val="single" w:color="auto" w:sz="6" w:space="0"/>
              <w:left w:val="single" w:color="auto" w:sz="6" w:space="0"/>
              <w:bottom w:val="single" w:color="auto" w:sz="6" w:space="0"/>
              <w:right w:val="single" w:color="auto" w:sz="12" w:space="0"/>
            </w:tcBorders>
            <w:vAlign w:val="center"/>
          </w:tcPr>
          <w:p>
            <w:pPr>
              <w:spacing w:line="276" w:lineRule="auto"/>
              <w:rPr>
                <w:rFonts w:ascii="宋体" w:hAnsi="宋体" w:eastAsia="宋体" w:cs="宋体"/>
              </w:rPr>
            </w:pPr>
            <w:r>
              <w:rPr>
                <w:rFonts w:hint="eastAsia" w:ascii="宋体" w:hAnsi="宋体" w:eastAsia="宋体" w:cs="宋体"/>
              </w:rPr>
              <w:t>集中收集后委托当地环卫部门统一处理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507" w:hRule="atLeast"/>
        </w:trPr>
        <w:tc>
          <w:tcPr>
            <w:tcW w:w="488" w:type="dxa"/>
            <w:vMerge w:val="continue"/>
            <w:tcBorders>
              <w:top w:val="single" w:color="auto" w:sz="6" w:space="0"/>
              <w:left w:val="single" w:color="auto" w:sz="12" w:space="0"/>
              <w:bottom w:val="single" w:color="auto" w:sz="12" w:space="0"/>
              <w:right w:val="single" w:color="auto" w:sz="6" w:space="0"/>
            </w:tcBorders>
            <w:vAlign w:val="center"/>
          </w:tcPr>
          <w:p>
            <w:pPr>
              <w:contextualSpacing/>
              <w:jc w:val="center"/>
              <w:rPr>
                <w:rFonts w:ascii="宋体" w:hAnsi="宋体" w:eastAsia="宋体" w:cs="宋体"/>
                <w:szCs w:val="21"/>
              </w:rPr>
            </w:pPr>
          </w:p>
        </w:tc>
        <w:tc>
          <w:tcPr>
            <w:tcW w:w="878" w:type="dxa"/>
            <w:tcBorders>
              <w:top w:val="single" w:color="auto" w:sz="6" w:space="0"/>
              <w:left w:val="single" w:color="auto" w:sz="6" w:space="0"/>
              <w:bottom w:val="single" w:color="auto" w:sz="12"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宋体"/>
              </w:rPr>
              <w:t>办公生活</w:t>
            </w:r>
          </w:p>
        </w:tc>
        <w:tc>
          <w:tcPr>
            <w:tcW w:w="1026" w:type="dxa"/>
            <w:tcBorders>
              <w:top w:val="single" w:color="auto" w:sz="6" w:space="0"/>
              <w:left w:val="single" w:color="auto" w:sz="6" w:space="0"/>
              <w:bottom w:val="single" w:color="auto" w:sz="12" w:space="0"/>
              <w:right w:val="single" w:color="auto" w:sz="6" w:space="0"/>
            </w:tcBorders>
            <w:vAlign w:val="center"/>
          </w:tcPr>
          <w:p>
            <w:pPr>
              <w:spacing w:line="276" w:lineRule="auto"/>
              <w:jc w:val="center"/>
              <w:rPr>
                <w:rFonts w:ascii="宋体" w:hAnsi="宋体" w:eastAsia="宋体" w:cs="Times New Roman"/>
              </w:rPr>
            </w:pPr>
            <w:r>
              <w:rPr>
                <w:rFonts w:hint="eastAsia" w:ascii="宋体" w:hAnsi="宋体" w:eastAsia="宋体" w:cs="Times New Roman"/>
              </w:rPr>
              <w:t>生活垃圾</w:t>
            </w:r>
          </w:p>
        </w:tc>
        <w:tc>
          <w:tcPr>
            <w:tcW w:w="3245" w:type="dxa"/>
            <w:vMerge w:val="continue"/>
            <w:tcBorders>
              <w:top w:val="single" w:color="auto" w:sz="6" w:space="0"/>
              <w:left w:val="single" w:color="auto" w:sz="6" w:space="0"/>
              <w:bottom w:val="single" w:color="auto" w:sz="12" w:space="0"/>
              <w:right w:val="single" w:color="auto" w:sz="6" w:space="0"/>
            </w:tcBorders>
            <w:vAlign w:val="center"/>
          </w:tcPr>
          <w:p>
            <w:pPr>
              <w:spacing w:line="276" w:lineRule="auto"/>
              <w:rPr>
                <w:rFonts w:ascii="宋体" w:hAnsi="宋体" w:eastAsia="宋体" w:cs="宋体"/>
              </w:rPr>
            </w:pPr>
          </w:p>
        </w:tc>
        <w:tc>
          <w:tcPr>
            <w:tcW w:w="3196" w:type="dxa"/>
            <w:vMerge w:val="continue"/>
            <w:tcBorders>
              <w:top w:val="single" w:color="auto" w:sz="6" w:space="0"/>
              <w:left w:val="single" w:color="auto" w:sz="6" w:space="0"/>
              <w:bottom w:val="single" w:color="auto" w:sz="12" w:space="0"/>
              <w:right w:val="single" w:color="auto" w:sz="12" w:space="0"/>
            </w:tcBorders>
            <w:vAlign w:val="center"/>
          </w:tcPr>
          <w:p>
            <w:pPr>
              <w:contextualSpacing/>
              <w:jc w:val="left"/>
              <w:rPr>
                <w:rFonts w:ascii="宋体" w:hAnsi="宋体" w:eastAsia="宋体" w:cs="Times New Roman"/>
                <w:szCs w:val="21"/>
              </w:rPr>
            </w:pPr>
          </w:p>
        </w:tc>
      </w:tr>
    </w:tbl>
    <w:p>
      <w:pPr>
        <w:pStyle w:val="60"/>
        <w:snapToGrid w:val="0"/>
        <w:spacing w:before="0" w:beforeAutospacing="0" w:after="0" w:afterAutospacing="0" w:line="500" w:lineRule="exact"/>
        <w:ind w:firstLine="560" w:firstLineChars="200"/>
        <w:jc w:val="both"/>
        <w:rPr>
          <w:rFonts w:ascii="宋体" w:hAnsi="宋体" w:eastAsia="宋体" w:cs="Times New Roman"/>
          <w:b/>
          <w:color w:val="000000"/>
        </w:rPr>
      </w:pPr>
      <w:r>
        <w:rPr>
          <w:rFonts w:ascii="宋体" w:hAnsi="宋体" w:eastAsia="宋体" w:cs="Times New Roman"/>
          <w:color w:val="000000"/>
          <w:sz w:val="28"/>
          <w:szCs w:val="28"/>
        </w:rPr>
        <w:t>环保设施实际建设情况与环评批复要求对照见表</w:t>
      </w:r>
      <w:r>
        <w:rPr>
          <w:rFonts w:hint="eastAsia" w:ascii="宋体" w:hAnsi="宋体" w:eastAsia="宋体" w:cs="Times New Roman"/>
          <w:color w:val="000000"/>
          <w:sz w:val="28"/>
          <w:szCs w:val="28"/>
        </w:rPr>
        <w:t>3</w:t>
      </w:r>
      <w:r>
        <w:rPr>
          <w:rFonts w:ascii="宋体" w:hAnsi="宋体" w:eastAsia="宋体" w:cs="Times New Roman"/>
          <w:color w:val="000000"/>
          <w:sz w:val="28"/>
          <w:szCs w:val="28"/>
        </w:rPr>
        <w:t>。</w:t>
      </w:r>
    </w:p>
    <w:tbl>
      <w:tblPr>
        <w:tblStyle w:val="22"/>
        <w:tblW w:w="883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8"/>
        <w:gridCol w:w="4008"/>
        <w:gridCol w:w="4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8833" w:type="dxa"/>
            <w:gridSpan w:val="3"/>
            <w:tcBorders>
              <w:top w:val="nil"/>
              <w:left w:val="nil"/>
              <w:bottom w:val="single" w:color="auto" w:sz="12" w:space="0"/>
              <w:right w:val="nil"/>
            </w:tcBorders>
            <w:vAlign w:val="center"/>
          </w:tcPr>
          <w:p>
            <w:pPr>
              <w:snapToGrid w:val="0"/>
              <w:jc w:val="center"/>
              <w:rPr>
                <w:rFonts w:ascii="宋体" w:hAnsi="宋体" w:eastAsia="宋体" w:cs="Times New Roman"/>
                <w:b/>
                <w:sz w:val="24"/>
              </w:rPr>
            </w:pPr>
            <w:r>
              <w:rPr>
                <w:rFonts w:ascii="宋体" w:hAnsi="宋体" w:eastAsia="宋体" w:cs="Times New Roman"/>
                <w:b/>
                <w:color w:val="000000"/>
                <w:sz w:val="24"/>
              </w:rPr>
              <w:t>表</w:t>
            </w:r>
            <w:r>
              <w:rPr>
                <w:rFonts w:hint="eastAsia" w:ascii="宋体" w:hAnsi="宋体" w:eastAsia="宋体" w:cs="Times New Roman"/>
                <w:b/>
                <w:color w:val="000000"/>
                <w:sz w:val="24"/>
              </w:rPr>
              <w:t>3</w:t>
            </w:r>
            <w:r>
              <w:rPr>
                <w:rFonts w:ascii="宋体" w:hAnsi="宋体" w:eastAsia="宋体" w:cs="Times New Roman"/>
                <w:b/>
                <w:color w:val="000000"/>
                <w:sz w:val="24"/>
              </w:rPr>
              <w:t>环保设施实际建设情况与环评批复要求对照表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608" w:type="dxa"/>
            <w:tcBorders>
              <w:top w:val="single" w:color="auto" w:sz="12" w:space="0"/>
              <w:left w:val="single" w:color="auto" w:sz="12" w:space="0"/>
              <w:bottom w:val="single" w:color="auto" w:sz="12" w:space="0"/>
              <w:right w:val="single" w:color="auto" w:sz="6" w:space="0"/>
            </w:tcBorders>
            <w:vAlign w:val="center"/>
          </w:tcPr>
          <w:p>
            <w:pPr>
              <w:snapToGrid w:val="0"/>
              <w:jc w:val="center"/>
              <w:rPr>
                <w:rFonts w:ascii="宋体" w:hAnsi="宋体" w:eastAsia="宋体" w:cs="Times New Roman"/>
                <w:b/>
                <w:szCs w:val="21"/>
              </w:rPr>
            </w:pPr>
            <w:r>
              <w:rPr>
                <w:rFonts w:ascii="宋体" w:hAnsi="宋体" w:eastAsia="宋体" w:cs="Times New Roman"/>
                <w:b/>
                <w:szCs w:val="21"/>
              </w:rPr>
              <w:t>序号</w:t>
            </w:r>
          </w:p>
        </w:tc>
        <w:tc>
          <w:tcPr>
            <w:tcW w:w="4008" w:type="dxa"/>
            <w:tcBorders>
              <w:top w:val="single" w:color="auto" w:sz="12" w:space="0"/>
              <w:left w:val="single" w:color="auto" w:sz="6" w:space="0"/>
              <w:bottom w:val="single" w:color="auto" w:sz="12" w:space="0"/>
              <w:right w:val="single" w:color="auto" w:sz="6" w:space="0"/>
            </w:tcBorders>
            <w:vAlign w:val="center"/>
          </w:tcPr>
          <w:p>
            <w:pPr>
              <w:snapToGrid w:val="0"/>
              <w:jc w:val="center"/>
              <w:rPr>
                <w:rFonts w:ascii="宋体" w:hAnsi="宋体" w:eastAsia="宋体" w:cs="Times New Roman"/>
                <w:b/>
                <w:szCs w:val="21"/>
              </w:rPr>
            </w:pPr>
            <w:r>
              <w:rPr>
                <w:rFonts w:ascii="宋体" w:hAnsi="宋体" w:eastAsia="宋体" w:cs="Times New Roman"/>
                <w:b/>
                <w:szCs w:val="21"/>
              </w:rPr>
              <w:t>环评批复要求措施</w:t>
            </w:r>
          </w:p>
        </w:tc>
        <w:tc>
          <w:tcPr>
            <w:tcW w:w="4217" w:type="dxa"/>
            <w:tcBorders>
              <w:top w:val="single" w:color="auto" w:sz="12" w:space="0"/>
              <w:left w:val="single" w:color="auto" w:sz="6" w:space="0"/>
              <w:bottom w:val="single" w:color="auto" w:sz="12" w:space="0"/>
              <w:right w:val="single" w:color="auto" w:sz="12" w:space="0"/>
            </w:tcBorders>
            <w:vAlign w:val="center"/>
          </w:tcPr>
          <w:p>
            <w:pPr>
              <w:snapToGrid w:val="0"/>
              <w:jc w:val="center"/>
              <w:rPr>
                <w:rFonts w:ascii="宋体" w:hAnsi="宋体" w:eastAsia="宋体" w:cs="Times New Roman"/>
                <w:b/>
                <w:szCs w:val="21"/>
              </w:rPr>
            </w:pPr>
            <w:r>
              <w:rPr>
                <w:rFonts w:ascii="宋体" w:hAnsi="宋体" w:eastAsia="宋体" w:cs="Times New Roman"/>
                <w:b/>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08" w:type="dxa"/>
            <w:tcBorders>
              <w:top w:val="single" w:color="auto" w:sz="12" w:space="0"/>
              <w:left w:val="single" w:color="auto" w:sz="12" w:space="0"/>
              <w:bottom w:val="single" w:color="auto" w:sz="6" w:space="0"/>
              <w:right w:val="single" w:color="auto" w:sz="6" w:space="0"/>
            </w:tcBorders>
            <w:vAlign w:val="center"/>
          </w:tcPr>
          <w:p>
            <w:pPr>
              <w:snapToGrid w:val="0"/>
              <w:jc w:val="center"/>
              <w:rPr>
                <w:rFonts w:ascii="宋体" w:hAnsi="宋体" w:eastAsia="宋体" w:cs="Times New Roman"/>
                <w:szCs w:val="21"/>
              </w:rPr>
            </w:pPr>
            <w:r>
              <w:rPr>
                <w:rFonts w:ascii="宋体" w:hAnsi="宋体" w:eastAsia="宋体" w:cs="Times New Roman"/>
                <w:szCs w:val="21"/>
              </w:rPr>
              <w:t>1</w:t>
            </w:r>
          </w:p>
        </w:tc>
        <w:tc>
          <w:tcPr>
            <w:tcW w:w="4008" w:type="dxa"/>
            <w:tcBorders>
              <w:top w:val="single" w:color="auto" w:sz="12" w:space="0"/>
              <w:left w:val="single" w:color="auto" w:sz="6" w:space="0"/>
              <w:bottom w:val="single" w:color="auto" w:sz="6" w:space="0"/>
              <w:right w:val="single" w:color="auto" w:sz="6" w:space="0"/>
            </w:tcBorders>
            <w:vAlign w:val="center"/>
          </w:tcPr>
          <w:p>
            <w:pPr>
              <w:pStyle w:val="65"/>
              <w:spacing w:line="276" w:lineRule="auto"/>
              <w:rPr>
                <w:rFonts w:ascii="宋体" w:hAnsi="宋体" w:eastAsia="宋体" w:cs="Tahoma"/>
                <w:sz w:val="21"/>
                <w:szCs w:val="21"/>
              </w:rPr>
            </w:pPr>
            <w:r>
              <w:rPr>
                <w:rFonts w:hint="eastAsia" w:ascii="宋体" w:hAnsi="宋体" w:eastAsia="宋体" w:cs="宋体"/>
                <w:sz w:val="21"/>
                <w:szCs w:val="21"/>
              </w:rPr>
              <w:t>要认真落实大气污染防止措施。火车运输过程中全部加盖篷布；卸煤大棚采取全封闭，受煤坑设在卸煤大棚内，为地下钢筋混凝土结构；转动站采取全封闭结构，运输皮带、管廊机全封闭；贮存采用钢筋混凝土结构筒仓。</w:t>
            </w:r>
          </w:p>
        </w:tc>
        <w:tc>
          <w:tcPr>
            <w:tcW w:w="4217" w:type="dxa"/>
            <w:tcBorders>
              <w:top w:val="single" w:color="auto" w:sz="12" w:space="0"/>
              <w:left w:val="single" w:color="auto" w:sz="6" w:space="0"/>
              <w:bottom w:val="single" w:color="auto" w:sz="6" w:space="0"/>
              <w:right w:val="single" w:color="auto" w:sz="12" w:space="0"/>
            </w:tcBorders>
            <w:vAlign w:val="center"/>
          </w:tcPr>
          <w:p>
            <w:pPr>
              <w:spacing w:line="276" w:lineRule="auto"/>
              <w:rPr>
                <w:rFonts w:ascii="宋体" w:hAnsi="宋体" w:eastAsia="宋体" w:cs="Times New Roman"/>
              </w:rPr>
            </w:pPr>
            <w:r>
              <w:rPr>
                <w:rFonts w:hint="eastAsia" w:ascii="宋体" w:hAnsi="宋体" w:eastAsia="宋体" w:cs="宋体"/>
              </w:rPr>
              <w:t>火车运输过程中全部加盖篷布；卸煤大棚南、北侧火车进出口设置卷帘门，东面、西面、顶部全封闭；受煤坑设在卸煤大棚内，为地下钢筋混凝土结构；转动站采取全封闭结构，运输皮带、管廊机全封闭；贮存采用钢筋混凝土结构筒仓（利旧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608" w:type="dxa"/>
            <w:tcBorders>
              <w:top w:val="single" w:color="auto" w:sz="6" w:space="0"/>
              <w:left w:val="single" w:color="auto" w:sz="12" w:space="0"/>
              <w:bottom w:val="single" w:color="auto" w:sz="6" w:space="0"/>
              <w:right w:val="single" w:color="auto" w:sz="6" w:space="0"/>
            </w:tcBorders>
            <w:vAlign w:val="center"/>
          </w:tcPr>
          <w:p>
            <w:pPr>
              <w:snapToGrid w:val="0"/>
              <w:jc w:val="center"/>
              <w:rPr>
                <w:rFonts w:ascii="宋体" w:hAnsi="宋体" w:eastAsia="宋体" w:cs="Times New Roman"/>
                <w:szCs w:val="21"/>
              </w:rPr>
            </w:pPr>
            <w:r>
              <w:rPr>
                <w:rFonts w:ascii="宋体" w:hAnsi="宋体" w:eastAsia="宋体" w:cs="Times New Roman"/>
                <w:szCs w:val="21"/>
              </w:rPr>
              <w:t>2</w:t>
            </w:r>
          </w:p>
        </w:tc>
        <w:tc>
          <w:tcPr>
            <w:tcW w:w="4008" w:type="dxa"/>
            <w:tcBorders>
              <w:top w:val="single" w:color="auto" w:sz="6" w:space="0"/>
              <w:left w:val="single" w:color="auto" w:sz="6" w:space="0"/>
              <w:bottom w:val="single" w:color="auto" w:sz="6" w:space="0"/>
              <w:right w:val="single" w:color="auto" w:sz="6" w:space="0"/>
            </w:tcBorders>
            <w:vAlign w:val="center"/>
          </w:tcPr>
          <w:p>
            <w:pPr>
              <w:pStyle w:val="65"/>
              <w:spacing w:line="276" w:lineRule="auto"/>
              <w:rPr>
                <w:rFonts w:ascii="宋体" w:hAnsi="宋体" w:eastAsia="宋体" w:cs="Tahoma"/>
                <w:sz w:val="21"/>
                <w:szCs w:val="21"/>
              </w:rPr>
            </w:pPr>
            <w:r>
              <w:rPr>
                <w:rFonts w:hint="eastAsia" w:ascii="宋体" w:hAnsi="宋体" w:eastAsia="宋体" w:cs="宋体"/>
                <w:sz w:val="21"/>
                <w:szCs w:val="21"/>
              </w:rPr>
              <w:t>要认真落实水污染防止措施。本项目无生产废水产生，生活污水经焦化厂化粪池处理后排入太钢厂区现有生活污水排水管网，最终进入太钢赵庄污水处理厂处理后回用，不外排。</w:t>
            </w:r>
          </w:p>
        </w:tc>
        <w:tc>
          <w:tcPr>
            <w:tcW w:w="4217" w:type="dxa"/>
            <w:tcBorders>
              <w:top w:val="single" w:color="auto" w:sz="6" w:space="0"/>
              <w:left w:val="single" w:color="auto" w:sz="6" w:space="0"/>
              <w:bottom w:val="single" w:color="auto" w:sz="6" w:space="0"/>
              <w:right w:val="single" w:color="auto" w:sz="12" w:space="0"/>
            </w:tcBorders>
            <w:vAlign w:val="center"/>
          </w:tcPr>
          <w:p>
            <w:pPr>
              <w:spacing w:line="276" w:lineRule="auto"/>
              <w:rPr>
                <w:rFonts w:ascii="宋体" w:hAnsi="宋体" w:eastAsia="宋体" w:cs="Times New Roman"/>
              </w:rPr>
            </w:pPr>
            <w:r>
              <w:rPr>
                <w:rFonts w:hint="eastAsia" w:ascii="宋体" w:hAnsi="宋体" w:eastAsia="宋体" w:cs="宋体"/>
              </w:rPr>
              <w:t>本项目无生产废水产生，生活污水经焦化厂化粪池处理后排入太钢厂区现有生活污水排水管网，最终进入太钢赵庄污水处理厂处理后回用，不外排。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608" w:type="dxa"/>
            <w:tcBorders>
              <w:top w:val="single" w:color="auto" w:sz="6" w:space="0"/>
              <w:left w:val="single" w:color="auto" w:sz="12" w:space="0"/>
              <w:bottom w:val="single" w:color="auto" w:sz="6" w:space="0"/>
              <w:right w:val="single" w:color="auto" w:sz="6" w:space="0"/>
            </w:tcBorders>
            <w:vAlign w:val="center"/>
          </w:tcPr>
          <w:p>
            <w:pPr>
              <w:snapToGrid w:val="0"/>
              <w:jc w:val="center"/>
              <w:rPr>
                <w:rFonts w:ascii="宋体" w:hAnsi="宋体" w:eastAsia="宋体" w:cs="Times New Roman"/>
                <w:szCs w:val="21"/>
              </w:rPr>
            </w:pPr>
            <w:r>
              <w:rPr>
                <w:rFonts w:ascii="宋体" w:hAnsi="宋体" w:eastAsia="宋体" w:cs="Times New Roman"/>
                <w:szCs w:val="21"/>
              </w:rPr>
              <w:t>3</w:t>
            </w:r>
          </w:p>
        </w:tc>
        <w:tc>
          <w:tcPr>
            <w:tcW w:w="4008" w:type="dxa"/>
            <w:tcBorders>
              <w:top w:val="single" w:color="auto" w:sz="6" w:space="0"/>
              <w:left w:val="single" w:color="auto" w:sz="6" w:space="0"/>
              <w:bottom w:val="single" w:color="auto" w:sz="6" w:space="0"/>
              <w:right w:val="single" w:color="auto" w:sz="6" w:space="0"/>
            </w:tcBorders>
            <w:vAlign w:val="center"/>
          </w:tcPr>
          <w:p>
            <w:pPr>
              <w:pStyle w:val="65"/>
              <w:spacing w:line="276" w:lineRule="auto"/>
              <w:rPr>
                <w:rFonts w:ascii="宋体" w:hAnsi="宋体" w:eastAsia="宋体" w:cs="Tahoma"/>
                <w:sz w:val="21"/>
                <w:szCs w:val="21"/>
              </w:rPr>
            </w:pPr>
            <w:r>
              <w:rPr>
                <w:rFonts w:hint="eastAsia" w:ascii="宋体" w:hAnsi="宋体" w:eastAsia="宋体" w:cs="宋体"/>
                <w:sz w:val="21"/>
                <w:szCs w:val="21"/>
              </w:rPr>
              <w:t>要认真落实噪声污染防止措施。卸煤机、给煤机、除杂器、皮带输送机选用高效低噪设备，设备基础减振，钢筋混凝土挡土墙隔声等措施。铁路线东侧进行植物绿化降噪等措施，噪声执行《铁路边界噪声限值及其测量法》（</w:t>
            </w:r>
            <w:r>
              <w:rPr>
                <w:rFonts w:ascii="宋体" w:hAnsi="宋体" w:eastAsia="宋体" w:cs="Times New Roman"/>
                <w:sz w:val="21"/>
                <w:szCs w:val="21"/>
              </w:rPr>
              <w:t>GB12525-90</w:t>
            </w:r>
            <w:r>
              <w:rPr>
                <w:rFonts w:hint="eastAsia" w:ascii="宋体" w:hAnsi="宋体" w:eastAsia="宋体" w:cs="宋体"/>
                <w:sz w:val="21"/>
                <w:szCs w:val="21"/>
              </w:rPr>
              <w:t>）及</w:t>
            </w:r>
            <w:r>
              <w:rPr>
                <w:rFonts w:ascii="宋体" w:hAnsi="宋体" w:eastAsia="宋体" w:cs="Times New Roman"/>
                <w:sz w:val="21"/>
                <w:szCs w:val="21"/>
              </w:rPr>
              <w:t>2008</w:t>
            </w:r>
            <w:r>
              <w:rPr>
                <w:rFonts w:hint="eastAsia" w:ascii="宋体" w:hAnsi="宋体" w:eastAsia="宋体" w:cs="宋体"/>
                <w:sz w:val="21"/>
                <w:szCs w:val="21"/>
              </w:rPr>
              <w:t>年修改单规定中</w:t>
            </w:r>
            <w:r>
              <w:rPr>
                <w:rFonts w:ascii="宋体" w:hAnsi="宋体" w:eastAsia="宋体" w:cs="Times New Roman"/>
                <w:sz w:val="21"/>
                <w:szCs w:val="21"/>
              </w:rPr>
              <w:t>2</w:t>
            </w:r>
            <w:r>
              <w:rPr>
                <w:rFonts w:hint="eastAsia" w:ascii="宋体" w:hAnsi="宋体" w:eastAsia="宋体" w:cs="宋体"/>
                <w:sz w:val="21"/>
                <w:szCs w:val="21"/>
              </w:rPr>
              <w:t>类标准；火车运输振动噪声执行《城市区域环境振动标准》（</w:t>
            </w:r>
            <w:r>
              <w:rPr>
                <w:rFonts w:ascii="宋体" w:hAnsi="宋体" w:eastAsia="宋体" w:cs="Times New Roman"/>
                <w:sz w:val="21"/>
                <w:szCs w:val="21"/>
              </w:rPr>
              <w:t>GB10070-88</w:t>
            </w:r>
            <w:r>
              <w:rPr>
                <w:rFonts w:hint="eastAsia" w:ascii="宋体" w:hAnsi="宋体" w:eastAsia="宋体" w:cs="宋体"/>
                <w:sz w:val="21"/>
                <w:szCs w:val="21"/>
              </w:rPr>
              <w:t>）中的混合区标准限值要求。</w:t>
            </w:r>
          </w:p>
        </w:tc>
        <w:tc>
          <w:tcPr>
            <w:tcW w:w="4217" w:type="dxa"/>
            <w:tcBorders>
              <w:top w:val="single" w:color="auto" w:sz="6" w:space="0"/>
              <w:left w:val="single" w:color="auto" w:sz="6" w:space="0"/>
              <w:bottom w:val="single" w:color="auto" w:sz="6" w:space="0"/>
              <w:right w:val="single" w:color="auto" w:sz="12" w:space="0"/>
            </w:tcBorders>
            <w:vAlign w:val="center"/>
          </w:tcPr>
          <w:p>
            <w:pPr>
              <w:spacing w:line="276" w:lineRule="auto"/>
              <w:rPr>
                <w:rFonts w:ascii="宋体" w:hAnsi="宋体" w:eastAsia="宋体" w:cs="Times New Roman"/>
              </w:rPr>
            </w:pPr>
            <w:r>
              <w:rPr>
                <w:rFonts w:hint="eastAsia" w:ascii="宋体" w:hAnsi="宋体" w:eastAsia="宋体" w:cs="宋体"/>
              </w:rPr>
              <w:t>卸煤机、给煤机、除杂器、皮带输送机选用高效低噪设备，设备基础减振；新建火车运煤线东侧设置钢筋混凝土挡土墙；铁路线东侧进行植物绿化。通过监测结果知噪声符合《铁路边界噪声限值及其测量法》（</w:t>
            </w:r>
            <w:r>
              <w:rPr>
                <w:rFonts w:ascii="宋体" w:hAnsi="宋体" w:eastAsia="宋体" w:cs="Times New Roman"/>
              </w:rPr>
              <w:t>GB12525-90</w:t>
            </w:r>
            <w:r>
              <w:rPr>
                <w:rFonts w:hint="eastAsia" w:ascii="宋体" w:hAnsi="宋体" w:eastAsia="宋体" w:cs="宋体"/>
              </w:rPr>
              <w:t>）修改方</w:t>
            </w:r>
            <w:r>
              <w:rPr>
                <w:rFonts w:hint="eastAsia" w:ascii="宋体" w:hAnsi="宋体" w:eastAsia="宋体" w:cs="宋体"/>
                <w:color w:val="auto"/>
              </w:rPr>
              <w:t>案表</w:t>
            </w:r>
            <w:r>
              <w:rPr>
                <w:rFonts w:ascii="宋体" w:hAnsi="宋体" w:eastAsia="宋体" w:cs="Times New Roman"/>
                <w:color w:val="auto"/>
              </w:rPr>
              <w:t>2</w:t>
            </w:r>
            <w:r>
              <w:rPr>
                <w:rFonts w:hint="eastAsia" w:ascii="宋体" w:hAnsi="宋体" w:eastAsia="宋体" w:cs="宋体"/>
                <w:color w:val="auto"/>
              </w:rPr>
              <w:t>新建铁路边界噪声限值；火车运输振动噪声符合《城市区域环境振动标准》（</w:t>
            </w:r>
            <w:r>
              <w:rPr>
                <w:rFonts w:ascii="宋体" w:hAnsi="宋体" w:eastAsia="宋体" w:cs="Times New Roman"/>
                <w:color w:val="auto"/>
              </w:rPr>
              <w:t>GB10070-88</w:t>
            </w:r>
            <w:r>
              <w:rPr>
                <w:rFonts w:hint="eastAsia" w:ascii="宋体" w:hAnsi="宋体" w:eastAsia="宋体" w:cs="宋体"/>
                <w:color w:val="auto"/>
              </w:rPr>
              <w:t>）中的混合区标准限值要求。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8" w:type="dxa"/>
            <w:tcBorders>
              <w:top w:val="single" w:color="auto" w:sz="6" w:space="0"/>
              <w:left w:val="single" w:color="auto" w:sz="12" w:space="0"/>
              <w:bottom w:val="single" w:color="auto" w:sz="12" w:space="0"/>
              <w:right w:val="single" w:color="auto" w:sz="6" w:space="0"/>
            </w:tcBorders>
            <w:vAlign w:val="center"/>
          </w:tcPr>
          <w:p>
            <w:pPr>
              <w:snapToGrid w:val="0"/>
              <w:jc w:val="center"/>
              <w:rPr>
                <w:rFonts w:ascii="宋体" w:hAnsi="宋体" w:eastAsia="宋体" w:cs="Times New Roman"/>
                <w:szCs w:val="21"/>
              </w:rPr>
            </w:pPr>
            <w:r>
              <w:rPr>
                <w:rFonts w:ascii="宋体" w:hAnsi="宋体" w:eastAsia="宋体" w:cs="Times New Roman"/>
                <w:szCs w:val="21"/>
              </w:rPr>
              <w:t>4</w:t>
            </w:r>
          </w:p>
        </w:tc>
        <w:tc>
          <w:tcPr>
            <w:tcW w:w="4008" w:type="dxa"/>
            <w:tcBorders>
              <w:top w:val="single" w:color="auto" w:sz="6" w:space="0"/>
              <w:left w:val="single" w:color="auto" w:sz="6" w:space="0"/>
              <w:bottom w:val="single" w:color="auto" w:sz="12" w:space="0"/>
              <w:right w:val="single" w:color="auto" w:sz="6" w:space="0"/>
            </w:tcBorders>
            <w:vAlign w:val="center"/>
          </w:tcPr>
          <w:p>
            <w:pPr>
              <w:pStyle w:val="65"/>
              <w:spacing w:line="276" w:lineRule="auto"/>
              <w:rPr>
                <w:rFonts w:ascii="宋体" w:hAnsi="宋体" w:eastAsia="宋体" w:cs="Tahoma"/>
                <w:sz w:val="21"/>
                <w:szCs w:val="21"/>
              </w:rPr>
            </w:pPr>
            <w:r>
              <w:rPr>
                <w:rFonts w:hint="eastAsia" w:ascii="宋体" w:hAnsi="宋体" w:eastAsia="宋体" w:cs="宋体"/>
                <w:sz w:val="21"/>
                <w:szCs w:val="21"/>
              </w:rPr>
              <w:t>项目产生铁屑收集后送到太钢高炉生产系统作为生产原料利用；杂物、生活垃圾收集后，由环卫部门统一处理。</w:t>
            </w:r>
          </w:p>
        </w:tc>
        <w:tc>
          <w:tcPr>
            <w:tcW w:w="4217" w:type="dxa"/>
            <w:tcBorders>
              <w:top w:val="single" w:color="auto" w:sz="6" w:space="0"/>
              <w:left w:val="single" w:color="auto" w:sz="6" w:space="0"/>
              <w:bottom w:val="single" w:color="auto" w:sz="12" w:space="0"/>
              <w:right w:val="single" w:color="auto" w:sz="12" w:space="0"/>
            </w:tcBorders>
            <w:vAlign w:val="center"/>
          </w:tcPr>
          <w:p>
            <w:pPr>
              <w:spacing w:line="276" w:lineRule="auto"/>
              <w:rPr>
                <w:rFonts w:ascii="宋体" w:hAnsi="宋体" w:eastAsia="宋体" w:cs="Times New Roman"/>
              </w:rPr>
            </w:pPr>
            <w:r>
              <w:rPr>
                <w:rFonts w:hint="eastAsia" w:ascii="宋体" w:hAnsi="宋体" w:eastAsia="宋体" w:cs="宋体"/>
              </w:rPr>
              <w:t>铁屑收集后送到太钢高炉生产系统作为生产原料利用；杂物、生活垃圾收集后，由环卫部门统一处理。</w:t>
            </w:r>
          </w:p>
        </w:tc>
      </w:tr>
    </w:tbl>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ascii="宋体" w:hAnsi="宋体" w:eastAsia="宋体" w:cs="Times New Roman"/>
          <w:b/>
          <w:color w:val="000000"/>
          <w:sz w:val="28"/>
          <w:szCs w:val="28"/>
        </w:rPr>
        <w:t>四、环境保护设施调试效果</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bCs/>
          <w:color w:val="000000"/>
          <w:kern w:val="2"/>
          <w:sz w:val="28"/>
          <w:szCs w:val="28"/>
        </w:rPr>
      </w:pPr>
      <w:r>
        <w:rPr>
          <w:rFonts w:ascii="宋体" w:hAnsi="宋体" w:eastAsia="宋体" w:cs="Times New Roman"/>
          <w:bCs/>
          <w:color w:val="000000"/>
          <w:kern w:val="2"/>
          <w:sz w:val="28"/>
          <w:szCs w:val="28"/>
        </w:rPr>
        <w:t>（一）环保设施处理效率</w:t>
      </w:r>
    </w:p>
    <w:p>
      <w:pPr>
        <w:adjustRightInd w:val="0"/>
        <w:snapToGrid w:val="0"/>
        <w:spacing w:line="460" w:lineRule="exact"/>
        <w:ind w:firstLine="560" w:firstLineChars="200"/>
        <w:rPr>
          <w:rFonts w:ascii="宋体" w:hAnsi="宋体" w:eastAsia="宋体" w:cs="Times New Roman"/>
          <w:bCs/>
          <w:color w:val="000000"/>
          <w:sz w:val="28"/>
          <w:szCs w:val="28"/>
        </w:rPr>
      </w:pPr>
      <w:r>
        <w:rPr>
          <w:rFonts w:ascii="宋体" w:hAnsi="宋体" w:eastAsia="宋体" w:cs="Times New Roman"/>
          <w:bCs/>
          <w:color w:val="000000"/>
          <w:sz w:val="28"/>
          <w:szCs w:val="28"/>
        </w:rPr>
        <w:t>项目调试运行期间，各项环保设施均运行正常，环保设施运行符合环境影响报告表及其环评批复的要求。</w:t>
      </w:r>
    </w:p>
    <w:p>
      <w:pPr>
        <w:pStyle w:val="60"/>
        <w:adjustRightInd w:val="0"/>
        <w:snapToGrid w:val="0"/>
        <w:spacing w:before="0" w:beforeAutospacing="0" w:after="0" w:afterAutospacing="0" w:line="460" w:lineRule="exact"/>
        <w:ind w:firstLine="560" w:firstLineChars="200"/>
        <w:jc w:val="both"/>
        <w:outlineLvl w:val="1"/>
        <w:rPr>
          <w:rFonts w:ascii="宋体" w:hAnsi="宋体" w:eastAsia="宋体" w:cs="Times New Roman"/>
          <w:bCs/>
          <w:color w:val="000000"/>
          <w:kern w:val="2"/>
          <w:sz w:val="28"/>
          <w:szCs w:val="28"/>
        </w:rPr>
      </w:pPr>
      <w:r>
        <w:rPr>
          <w:rFonts w:ascii="宋体" w:hAnsi="宋体" w:eastAsia="宋体" w:cs="Times New Roman"/>
          <w:bCs/>
          <w:color w:val="000000"/>
          <w:kern w:val="2"/>
          <w:sz w:val="28"/>
          <w:szCs w:val="28"/>
        </w:rPr>
        <w:t>（二）污染物排放情况</w:t>
      </w:r>
    </w:p>
    <w:p>
      <w:pPr>
        <w:pStyle w:val="8"/>
        <w:adjustRightInd w:val="0"/>
        <w:snapToGrid w:val="0"/>
        <w:spacing w:line="460" w:lineRule="exact"/>
        <w:ind w:firstLine="560" w:firstLineChars="200"/>
        <w:rPr>
          <w:rFonts w:ascii="宋体" w:hAnsi="宋体" w:eastAsia="宋体"/>
          <w:bCs/>
          <w:color w:val="000000"/>
          <w:sz w:val="28"/>
          <w:szCs w:val="28"/>
        </w:rPr>
      </w:pPr>
      <w:r>
        <w:rPr>
          <w:rFonts w:hint="eastAsia" w:ascii="宋体" w:hAnsi="宋体" w:eastAsia="宋体"/>
          <w:bCs/>
          <w:color w:val="000000"/>
          <w:sz w:val="28"/>
          <w:szCs w:val="28"/>
        </w:rPr>
        <w:t>1</w:t>
      </w:r>
      <w:r>
        <w:rPr>
          <w:rFonts w:ascii="宋体" w:hAnsi="宋体" w:eastAsia="宋体"/>
          <w:bCs/>
          <w:color w:val="000000"/>
          <w:sz w:val="28"/>
          <w:szCs w:val="28"/>
        </w:rPr>
        <w:t>、</w:t>
      </w:r>
      <w:r>
        <w:rPr>
          <w:rFonts w:hint="eastAsia" w:ascii="宋体" w:hAnsi="宋体" w:eastAsia="宋体"/>
          <w:bCs/>
          <w:color w:val="000000"/>
          <w:sz w:val="28"/>
          <w:szCs w:val="28"/>
        </w:rPr>
        <w:t>废气</w:t>
      </w:r>
    </w:p>
    <w:p>
      <w:pPr>
        <w:pStyle w:val="65"/>
        <w:adjustRightInd w:val="0"/>
        <w:snapToGrid w:val="0"/>
        <w:spacing w:line="460" w:lineRule="exact"/>
        <w:ind w:firstLine="560" w:firstLineChars="200"/>
        <w:rPr>
          <w:rFonts w:ascii="宋体" w:hAnsi="宋体" w:eastAsia="宋体"/>
          <w:bCs/>
          <w:color w:val="000000"/>
          <w:sz w:val="28"/>
          <w:szCs w:val="28"/>
        </w:rPr>
      </w:pPr>
      <w:r>
        <w:rPr>
          <w:rFonts w:hint="eastAsia" w:ascii="宋体" w:hAnsi="宋体" w:eastAsia="宋体"/>
          <w:bCs/>
          <w:color w:val="000000"/>
          <w:sz w:val="28"/>
          <w:szCs w:val="28"/>
        </w:rPr>
        <w:t>本次环保验收对卸料大棚无组织排放颗粒物浓度进行监测，选取卸料大棚进、出口封闭门位置作为监测点。监测结果中颗粒物排放浓度最大值为</w:t>
      </w:r>
      <w:r>
        <w:rPr>
          <w:rFonts w:ascii="宋体" w:hAnsi="宋体" w:eastAsia="宋体"/>
          <w:bCs/>
          <w:color w:val="000000"/>
          <w:sz w:val="28"/>
          <w:szCs w:val="28"/>
        </w:rPr>
        <w:t>0.756mg/m³</w:t>
      </w:r>
      <w:r>
        <w:rPr>
          <w:rFonts w:hint="eastAsia" w:ascii="宋体" w:hAnsi="宋体" w:eastAsia="宋体"/>
          <w:bCs/>
          <w:color w:val="000000"/>
          <w:sz w:val="28"/>
          <w:szCs w:val="28"/>
        </w:rPr>
        <w:t>，满足《大气污染物综合排放标准》（</w:t>
      </w:r>
      <w:r>
        <w:rPr>
          <w:rFonts w:ascii="宋体" w:hAnsi="宋体" w:eastAsia="宋体"/>
          <w:bCs/>
          <w:color w:val="000000"/>
          <w:sz w:val="28"/>
          <w:szCs w:val="28"/>
        </w:rPr>
        <w:t>GB16297-1996</w:t>
      </w:r>
      <w:r>
        <w:rPr>
          <w:rFonts w:hint="eastAsia" w:ascii="宋体" w:hAnsi="宋体" w:eastAsia="宋体"/>
          <w:bCs/>
          <w:color w:val="000000"/>
          <w:sz w:val="28"/>
          <w:szCs w:val="28"/>
        </w:rPr>
        <w:t>）表</w:t>
      </w:r>
      <w:r>
        <w:rPr>
          <w:rFonts w:ascii="宋体" w:hAnsi="宋体" w:eastAsia="宋体"/>
          <w:bCs/>
          <w:color w:val="000000"/>
          <w:sz w:val="28"/>
          <w:szCs w:val="28"/>
        </w:rPr>
        <w:t>2</w:t>
      </w:r>
      <w:r>
        <w:rPr>
          <w:rFonts w:hint="eastAsia" w:ascii="宋体" w:hAnsi="宋体" w:eastAsia="宋体"/>
          <w:bCs/>
          <w:color w:val="000000"/>
          <w:sz w:val="28"/>
          <w:szCs w:val="28"/>
        </w:rPr>
        <w:t>中颗粒物周界外浓度最高点</w:t>
      </w:r>
      <w:r>
        <w:rPr>
          <w:rFonts w:ascii="宋体" w:hAnsi="宋体" w:eastAsia="宋体"/>
          <w:bCs/>
          <w:color w:val="000000"/>
          <w:sz w:val="28"/>
          <w:szCs w:val="28"/>
        </w:rPr>
        <w:t>1.0mg/m³</w:t>
      </w:r>
      <w:r>
        <w:rPr>
          <w:rFonts w:hint="eastAsia" w:ascii="宋体" w:hAnsi="宋体" w:eastAsia="宋体"/>
          <w:bCs/>
          <w:color w:val="000000"/>
          <w:sz w:val="28"/>
          <w:szCs w:val="28"/>
        </w:rPr>
        <w:t>。</w:t>
      </w:r>
    </w:p>
    <w:p>
      <w:pPr>
        <w:pStyle w:val="65"/>
        <w:adjustRightInd w:val="0"/>
        <w:snapToGrid w:val="0"/>
        <w:spacing w:line="460" w:lineRule="exact"/>
        <w:ind w:firstLine="482"/>
        <w:rPr>
          <w:rFonts w:ascii="宋体" w:hAnsi="宋体" w:eastAsia="宋体"/>
          <w:bCs/>
          <w:color w:val="000000"/>
          <w:sz w:val="28"/>
          <w:szCs w:val="28"/>
        </w:rPr>
      </w:pPr>
      <w:r>
        <w:rPr>
          <w:rFonts w:ascii="宋体" w:hAnsi="宋体" w:eastAsia="宋体"/>
          <w:bCs/>
          <w:color w:val="000000"/>
          <w:sz w:val="28"/>
          <w:szCs w:val="28"/>
        </w:rPr>
        <w:t>2</w:t>
      </w:r>
      <w:r>
        <w:rPr>
          <w:rFonts w:hint="eastAsia" w:ascii="宋体" w:hAnsi="宋体" w:eastAsia="宋体"/>
          <w:bCs/>
          <w:color w:val="000000"/>
          <w:sz w:val="28"/>
          <w:szCs w:val="28"/>
        </w:rPr>
        <w:t>、噪声</w:t>
      </w:r>
    </w:p>
    <w:p>
      <w:pPr>
        <w:pStyle w:val="65"/>
        <w:adjustRightInd w:val="0"/>
        <w:snapToGrid w:val="0"/>
        <w:spacing w:line="460" w:lineRule="exact"/>
        <w:ind w:firstLine="560" w:firstLineChars="200"/>
        <w:rPr>
          <w:rFonts w:ascii="宋体" w:hAnsi="宋体" w:eastAsia="宋体" w:cs="宋体"/>
          <w:sz w:val="28"/>
          <w:szCs w:val="28"/>
        </w:rPr>
      </w:pPr>
      <w:r>
        <w:rPr>
          <w:rFonts w:hint="eastAsia" w:ascii="宋体" w:hAnsi="宋体" w:eastAsia="宋体" w:cs="宋体"/>
          <w:sz w:val="28"/>
          <w:szCs w:val="28"/>
        </w:rPr>
        <w:t>本次环保验收对厂界噪声进行监测，共选取了</w:t>
      </w:r>
      <w:r>
        <w:rPr>
          <w:rFonts w:ascii="宋体" w:hAnsi="宋体" w:eastAsia="宋体"/>
          <w:sz w:val="28"/>
          <w:szCs w:val="28"/>
        </w:rPr>
        <w:t>10</w:t>
      </w:r>
      <w:r>
        <w:rPr>
          <w:rFonts w:hint="eastAsia" w:ascii="宋体" w:hAnsi="宋体" w:eastAsia="宋体" w:cs="宋体"/>
          <w:sz w:val="28"/>
          <w:szCs w:val="28"/>
        </w:rPr>
        <w:t>个监测点。根据监测结果知监测期间厂界噪声范围为昼间：</w:t>
      </w:r>
      <w:r>
        <w:rPr>
          <w:rFonts w:ascii="宋体" w:hAnsi="宋体" w:eastAsia="宋体"/>
          <w:sz w:val="28"/>
          <w:szCs w:val="28"/>
        </w:rPr>
        <w:t>61.0-63.5dB</w:t>
      </w:r>
      <w:r>
        <w:rPr>
          <w:rFonts w:hint="eastAsia" w:ascii="宋体" w:hAnsi="宋体" w:eastAsia="宋体" w:cs="宋体"/>
          <w:sz w:val="28"/>
          <w:szCs w:val="28"/>
        </w:rPr>
        <w:t>（</w:t>
      </w:r>
      <w:r>
        <w:rPr>
          <w:rFonts w:ascii="宋体" w:hAnsi="宋体" w:eastAsia="宋体"/>
          <w:sz w:val="28"/>
          <w:szCs w:val="28"/>
        </w:rPr>
        <w:t>A</w:t>
      </w:r>
      <w:r>
        <w:rPr>
          <w:rFonts w:hint="eastAsia" w:ascii="宋体" w:hAnsi="宋体" w:eastAsia="宋体" w:cs="宋体"/>
          <w:sz w:val="28"/>
          <w:szCs w:val="28"/>
        </w:rPr>
        <w:t>），夜间：</w:t>
      </w:r>
      <w:r>
        <w:rPr>
          <w:rFonts w:ascii="宋体" w:hAnsi="宋体" w:eastAsia="宋体"/>
          <w:sz w:val="28"/>
          <w:szCs w:val="28"/>
        </w:rPr>
        <w:t>51.1-53.6dB</w:t>
      </w:r>
      <w:r>
        <w:rPr>
          <w:rFonts w:hint="eastAsia" w:ascii="宋体" w:hAnsi="宋体" w:eastAsia="宋体" w:cs="宋体"/>
          <w:sz w:val="28"/>
          <w:szCs w:val="28"/>
        </w:rPr>
        <w:t>（</w:t>
      </w:r>
      <w:r>
        <w:rPr>
          <w:rFonts w:ascii="宋体" w:hAnsi="宋体" w:eastAsia="宋体"/>
          <w:sz w:val="28"/>
          <w:szCs w:val="28"/>
        </w:rPr>
        <w:t>A</w:t>
      </w:r>
      <w:r>
        <w:rPr>
          <w:rFonts w:hint="eastAsia" w:ascii="宋体" w:hAnsi="宋体" w:eastAsia="宋体" w:cs="宋体"/>
          <w:sz w:val="28"/>
          <w:szCs w:val="28"/>
        </w:rPr>
        <w:t>）。监测结果达到《工业企业厂界环境噪声排放标准》（</w:t>
      </w:r>
      <w:r>
        <w:rPr>
          <w:rFonts w:ascii="宋体" w:hAnsi="宋体" w:eastAsia="宋体"/>
          <w:sz w:val="28"/>
          <w:szCs w:val="28"/>
        </w:rPr>
        <w:t>GB12348-2008</w:t>
      </w:r>
      <w:r>
        <w:rPr>
          <w:rFonts w:hint="eastAsia" w:ascii="宋体" w:hAnsi="宋体" w:eastAsia="宋体" w:cs="宋体"/>
          <w:sz w:val="28"/>
          <w:szCs w:val="28"/>
        </w:rPr>
        <w:t>）</w:t>
      </w:r>
      <w:r>
        <w:rPr>
          <w:rFonts w:ascii="宋体" w:hAnsi="宋体" w:eastAsia="宋体"/>
          <w:sz w:val="28"/>
          <w:szCs w:val="28"/>
        </w:rPr>
        <w:t>3</w:t>
      </w:r>
      <w:r>
        <w:rPr>
          <w:rFonts w:hint="eastAsia" w:ascii="宋体" w:hAnsi="宋体" w:eastAsia="宋体" w:cs="宋体"/>
          <w:sz w:val="28"/>
          <w:szCs w:val="28"/>
        </w:rPr>
        <w:t>类标准。</w:t>
      </w:r>
    </w:p>
    <w:p>
      <w:pPr>
        <w:pStyle w:val="65"/>
        <w:adjustRightInd w:val="0"/>
        <w:snapToGrid w:val="0"/>
        <w:spacing w:line="460" w:lineRule="exact"/>
        <w:ind w:firstLine="560" w:firstLineChars="200"/>
        <w:rPr>
          <w:rFonts w:ascii="宋体" w:hAnsi="宋体" w:eastAsia="宋体" w:cs="宋体"/>
          <w:sz w:val="28"/>
          <w:szCs w:val="28"/>
        </w:rPr>
      </w:pPr>
      <w:r>
        <w:rPr>
          <w:rFonts w:hint="eastAsia" w:ascii="宋体" w:hAnsi="宋体" w:eastAsia="宋体" w:cs="宋体"/>
          <w:sz w:val="28"/>
          <w:szCs w:val="28"/>
        </w:rPr>
        <w:t>本项目在卸煤棚外侧选取2点，测铁路边界噪声，根据监测结果知监测期间铁路边界噪声范围为昼间：</w:t>
      </w:r>
      <w:r>
        <w:rPr>
          <w:rFonts w:hint="eastAsia" w:ascii="宋体" w:hAnsi="宋体" w:eastAsia="宋体"/>
          <w:sz w:val="28"/>
          <w:szCs w:val="28"/>
        </w:rPr>
        <w:t>60.7</w:t>
      </w:r>
      <w:r>
        <w:rPr>
          <w:rFonts w:ascii="宋体" w:hAnsi="宋体" w:eastAsia="宋体"/>
          <w:sz w:val="28"/>
          <w:szCs w:val="28"/>
        </w:rPr>
        <w:t>-</w:t>
      </w:r>
      <w:r>
        <w:rPr>
          <w:rFonts w:hint="eastAsia" w:ascii="宋体" w:hAnsi="宋体" w:eastAsia="宋体"/>
          <w:sz w:val="28"/>
          <w:szCs w:val="28"/>
        </w:rPr>
        <w:t>68.3</w:t>
      </w:r>
      <w:r>
        <w:rPr>
          <w:rFonts w:ascii="宋体" w:hAnsi="宋体" w:eastAsia="宋体"/>
          <w:sz w:val="28"/>
          <w:szCs w:val="28"/>
        </w:rPr>
        <w:t>dB</w:t>
      </w:r>
      <w:r>
        <w:rPr>
          <w:rFonts w:hint="eastAsia" w:ascii="宋体" w:hAnsi="宋体" w:eastAsia="宋体" w:cs="宋体"/>
          <w:sz w:val="28"/>
          <w:szCs w:val="28"/>
        </w:rPr>
        <w:t>（</w:t>
      </w:r>
      <w:r>
        <w:rPr>
          <w:rFonts w:ascii="宋体" w:hAnsi="宋体" w:eastAsia="宋体"/>
          <w:sz w:val="28"/>
          <w:szCs w:val="28"/>
        </w:rPr>
        <w:t>A</w:t>
      </w:r>
      <w:r>
        <w:rPr>
          <w:rFonts w:hint="eastAsia" w:ascii="宋体" w:hAnsi="宋体" w:eastAsia="宋体" w:cs="宋体"/>
          <w:sz w:val="28"/>
          <w:szCs w:val="28"/>
        </w:rPr>
        <w:t>），夜间：</w:t>
      </w:r>
      <w:r>
        <w:rPr>
          <w:rFonts w:hint="eastAsia" w:ascii="宋体" w:hAnsi="宋体" w:eastAsia="宋体"/>
          <w:sz w:val="28"/>
          <w:szCs w:val="28"/>
        </w:rPr>
        <w:t>51.2</w:t>
      </w:r>
      <w:r>
        <w:rPr>
          <w:rFonts w:ascii="宋体" w:hAnsi="宋体" w:eastAsia="宋体"/>
          <w:sz w:val="28"/>
          <w:szCs w:val="28"/>
        </w:rPr>
        <w:t>-</w:t>
      </w:r>
      <w:r>
        <w:rPr>
          <w:rFonts w:hint="eastAsia" w:ascii="宋体" w:hAnsi="宋体" w:eastAsia="宋体"/>
          <w:sz w:val="28"/>
          <w:szCs w:val="28"/>
        </w:rPr>
        <w:t>58.4</w:t>
      </w:r>
      <w:r>
        <w:rPr>
          <w:rFonts w:ascii="宋体" w:hAnsi="宋体" w:eastAsia="宋体"/>
          <w:sz w:val="28"/>
          <w:szCs w:val="28"/>
        </w:rPr>
        <w:t>dB</w:t>
      </w:r>
      <w:r>
        <w:rPr>
          <w:rFonts w:hint="eastAsia" w:ascii="宋体" w:hAnsi="宋体" w:eastAsia="宋体" w:cs="宋体"/>
          <w:sz w:val="28"/>
          <w:szCs w:val="28"/>
        </w:rPr>
        <w:t>（</w:t>
      </w:r>
      <w:r>
        <w:rPr>
          <w:rFonts w:ascii="宋体" w:hAnsi="宋体" w:eastAsia="宋体"/>
          <w:sz w:val="28"/>
          <w:szCs w:val="28"/>
        </w:rPr>
        <w:t>A</w:t>
      </w:r>
      <w:r>
        <w:rPr>
          <w:rFonts w:hint="eastAsia" w:ascii="宋体" w:hAnsi="宋体" w:eastAsia="宋体" w:cs="宋体"/>
          <w:sz w:val="28"/>
          <w:szCs w:val="28"/>
        </w:rPr>
        <w:t>）。监测结果达到《铁路边界噪声限值及测量方法》（G</w:t>
      </w:r>
      <w:r>
        <w:rPr>
          <w:rFonts w:ascii="宋体" w:hAnsi="宋体" w:eastAsia="宋体" w:cs="宋体"/>
          <w:sz w:val="28"/>
          <w:szCs w:val="28"/>
        </w:rPr>
        <w:t>B</w:t>
      </w:r>
      <w:r>
        <w:rPr>
          <w:rFonts w:hint="eastAsia" w:ascii="宋体" w:hAnsi="宋体" w:eastAsia="宋体" w:cs="宋体"/>
          <w:sz w:val="28"/>
          <w:szCs w:val="28"/>
        </w:rPr>
        <w:t>12525-90）及2008年修改单规定的2类标准。</w:t>
      </w:r>
    </w:p>
    <w:p>
      <w:pPr>
        <w:pStyle w:val="65"/>
        <w:adjustRightInd w:val="0"/>
        <w:snapToGrid w:val="0"/>
        <w:spacing w:line="460" w:lineRule="exact"/>
        <w:ind w:firstLine="482"/>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3、振动</w:t>
      </w:r>
    </w:p>
    <w:p>
      <w:pPr>
        <w:pStyle w:val="65"/>
        <w:adjustRightInd w:val="0"/>
        <w:snapToGrid w:val="0"/>
        <w:spacing w:line="460" w:lineRule="exact"/>
        <w:ind w:firstLine="560" w:firstLineChars="200"/>
        <w:rPr>
          <w:rFonts w:ascii="宋体" w:hAnsi="宋体" w:eastAsia="宋体" w:cs="宋体"/>
          <w:color w:val="auto"/>
          <w:highlight w:val="none"/>
        </w:rPr>
      </w:pPr>
      <w:r>
        <w:rPr>
          <w:rFonts w:hint="eastAsia" w:ascii="宋体" w:hAnsi="宋体" w:eastAsia="宋体" w:cs="宋体"/>
          <w:color w:val="auto"/>
          <w:sz w:val="28"/>
          <w:szCs w:val="28"/>
          <w:highlight w:val="none"/>
        </w:rPr>
        <w:t>新建铁路线东侧临近厂界围墙，临近新建铁路线两侧</w:t>
      </w:r>
      <w:r>
        <w:rPr>
          <w:rFonts w:ascii="宋体" w:hAnsi="宋体" w:eastAsia="宋体"/>
          <w:color w:val="auto"/>
          <w:sz w:val="28"/>
          <w:szCs w:val="28"/>
          <w:highlight w:val="none"/>
        </w:rPr>
        <w:t>35m</w:t>
      </w:r>
      <w:r>
        <w:rPr>
          <w:rFonts w:hint="eastAsia" w:ascii="宋体" w:hAnsi="宋体" w:eastAsia="宋体" w:cs="宋体"/>
          <w:color w:val="auto"/>
          <w:sz w:val="28"/>
          <w:szCs w:val="28"/>
          <w:highlight w:val="none"/>
        </w:rPr>
        <w:t>内无居民住宅、学校、医院等振动敏感建筑物。根据铁路边界噪声监测结果知达到《城市区域环境振动标准》（</w:t>
      </w:r>
      <w:r>
        <w:rPr>
          <w:rFonts w:ascii="宋体" w:hAnsi="宋体" w:eastAsia="宋体" w:cs="宋体"/>
          <w:color w:val="auto"/>
          <w:sz w:val="28"/>
          <w:szCs w:val="28"/>
          <w:highlight w:val="none"/>
        </w:rPr>
        <w:t>GB10070-88</w:t>
      </w:r>
      <w:r>
        <w:rPr>
          <w:rFonts w:hint="eastAsia" w:ascii="宋体" w:hAnsi="宋体" w:eastAsia="宋体" w:cs="宋体"/>
          <w:color w:val="auto"/>
          <w:sz w:val="28"/>
          <w:szCs w:val="28"/>
          <w:highlight w:val="none"/>
        </w:rPr>
        <w:t>）中的混合区标准限值要求</w:t>
      </w:r>
      <w:r>
        <w:rPr>
          <w:rFonts w:hint="eastAsia" w:ascii="宋体" w:hAnsi="宋体" w:eastAsia="宋体" w:cs="宋体"/>
          <w:color w:val="auto"/>
          <w:highlight w:val="none"/>
        </w:rPr>
        <w:t>。</w:t>
      </w:r>
    </w:p>
    <w:p>
      <w:pPr>
        <w:pStyle w:val="65"/>
        <w:adjustRightInd w:val="0"/>
        <w:snapToGrid w:val="0"/>
        <w:spacing w:line="460" w:lineRule="exact"/>
        <w:ind w:firstLine="482"/>
        <w:rPr>
          <w:rFonts w:ascii="宋体" w:hAnsi="宋体" w:eastAsia="宋体"/>
          <w:bCs/>
          <w:color w:val="000000"/>
          <w:sz w:val="28"/>
          <w:szCs w:val="28"/>
        </w:rPr>
      </w:pPr>
      <w:r>
        <w:rPr>
          <w:rFonts w:hint="eastAsia" w:ascii="宋体" w:hAnsi="宋体" w:eastAsia="宋体"/>
          <w:bCs/>
          <w:color w:val="000000"/>
          <w:sz w:val="28"/>
          <w:szCs w:val="28"/>
        </w:rPr>
        <w:t>4、固体废物</w:t>
      </w:r>
    </w:p>
    <w:p>
      <w:pPr>
        <w:pStyle w:val="65"/>
        <w:adjustRightInd w:val="0"/>
        <w:snapToGrid w:val="0"/>
        <w:spacing w:line="460" w:lineRule="exact"/>
        <w:ind w:firstLine="560" w:firstLineChars="200"/>
        <w:rPr>
          <w:rFonts w:ascii="宋体" w:hAnsi="宋体" w:eastAsia="宋体"/>
          <w:bCs/>
          <w:sz w:val="28"/>
          <w:szCs w:val="28"/>
        </w:rPr>
      </w:pPr>
      <w:r>
        <w:rPr>
          <w:rFonts w:hint="eastAsia" w:ascii="宋体" w:hAnsi="宋体" w:eastAsia="宋体"/>
          <w:bCs/>
          <w:sz w:val="28"/>
          <w:szCs w:val="28"/>
        </w:rPr>
        <w:t>本项目固体废物主要为除铁器产生的铁屑、除杂器产生的杂物及职工生活垃圾。</w:t>
      </w:r>
    </w:p>
    <w:p>
      <w:pPr>
        <w:pStyle w:val="65"/>
        <w:adjustRightInd w:val="0"/>
        <w:snapToGrid w:val="0"/>
        <w:spacing w:line="460" w:lineRule="exact"/>
        <w:ind w:firstLine="560" w:firstLineChars="200"/>
        <w:rPr>
          <w:rFonts w:ascii="宋体" w:hAnsi="宋体" w:eastAsia="宋体"/>
          <w:bCs/>
          <w:sz w:val="28"/>
          <w:szCs w:val="28"/>
        </w:rPr>
      </w:pPr>
      <w:r>
        <w:rPr>
          <w:rFonts w:hint="eastAsia" w:ascii="宋体" w:hAnsi="宋体" w:eastAsia="宋体"/>
          <w:bCs/>
          <w:sz w:val="28"/>
          <w:szCs w:val="28"/>
        </w:rPr>
        <w:t>除铁器铁屑产生量约</w:t>
      </w:r>
      <w:r>
        <w:rPr>
          <w:rFonts w:ascii="宋体" w:hAnsi="宋体" w:eastAsia="宋体"/>
          <w:bCs/>
          <w:sz w:val="28"/>
          <w:szCs w:val="28"/>
        </w:rPr>
        <w:t>13t/a</w:t>
      </w:r>
      <w:r>
        <w:rPr>
          <w:rFonts w:hint="eastAsia" w:ascii="宋体" w:hAnsi="宋体" w:eastAsia="宋体"/>
          <w:bCs/>
          <w:sz w:val="28"/>
          <w:szCs w:val="28"/>
        </w:rPr>
        <w:t>，收集后送到太钢高炉生产系统作为生产原料利用。</w:t>
      </w:r>
    </w:p>
    <w:p>
      <w:pPr>
        <w:pStyle w:val="65"/>
        <w:adjustRightInd w:val="0"/>
        <w:snapToGrid w:val="0"/>
        <w:spacing w:line="460" w:lineRule="exact"/>
        <w:ind w:firstLine="560" w:firstLineChars="200"/>
        <w:rPr>
          <w:rFonts w:ascii="宋体" w:hAnsi="宋体" w:eastAsia="宋体"/>
          <w:bCs/>
          <w:sz w:val="28"/>
          <w:szCs w:val="28"/>
        </w:rPr>
      </w:pPr>
      <w:r>
        <w:rPr>
          <w:rFonts w:hint="eastAsia" w:ascii="宋体" w:hAnsi="宋体" w:eastAsia="宋体"/>
          <w:bCs/>
          <w:sz w:val="28"/>
          <w:szCs w:val="28"/>
        </w:rPr>
        <w:t>除杂器产生的杂物包括编织袋、树枝等，属于一般固废，产生量约</w:t>
      </w:r>
      <w:r>
        <w:rPr>
          <w:rFonts w:ascii="宋体" w:hAnsi="宋体" w:eastAsia="宋体"/>
          <w:bCs/>
          <w:sz w:val="28"/>
          <w:szCs w:val="28"/>
        </w:rPr>
        <w:t>42t/a</w:t>
      </w:r>
      <w:r>
        <w:rPr>
          <w:rFonts w:hint="eastAsia" w:ascii="宋体" w:hAnsi="宋体" w:eastAsia="宋体"/>
          <w:bCs/>
          <w:sz w:val="28"/>
          <w:szCs w:val="28"/>
        </w:rPr>
        <w:t>，火车运煤系统职工定员为</w:t>
      </w:r>
      <w:r>
        <w:rPr>
          <w:rFonts w:ascii="宋体" w:hAnsi="宋体" w:eastAsia="宋体"/>
          <w:bCs/>
          <w:sz w:val="28"/>
          <w:szCs w:val="28"/>
        </w:rPr>
        <w:t>54</w:t>
      </w:r>
      <w:r>
        <w:rPr>
          <w:rFonts w:hint="eastAsia" w:ascii="宋体" w:hAnsi="宋体" w:eastAsia="宋体"/>
          <w:bCs/>
          <w:sz w:val="28"/>
          <w:szCs w:val="28"/>
        </w:rPr>
        <w:t>人，生活垃圾产生量为</w:t>
      </w:r>
      <w:r>
        <w:rPr>
          <w:rFonts w:ascii="宋体" w:hAnsi="宋体" w:eastAsia="宋体"/>
          <w:bCs/>
          <w:sz w:val="28"/>
          <w:szCs w:val="28"/>
        </w:rPr>
        <w:t>9.86t/a</w:t>
      </w:r>
      <w:r>
        <w:rPr>
          <w:rFonts w:hint="eastAsia" w:ascii="宋体" w:hAnsi="宋体" w:eastAsia="宋体"/>
          <w:bCs/>
          <w:sz w:val="28"/>
          <w:szCs w:val="28"/>
        </w:rPr>
        <w:t>，除杂器产生的杂物和生活垃圾收集后一同委托当地环卫部门统一处理。</w:t>
      </w:r>
    </w:p>
    <w:p>
      <w:pPr>
        <w:pStyle w:val="65"/>
        <w:adjustRightInd w:val="0"/>
        <w:snapToGrid w:val="0"/>
        <w:spacing w:line="460" w:lineRule="exact"/>
        <w:ind w:firstLine="482"/>
        <w:rPr>
          <w:rFonts w:ascii="宋体" w:hAnsi="宋体" w:eastAsia="宋体"/>
          <w:bCs/>
          <w:color w:val="000000"/>
          <w:sz w:val="28"/>
          <w:szCs w:val="28"/>
        </w:rPr>
      </w:pPr>
      <w:r>
        <w:rPr>
          <w:rFonts w:hint="eastAsia" w:ascii="宋体" w:hAnsi="宋体" w:eastAsia="宋体"/>
          <w:bCs/>
          <w:color w:val="000000"/>
          <w:sz w:val="28"/>
          <w:szCs w:val="28"/>
        </w:rPr>
        <w:t>5</w:t>
      </w:r>
      <w:r>
        <w:rPr>
          <w:rFonts w:ascii="宋体" w:hAnsi="宋体" w:eastAsia="宋体"/>
          <w:bCs/>
          <w:color w:val="000000"/>
          <w:sz w:val="28"/>
          <w:szCs w:val="28"/>
        </w:rPr>
        <w:t>、污染物排放总量</w:t>
      </w:r>
    </w:p>
    <w:p>
      <w:pPr>
        <w:pStyle w:val="65"/>
        <w:adjustRightInd w:val="0"/>
        <w:snapToGrid w:val="0"/>
        <w:spacing w:line="460" w:lineRule="exact"/>
        <w:ind w:firstLine="560" w:firstLineChars="200"/>
        <w:rPr>
          <w:rFonts w:ascii="宋体" w:hAnsi="宋体" w:eastAsia="宋体"/>
          <w:bCs/>
          <w:sz w:val="28"/>
          <w:szCs w:val="28"/>
        </w:rPr>
      </w:pPr>
      <w:r>
        <w:rPr>
          <w:rFonts w:hint="eastAsia" w:ascii="宋体" w:hAnsi="宋体" w:eastAsia="宋体"/>
          <w:bCs/>
          <w:sz w:val="28"/>
          <w:szCs w:val="28"/>
        </w:rPr>
        <w:t>本项目运营期内无有组织废气污染源，无生产废水产生，少量生活污水排入太钢厂区现有生活污水排水管网，最终进入太钢赵庄污水处理厂处理后回用不外排，根据晋环发【</w:t>
      </w:r>
      <w:r>
        <w:rPr>
          <w:rFonts w:ascii="宋体" w:hAnsi="宋体" w:eastAsia="宋体"/>
          <w:bCs/>
          <w:sz w:val="28"/>
          <w:szCs w:val="28"/>
        </w:rPr>
        <w:t>2015</w:t>
      </w:r>
      <w:r>
        <w:rPr>
          <w:rFonts w:hint="eastAsia" w:ascii="宋体" w:hAnsi="宋体" w:eastAsia="宋体"/>
          <w:bCs/>
          <w:sz w:val="28"/>
          <w:szCs w:val="28"/>
        </w:rPr>
        <w:t>】</w:t>
      </w:r>
      <w:r>
        <w:rPr>
          <w:rFonts w:ascii="宋体" w:hAnsi="宋体" w:eastAsia="宋体"/>
          <w:bCs/>
          <w:sz w:val="28"/>
          <w:szCs w:val="28"/>
        </w:rPr>
        <w:t>25</w:t>
      </w:r>
      <w:r>
        <w:rPr>
          <w:rFonts w:hint="eastAsia" w:ascii="宋体" w:hAnsi="宋体" w:eastAsia="宋体"/>
          <w:bCs/>
          <w:sz w:val="28"/>
          <w:szCs w:val="28"/>
        </w:rPr>
        <w:t>号文规定，本项目不需要进行总量控制与核定，也不涉及总量控制指标。</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hint="eastAsia" w:ascii="宋体" w:hAnsi="宋体" w:eastAsia="宋体" w:cs="Times New Roman"/>
          <w:b/>
          <w:color w:val="000000"/>
          <w:sz w:val="28"/>
          <w:szCs w:val="28"/>
        </w:rPr>
        <w:t>五</w:t>
      </w:r>
      <w:r>
        <w:rPr>
          <w:rFonts w:ascii="宋体" w:hAnsi="宋体" w:eastAsia="宋体" w:cs="Times New Roman"/>
          <w:b/>
          <w:color w:val="000000"/>
          <w:sz w:val="28"/>
          <w:szCs w:val="28"/>
        </w:rPr>
        <w:t>、工程建设对环境的影响</w:t>
      </w:r>
    </w:p>
    <w:p>
      <w:pPr>
        <w:pStyle w:val="60"/>
        <w:adjustRightInd w:val="0"/>
        <w:snapToGrid w:val="0"/>
        <w:spacing w:before="0" w:beforeAutospacing="0" w:after="0" w:afterAutospacing="0" w:line="460" w:lineRule="exact"/>
        <w:ind w:firstLine="560" w:firstLineChars="200"/>
        <w:rPr>
          <w:rFonts w:ascii="宋体" w:hAnsi="宋体" w:eastAsia="宋体" w:cs="Times New Roman"/>
          <w:color w:val="000000"/>
          <w:sz w:val="28"/>
          <w:szCs w:val="28"/>
        </w:rPr>
      </w:pPr>
      <w:r>
        <w:rPr>
          <w:rFonts w:hint="eastAsia" w:ascii="宋体" w:hAnsi="宋体" w:eastAsia="宋体" w:cs="Times New Roman"/>
          <w:sz w:val="28"/>
          <w:szCs w:val="28"/>
        </w:rPr>
        <w:t>本项目运营期内无有组织废气污染源，无生产废水产生，少量生活污水排入太钢厂区现有生活污水排水管网，最终进入太钢赵庄污水处理厂处理后回用不外排，</w:t>
      </w:r>
      <w:r>
        <w:rPr>
          <w:rFonts w:ascii="宋体" w:hAnsi="宋体" w:eastAsia="宋体" w:cs="Times New Roman"/>
          <w:color w:val="000000"/>
          <w:sz w:val="28"/>
          <w:szCs w:val="28"/>
        </w:rPr>
        <w:t>各大气污染物排放源采取有效措施净化；产噪设备采取隔声、降噪等措施控制；各类固废采取相应处置和循环利用措施。据验收监测结果可知，各污染物满足达标排放，周围环境质量可达到验收执行标准。工程建设对周围环境产生的影响较小。</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hint="eastAsia" w:ascii="宋体" w:hAnsi="宋体" w:eastAsia="宋体" w:cs="Times New Roman"/>
          <w:b/>
          <w:color w:val="000000"/>
          <w:sz w:val="28"/>
          <w:szCs w:val="28"/>
        </w:rPr>
        <w:t>六</w:t>
      </w:r>
      <w:r>
        <w:rPr>
          <w:rFonts w:ascii="宋体" w:hAnsi="宋体" w:eastAsia="宋体" w:cs="Times New Roman"/>
          <w:b/>
          <w:color w:val="000000"/>
          <w:sz w:val="28"/>
          <w:szCs w:val="28"/>
        </w:rPr>
        <w:t>、验收结论</w:t>
      </w:r>
    </w:p>
    <w:p>
      <w:pPr>
        <w:pStyle w:val="65"/>
        <w:adjustRightInd w:val="0"/>
        <w:snapToGrid w:val="0"/>
        <w:spacing w:line="460" w:lineRule="exact"/>
        <w:ind w:firstLine="560"/>
        <w:rPr>
          <w:rFonts w:ascii="宋体" w:hAnsi="宋体" w:eastAsia="宋体"/>
          <w:bCs/>
          <w:color w:val="000000"/>
          <w:sz w:val="28"/>
          <w:szCs w:val="28"/>
        </w:rPr>
      </w:pPr>
      <w:r>
        <w:rPr>
          <w:rFonts w:hint="eastAsia" w:ascii="宋体" w:hAnsi="宋体" w:eastAsia="宋体"/>
          <w:bCs/>
          <w:color w:val="000000"/>
          <w:sz w:val="28"/>
          <w:szCs w:val="28"/>
        </w:rPr>
        <w:t>山西太钢不锈钢股份有限公司焦化厂全火车运煤系统改造项目</w:t>
      </w:r>
      <w:r>
        <w:rPr>
          <w:rFonts w:ascii="宋体" w:hAnsi="宋体" w:eastAsia="宋体"/>
          <w:bCs/>
          <w:color w:val="000000"/>
          <w:sz w:val="28"/>
          <w:szCs w:val="28"/>
        </w:rPr>
        <w:t>进</w:t>
      </w:r>
      <w:r>
        <w:rPr>
          <w:rFonts w:ascii="宋体" w:hAnsi="宋体" w:eastAsia="宋体"/>
          <w:color w:val="000000"/>
          <w:kern w:val="0"/>
          <w:sz w:val="28"/>
          <w:szCs w:val="28"/>
        </w:rPr>
        <w:t>行了环境影响评价，</w:t>
      </w:r>
      <w:r>
        <w:rPr>
          <w:rFonts w:ascii="宋体" w:hAnsi="宋体" w:eastAsia="宋体"/>
          <w:bCs/>
          <w:color w:val="000000"/>
          <w:sz w:val="28"/>
          <w:szCs w:val="28"/>
        </w:rPr>
        <w:t>报告表经</w:t>
      </w:r>
      <w:r>
        <w:rPr>
          <w:rFonts w:hint="eastAsia" w:ascii="宋体" w:hAnsi="宋体" w:eastAsia="宋体"/>
          <w:bCs/>
          <w:color w:val="000000"/>
          <w:sz w:val="28"/>
          <w:szCs w:val="28"/>
        </w:rPr>
        <w:t>太原市环境保护局尖草坪分局</w:t>
      </w:r>
      <w:r>
        <w:rPr>
          <w:rFonts w:ascii="宋体" w:hAnsi="宋体" w:eastAsia="宋体"/>
          <w:bCs/>
          <w:color w:val="000000"/>
          <w:sz w:val="28"/>
          <w:szCs w:val="28"/>
        </w:rPr>
        <w:t>批复。项目基本按照环评及其批复要求进行了建设。验收监测结果表明，污染物可以做到达标排放，不存在国家规定的验收不合格情形。验收组认为，本项目竣工环境保护验收为基本合格。</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ascii="宋体" w:hAnsi="宋体" w:eastAsia="宋体" w:cs="Times New Roman"/>
          <w:b/>
          <w:color w:val="000000"/>
          <w:sz w:val="28"/>
          <w:szCs w:val="28"/>
        </w:rPr>
        <w:t>七、</w:t>
      </w:r>
      <w:r>
        <w:rPr>
          <w:rFonts w:hint="eastAsia" w:ascii="宋体" w:hAnsi="宋体" w:eastAsia="宋体" w:cs="Times New Roman"/>
          <w:b/>
          <w:color w:val="000000"/>
          <w:sz w:val="28"/>
          <w:szCs w:val="28"/>
        </w:rPr>
        <w:t>后续要求</w:t>
      </w:r>
    </w:p>
    <w:p>
      <w:pPr>
        <w:pStyle w:val="61"/>
        <w:widowControl/>
        <w:adjustRightInd w:val="0"/>
        <w:snapToGrid w:val="0"/>
        <w:spacing w:line="460" w:lineRule="exact"/>
        <w:ind w:firstLine="560"/>
        <w:rPr>
          <w:rFonts w:ascii="宋体" w:hAnsi="宋体" w:eastAsia="宋体" w:cs="Times New Roman"/>
          <w:sz w:val="28"/>
          <w:szCs w:val="28"/>
        </w:rPr>
      </w:pPr>
      <w:r>
        <w:rPr>
          <w:rFonts w:ascii="宋体" w:hAnsi="宋体" w:eastAsia="宋体" w:cs="Times New Roman"/>
          <w:sz w:val="28"/>
          <w:szCs w:val="28"/>
        </w:rPr>
        <w:t>1、加强环保设施的运行管理，设立运行台账，定期维修，确保各环节的污染物稳定达标排放。</w:t>
      </w:r>
    </w:p>
    <w:p>
      <w:pPr>
        <w:widowControl/>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2</w:t>
      </w:r>
      <w:r>
        <w:rPr>
          <w:rFonts w:hint="eastAsia" w:ascii="宋体" w:hAnsi="宋体" w:eastAsia="宋体" w:cs="Times New Roman"/>
          <w:sz w:val="28"/>
          <w:szCs w:val="28"/>
        </w:rPr>
        <w:t>、加强风险管控，杜绝出现环境风险事故。</w:t>
      </w:r>
    </w:p>
    <w:p>
      <w:pPr>
        <w:pStyle w:val="60"/>
        <w:adjustRightInd w:val="0"/>
        <w:snapToGrid w:val="0"/>
        <w:spacing w:before="0" w:beforeAutospacing="0" w:after="0" w:afterAutospacing="0" w:line="460" w:lineRule="exact"/>
        <w:ind w:firstLine="562" w:firstLineChars="200"/>
        <w:jc w:val="both"/>
        <w:outlineLvl w:val="0"/>
        <w:rPr>
          <w:rFonts w:ascii="宋体" w:hAnsi="宋体" w:eastAsia="宋体" w:cs="Times New Roman"/>
          <w:b/>
          <w:color w:val="000000"/>
          <w:sz w:val="28"/>
          <w:szCs w:val="28"/>
        </w:rPr>
      </w:pPr>
      <w:r>
        <w:rPr>
          <w:rFonts w:hint="eastAsia" w:ascii="宋体" w:hAnsi="宋体" w:eastAsia="宋体" w:cs="Times New Roman"/>
          <w:b/>
          <w:color w:val="000000"/>
          <w:sz w:val="28"/>
          <w:szCs w:val="28"/>
        </w:rPr>
        <w:t>八、</w:t>
      </w:r>
      <w:r>
        <w:rPr>
          <w:rFonts w:ascii="宋体" w:hAnsi="宋体" w:eastAsia="宋体" w:cs="Times New Roman"/>
          <w:b/>
          <w:color w:val="000000"/>
          <w:sz w:val="28"/>
          <w:szCs w:val="28"/>
        </w:rPr>
        <w:t>验收人员信息</w:t>
      </w:r>
    </w:p>
    <w:p>
      <w:pPr>
        <w:widowControl/>
        <w:adjustRightInd w:val="0"/>
        <w:snapToGrid w:val="0"/>
        <w:spacing w:line="460" w:lineRule="exact"/>
        <w:ind w:firstLine="560" w:firstLineChars="200"/>
        <w:rPr>
          <w:rFonts w:hint="eastAsia" w:ascii="宋体" w:hAnsi="宋体" w:eastAsia="宋体" w:cs="Times New Roman"/>
          <w:sz w:val="28"/>
          <w:szCs w:val="28"/>
        </w:rPr>
      </w:pPr>
      <w:r>
        <w:rPr>
          <w:rFonts w:ascii="宋体" w:hAnsi="宋体" w:eastAsia="宋体" w:cs="Times New Roman"/>
          <w:sz w:val="28"/>
          <w:szCs w:val="28"/>
        </w:rPr>
        <w:t>验收组名单附后。</w:t>
      </w:r>
    </w:p>
    <w:p>
      <w:pPr>
        <w:widowControl/>
        <w:adjustRightInd w:val="0"/>
        <w:snapToGrid w:val="0"/>
        <w:spacing w:line="460" w:lineRule="exact"/>
        <w:ind w:firstLine="560" w:firstLineChars="200"/>
        <w:rPr>
          <w:rFonts w:hint="eastAsia" w:ascii="宋体" w:hAnsi="宋体" w:eastAsia="宋体" w:cs="Times New Roman"/>
          <w:sz w:val="28"/>
          <w:szCs w:val="28"/>
        </w:rPr>
      </w:pPr>
    </w:p>
    <w:p>
      <w:pPr>
        <w:widowControl/>
        <w:adjustRightInd w:val="0"/>
        <w:snapToGrid w:val="0"/>
        <w:spacing w:line="460" w:lineRule="exact"/>
        <w:ind w:firstLine="560" w:firstLineChars="200"/>
        <w:rPr>
          <w:rFonts w:ascii="宋体" w:hAnsi="宋体" w:eastAsia="宋体" w:cs="Times New Roman"/>
          <w:sz w:val="28"/>
          <w:szCs w:val="28"/>
        </w:rPr>
      </w:pPr>
    </w:p>
    <w:p>
      <w:pPr>
        <w:widowControl/>
        <w:adjustRightInd w:val="0"/>
        <w:snapToGrid w:val="0"/>
        <w:spacing w:line="460" w:lineRule="exact"/>
        <w:ind w:firstLine="560" w:firstLineChars="200"/>
        <w:rPr>
          <w:rFonts w:ascii="宋体" w:hAnsi="宋体" w:eastAsia="宋体" w:cs="Times New Roman"/>
          <w:sz w:val="28"/>
          <w:szCs w:val="28"/>
        </w:rPr>
      </w:pPr>
    </w:p>
    <w:p>
      <w:pPr>
        <w:widowControl/>
        <w:adjustRightInd w:val="0"/>
        <w:snapToGrid w:val="0"/>
        <w:spacing w:line="460" w:lineRule="exact"/>
        <w:ind w:firstLine="560" w:firstLineChars="200"/>
        <w:jc w:val="right"/>
        <w:rPr>
          <w:rFonts w:ascii="宋体" w:hAnsi="宋体" w:eastAsia="宋体" w:cs="Times New Roman"/>
          <w:sz w:val="28"/>
          <w:szCs w:val="28"/>
        </w:rPr>
      </w:pPr>
      <w:r>
        <w:rPr>
          <w:rFonts w:hint="eastAsia" w:ascii="宋体" w:hAnsi="宋体" w:eastAsia="宋体" w:cs="Times New Roman"/>
          <w:sz w:val="28"/>
          <w:szCs w:val="28"/>
        </w:rPr>
        <w:t>山西太钢不锈钢股份有限公司焦化厂</w:t>
      </w:r>
    </w:p>
    <w:p>
      <w:pPr>
        <w:widowControl/>
        <w:adjustRightInd w:val="0"/>
        <w:snapToGrid w:val="0"/>
        <w:spacing w:line="460" w:lineRule="exact"/>
        <w:ind w:firstLine="560" w:firstLineChars="200"/>
        <w:rPr>
          <w:rFonts w:ascii="宋体" w:hAnsi="宋体" w:eastAsia="宋体" w:cs="Times New Roman"/>
          <w:sz w:val="28"/>
          <w:szCs w:val="28"/>
        </w:rPr>
      </w:pPr>
      <w:r>
        <w:rPr>
          <w:rFonts w:ascii="宋体" w:hAnsi="宋体" w:eastAsia="宋体" w:cs="Times New Roman"/>
          <w:sz w:val="28"/>
          <w:szCs w:val="28"/>
        </w:rPr>
        <w:t xml:space="preserve">    </w:t>
      </w:r>
      <w:bookmarkStart w:id="2" w:name="_GoBack"/>
      <w:bookmarkEnd w:id="2"/>
      <w:r>
        <w:rPr>
          <w:rFonts w:ascii="宋体" w:hAnsi="宋体" w:eastAsia="宋体" w:cs="Times New Roman"/>
          <w:sz w:val="28"/>
          <w:szCs w:val="28"/>
        </w:rPr>
        <w:t xml:space="preserve">                             </w:t>
      </w:r>
      <w:r>
        <w:rPr>
          <w:rFonts w:hint="eastAsia" w:ascii="宋体" w:hAnsi="宋体" w:eastAsia="宋体" w:cs="Times New Roman"/>
          <w:sz w:val="28"/>
          <w:szCs w:val="28"/>
        </w:rPr>
        <w:t xml:space="preserve">   </w:t>
      </w:r>
      <w:r>
        <w:rPr>
          <w:rFonts w:ascii="宋体" w:hAnsi="宋体" w:eastAsia="宋体" w:cs="Times New Roman"/>
          <w:sz w:val="28"/>
          <w:szCs w:val="28"/>
        </w:rPr>
        <w:t>202</w:t>
      </w:r>
      <w:r>
        <w:rPr>
          <w:rFonts w:hint="eastAsia" w:ascii="宋体" w:hAnsi="宋体" w:eastAsia="宋体" w:cs="Times New Roman"/>
          <w:sz w:val="28"/>
          <w:szCs w:val="28"/>
        </w:rPr>
        <w:t>1</w:t>
      </w:r>
      <w:r>
        <w:rPr>
          <w:rFonts w:ascii="宋体" w:hAnsi="宋体" w:eastAsia="宋体" w:cs="Times New Roman"/>
          <w:sz w:val="28"/>
          <w:szCs w:val="28"/>
        </w:rPr>
        <w:t>年</w:t>
      </w:r>
      <w:r>
        <w:rPr>
          <w:rFonts w:hint="eastAsia" w:ascii="宋体" w:hAnsi="宋体" w:eastAsia="宋体" w:cs="Times New Roman"/>
          <w:sz w:val="28"/>
          <w:szCs w:val="28"/>
        </w:rPr>
        <w:t>5</w:t>
      </w:r>
      <w:r>
        <w:rPr>
          <w:rFonts w:ascii="宋体" w:hAnsi="宋体" w:eastAsia="宋体" w:cs="Times New Roman"/>
          <w:sz w:val="28"/>
          <w:szCs w:val="28"/>
        </w:rPr>
        <w:t>月</w:t>
      </w:r>
      <w:r>
        <w:rPr>
          <w:rFonts w:hint="eastAsia" w:ascii="宋体" w:hAnsi="宋体" w:eastAsia="宋体" w:cs="Times New Roman"/>
          <w:sz w:val="28"/>
          <w:szCs w:val="28"/>
        </w:rPr>
        <w:t>24</w:t>
      </w:r>
      <w:r>
        <w:rPr>
          <w:rFonts w:ascii="宋体" w:hAnsi="宋体" w:eastAsia="宋体" w:cs="Times New Roman"/>
          <w:sz w:val="28"/>
          <w:szCs w:val="28"/>
        </w:rPr>
        <w:t>日</w:t>
      </w:r>
    </w:p>
    <w:sectPr>
      <w:pgSz w:w="11906" w:h="16838"/>
      <w:pgMar w:top="1418" w:right="1588" w:bottom="1418" w:left="1701" w:header="907" w:footer="1021"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Arial Unicode MS">
    <w:altName w:val="Arial"/>
    <w:panose1 w:val="020B0604020202020204"/>
    <w:charset w:val="00"/>
    <w:family w:val="auto"/>
    <w:pitch w:val="default"/>
    <w:sig w:usb0="00000003" w:usb1="00000000" w:usb2="00000000" w:usb3="00000000" w:csb0="00000001" w:csb1="00000000"/>
  </w:font>
  <w:font w:name="PMingLiU">
    <w:panose1 w:val="02020500000000000000"/>
    <w:charset w:val="88"/>
    <w:family w:val="auto"/>
    <w:pitch w:val="default"/>
    <w:sig w:usb0="A00002FF" w:usb1="28CFFCFA" w:usb2="00000016" w:usb3="00000000" w:csb0="00100001" w:csb1="00000000"/>
  </w:font>
  <w:font w:name="宋体-方正超大字符集">
    <w:panose1 w:val="03000509000000000000"/>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40001"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5"/>
      <w:framePr w:wrap="around" w:vAnchor="text" w:hAnchor="margin" w:xAlign="center" w:y="1"/>
      <w:rPr>
        <w:rStyle w:val="68"/>
        <w:rFonts w:ascii="Times New Roman" w:hAnsi="Times New Roman" w:cs="Times New Roman"/>
      </w:rPr>
    </w:pPr>
    <w:r>
      <w:rPr>
        <w:rFonts w:ascii="Times New Roman" w:hAnsi="Times New Roman" w:cs="Times New Roman"/>
      </w:rPr>
      <w:fldChar w:fldCharType="begin"/>
    </w:r>
    <w:r>
      <w:rPr>
        <w:rStyle w:val="68"/>
        <w:rFonts w:ascii="Times New Roman" w:hAnsi="Times New Roman" w:cs="Times New Roman"/>
      </w:rPr>
      <w:instrText xml:space="preserve">PAGE  </w:instrText>
    </w:r>
    <w:r>
      <w:rPr>
        <w:rFonts w:ascii="Times New Roman" w:hAnsi="Times New Roman" w:cs="Times New Roman"/>
      </w:rPr>
      <w:fldChar w:fldCharType="separate"/>
    </w:r>
    <w:r>
      <w:rPr>
        <w:rStyle w:val="68"/>
        <w:rFonts w:ascii="Times New Roman" w:hAnsi="Times New Roman" w:cs="Times New Roman"/>
      </w:rPr>
      <w:t>13</w:t>
    </w:r>
    <w:r>
      <w:rPr>
        <w:rFonts w:ascii="Times New Roman" w:hAnsi="Times New Roman" w:cs="Times New Roman"/>
      </w:rPr>
      <w:fldChar w:fldCharType="end"/>
    </w:r>
  </w:p>
  <w:p>
    <w:pPr>
      <w:pStyle w:val="1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8F363E"/>
    <w:rsid w:val="0000473B"/>
    <w:rsid w:val="0001384F"/>
    <w:rsid w:val="00021A86"/>
    <w:rsid w:val="000326B5"/>
    <w:rsid w:val="00032E26"/>
    <w:rsid w:val="00034C9B"/>
    <w:rsid w:val="00035E40"/>
    <w:rsid w:val="00037630"/>
    <w:rsid w:val="00044CF5"/>
    <w:rsid w:val="00047464"/>
    <w:rsid w:val="00050165"/>
    <w:rsid w:val="000507DF"/>
    <w:rsid w:val="00061F18"/>
    <w:rsid w:val="00066E43"/>
    <w:rsid w:val="00071976"/>
    <w:rsid w:val="00077B6E"/>
    <w:rsid w:val="000807ED"/>
    <w:rsid w:val="000A31D5"/>
    <w:rsid w:val="000D2442"/>
    <w:rsid w:val="00107B08"/>
    <w:rsid w:val="00107DE1"/>
    <w:rsid w:val="00114EC8"/>
    <w:rsid w:val="00126C68"/>
    <w:rsid w:val="0013317C"/>
    <w:rsid w:val="0016411D"/>
    <w:rsid w:val="00173589"/>
    <w:rsid w:val="00180E87"/>
    <w:rsid w:val="0018468E"/>
    <w:rsid w:val="00194D9F"/>
    <w:rsid w:val="001A2FF8"/>
    <w:rsid w:val="001B515C"/>
    <w:rsid w:val="001C1712"/>
    <w:rsid w:val="001C2896"/>
    <w:rsid w:val="001F4571"/>
    <w:rsid w:val="001F4B69"/>
    <w:rsid w:val="0021664E"/>
    <w:rsid w:val="00223A4A"/>
    <w:rsid w:val="00224850"/>
    <w:rsid w:val="00225172"/>
    <w:rsid w:val="002307B3"/>
    <w:rsid w:val="00232B9D"/>
    <w:rsid w:val="00240495"/>
    <w:rsid w:val="00242A19"/>
    <w:rsid w:val="00252851"/>
    <w:rsid w:val="00252BE6"/>
    <w:rsid w:val="0025751C"/>
    <w:rsid w:val="0026055B"/>
    <w:rsid w:val="00277091"/>
    <w:rsid w:val="00277FD4"/>
    <w:rsid w:val="002951D1"/>
    <w:rsid w:val="00297A4E"/>
    <w:rsid w:val="002C65BE"/>
    <w:rsid w:val="002D31E4"/>
    <w:rsid w:val="002F468A"/>
    <w:rsid w:val="00301DEB"/>
    <w:rsid w:val="003229B0"/>
    <w:rsid w:val="003313AF"/>
    <w:rsid w:val="003327F6"/>
    <w:rsid w:val="0033781A"/>
    <w:rsid w:val="0036031B"/>
    <w:rsid w:val="003637AD"/>
    <w:rsid w:val="00376FC5"/>
    <w:rsid w:val="00382FBC"/>
    <w:rsid w:val="00387B5D"/>
    <w:rsid w:val="00393D20"/>
    <w:rsid w:val="003963DA"/>
    <w:rsid w:val="003B0F4E"/>
    <w:rsid w:val="003B29AF"/>
    <w:rsid w:val="003C070C"/>
    <w:rsid w:val="003D7671"/>
    <w:rsid w:val="003D7F21"/>
    <w:rsid w:val="003E551D"/>
    <w:rsid w:val="00403C4D"/>
    <w:rsid w:val="00410651"/>
    <w:rsid w:val="00420368"/>
    <w:rsid w:val="00421B60"/>
    <w:rsid w:val="004257AB"/>
    <w:rsid w:val="00435C2D"/>
    <w:rsid w:val="00445416"/>
    <w:rsid w:val="00457220"/>
    <w:rsid w:val="00463846"/>
    <w:rsid w:val="00476B38"/>
    <w:rsid w:val="004827C6"/>
    <w:rsid w:val="00485C7D"/>
    <w:rsid w:val="00486FE2"/>
    <w:rsid w:val="004955B1"/>
    <w:rsid w:val="004A018C"/>
    <w:rsid w:val="004A033D"/>
    <w:rsid w:val="004A6E79"/>
    <w:rsid w:val="004C6AEC"/>
    <w:rsid w:val="004E6866"/>
    <w:rsid w:val="004F00C6"/>
    <w:rsid w:val="00515BAD"/>
    <w:rsid w:val="00520C2F"/>
    <w:rsid w:val="00555A91"/>
    <w:rsid w:val="00573AAD"/>
    <w:rsid w:val="00575337"/>
    <w:rsid w:val="00582F6E"/>
    <w:rsid w:val="005A0650"/>
    <w:rsid w:val="005A1018"/>
    <w:rsid w:val="005A7DBA"/>
    <w:rsid w:val="005B2B49"/>
    <w:rsid w:val="005B4AC1"/>
    <w:rsid w:val="005C66AD"/>
    <w:rsid w:val="005E1E5F"/>
    <w:rsid w:val="005E7BD0"/>
    <w:rsid w:val="005F0E73"/>
    <w:rsid w:val="005F0FC3"/>
    <w:rsid w:val="005F4237"/>
    <w:rsid w:val="005F7BD3"/>
    <w:rsid w:val="00601293"/>
    <w:rsid w:val="0060596E"/>
    <w:rsid w:val="00625FEB"/>
    <w:rsid w:val="006275A9"/>
    <w:rsid w:val="00635A1F"/>
    <w:rsid w:val="0065229A"/>
    <w:rsid w:val="00664A2A"/>
    <w:rsid w:val="00666FA2"/>
    <w:rsid w:val="006719E9"/>
    <w:rsid w:val="00673C45"/>
    <w:rsid w:val="00676BA7"/>
    <w:rsid w:val="0069793D"/>
    <w:rsid w:val="006B1B5F"/>
    <w:rsid w:val="006B2E46"/>
    <w:rsid w:val="006B5291"/>
    <w:rsid w:val="006C2892"/>
    <w:rsid w:val="006D1387"/>
    <w:rsid w:val="006D2839"/>
    <w:rsid w:val="006D423D"/>
    <w:rsid w:val="0070531B"/>
    <w:rsid w:val="0070540C"/>
    <w:rsid w:val="00714D0F"/>
    <w:rsid w:val="00715301"/>
    <w:rsid w:val="007158E0"/>
    <w:rsid w:val="007304A6"/>
    <w:rsid w:val="00732C43"/>
    <w:rsid w:val="00740926"/>
    <w:rsid w:val="00744DAE"/>
    <w:rsid w:val="007568A1"/>
    <w:rsid w:val="00762BA1"/>
    <w:rsid w:val="00773CF6"/>
    <w:rsid w:val="00792343"/>
    <w:rsid w:val="0079375F"/>
    <w:rsid w:val="00795560"/>
    <w:rsid w:val="0079774C"/>
    <w:rsid w:val="007A34F3"/>
    <w:rsid w:val="007B738A"/>
    <w:rsid w:val="007F40CD"/>
    <w:rsid w:val="0080712E"/>
    <w:rsid w:val="00812D34"/>
    <w:rsid w:val="008341E6"/>
    <w:rsid w:val="008414C3"/>
    <w:rsid w:val="00846642"/>
    <w:rsid w:val="00855A93"/>
    <w:rsid w:val="008564E5"/>
    <w:rsid w:val="00857F0B"/>
    <w:rsid w:val="00861525"/>
    <w:rsid w:val="00887000"/>
    <w:rsid w:val="008B181B"/>
    <w:rsid w:val="008B2E8F"/>
    <w:rsid w:val="008C1D78"/>
    <w:rsid w:val="008F08A8"/>
    <w:rsid w:val="008F363E"/>
    <w:rsid w:val="008F5593"/>
    <w:rsid w:val="0090612F"/>
    <w:rsid w:val="00913015"/>
    <w:rsid w:val="00921EFE"/>
    <w:rsid w:val="009231C0"/>
    <w:rsid w:val="00935AF2"/>
    <w:rsid w:val="00940FED"/>
    <w:rsid w:val="00942359"/>
    <w:rsid w:val="0096391E"/>
    <w:rsid w:val="00974BDD"/>
    <w:rsid w:val="0098573A"/>
    <w:rsid w:val="00991DE6"/>
    <w:rsid w:val="00996BFA"/>
    <w:rsid w:val="009A1934"/>
    <w:rsid w:val="009A1B8D"/>
    <w:rsid w:val="009B63D3"/>
    <w:rsid w:val="009B6CA3"/>
    <w:rsid w:val="009C0E36"/>
    <w:rsid w:val="009C58B3"/>
    <w:rsid w:val="009C6D20"/>
    <w:rsid w:val="009E4E35"/>
    <w:rsid w:val="00A01903"/>
    <w:rsid w:val="00A1265C"/>
    <w:rsid w:val="00A24F29"/>
    <w:rsid w:val="00A2763C"/>
    <w:rsid w:val="00A3789D"/>
    <w:rsid w:val="00A459FA"/>
    <w:rsid w:val="00A96EBE"/>
    <w:rsid w:val="00AA543F"/>
    <w:rsid w:val="00AA70B8"/>
    <w:rsid w:val="00AA79D8"/>
    <w:rsid w:val="00AB2A5C"/>
    <w:rsid w:val="00AC575B"/>
    <w:rsid w:val="00AD2C91"/>
    <w:rsid w:val="00AF03FF"/>
    <w:rsid w:val="00AF3DCA"/>
    <w:rsid w:val="00B01554"/>
    <w:rsid w:val="00B17F06"/>
    <w:rsid w:val="00B46163"/>
    <w:rsid w:val="00B54328"/>
    <w:rsid w:val="00B60F47"/>
    <w:rsid w:val="00B67202"/>
    <w:rsid w:val="00B70410"/>
    <w:rsid w:val="00B743C4"/>
    <w:rsid w:val="00B752BF"/>
    <w:rsid w:val="00B8411C"/>
    <w:rsid w:val="00B8481D"/>
    <w:rsid w:val="00B97094"/>
    <w:rsid w:val="00BA5872"/>
    <w:rsid w:val="00BA7DD5"/>
    <w:rsid w:val="00BC38C2"/>
    <w:rsid w:val="00BC3FC1"/>
    <w:rsid w:val="00BD7A20"/>
    <w:rsid w:val="00BF7BD1"/>
    <w:rsid w:val="00C107A3"/>
    <w:rsid w:val="00C145EA"/>
    <w:rsid w:val="00C302AB"/>
    <w:rsid w:val="00C568F8"/>
    <w:rsid w:val="00C60226"/>
    <w:rsid w:val="00C70992"/>
    <w:rsid w:val="00C72D2D"/>
    <w:rsid w:val="00C73032"/>
    <w:rsid w:val="00C743E5"/>
    <w:rsid w:val="00C848A6"/>
    <w:rsid w:val="00C91C5C"/>
    <w:rsid w:val="00C9699A"/>
    <w:rsid w:val="00CA1AE4"/>
    <w:rsid w:val="00CC2C51"/>
    <w:rsid w:val="00CC6488"/>
    <w:rsid w:val="00CD3B96"/>
    <w:rsid w:val="00CF6DAF"/>
    <w:rsid w:val="00D01AE1"/>
    <w:rsid w:val="00D066D0"/>
    <w:rsid w:val="00D10DBA"/>
    <w:rsid w:val="00D15448"/>
    <w:rsid w:val="00D157A0"/>
    <w:rsid w:val="00D331F7"/>
    <w:rsid w:val="00D6096D"/>
    <w:rsid w:val="00D613D8"/>
    <w:rsid w:val="00D70CBD"/>
    <w:rsid w:val="00D7593B"/>
    <w:rsid w:val="00D76058"/>
    <w:rsid w:val="00D813C3"/>
    <w:rsid w:val="00D86662"/>
    <w:rsid w:val="00DA1374"/>
    <w:rsid w:val="00DB5D8B"/>
    <w:rsid w:val="00DD1E21"/>
    <w:rsid w:val="00DD64D5"/>
    <w:rsid w:val="00E27CCC"/>
    <w:rsid w:val="00E3574A"/>
    <w:rsid w:val="00E650BB"/>
    <w:rsid w:val="00E66B53"/>
    <w:rsid w:val="00EA027F"/>
    <w:rsid w:val="00EA2AB4"/>
    <w:rsid w:val="00EB2EEC"/>
    <w:rsid w:val="00EB37D9"/>
    <w:rsid w:val="00EB5458"/>
    <w:rsid w:val="00EB78FC"/>
    <w:rsid w:val="00EC6297"/>
    <w:rsid w:val="00EE0E64"/>
    <w:rsid w:val="00F0270F"/>
    <w:rsid w:val="00F05BF4"/>
    <w:rsid w:val="00F31C63"/>
    <w:rsid w:val="00F324C6"/>
    <w:rsid w:val="00F3764F"/>
    <w:rsid w:val="00F5616E"/>
    <w:rsid w:val="00F66119"/>
    <w:rsid w:val="00F73EBB"/>
    <w:rsid w:val="00F75A96"/>
    <w:rsid w:val="00F7770D"/>
    <w:rsid w:val="00F80B53"/>
    <w:rsid w:val="00F81748"/>
    <w:rsid w:val="00F8540A"/>
    <w:rsid w:val="00F90D48"/>
    <w:rsid w:val="00FC593F"/>
    <w:rsid w:val="00FF3838"/>
    <w:rsid w:val="68B711D9"/>
    <w:rsid w:val="6B0B178D"/>
    <w:rsid w:val="70AB6EAB"/>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unhideWhenUsed="0" w:uiPriority="0" w:semiHidden="0" w:name="heading 2"/>
    <w:lsdException w:unhideWhenUsed="0" w:uiPriority="0" w:semiHidden="0" w:name="heading 3"/>
    <w:lsdException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nhideWhenUsed="0" w:uiPriority="9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0" w:name="footnote text"/>
    <w:lsdException w:unhideWhenUsed="0" w:uiPriority="99" w:semiHidden="0" w:name="annotation text"/>
    <w:lsdException w:unhideWhenUsed="0" w:uiPriority="0" w:semiHidden="0" w:name="header"/>
    <w:lsdException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99"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iPriority="99"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99" w:name="Date"/>
    <w:lsdException w:uiPriority="0" w:name="Body Text First Indent"/>
    <w:lsdException w:uiPriority="0" w:name="Body Text First Indent 2"/>
    <w:lsdException w:uiPriority="0" w:name="Note Heading"/>
    <w:lsdException w:uiPriority="99"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Calibri"/>
      <w:kern w:val="2"/>
      <w:sz w:val="21"/>
      <w:szCs w:val="24"/>
      <w:lang w:val="en-US" w:eastAsia="zh-CN" w:bidi="ar-SA"/>
    </w:rPr>
  </w:style>
  <w:style w:type="paragraph" w:styleId="2">
    <w:name w:val="heading 1"/>
    <w:basedOn w:val="1"/>
    <w:next w:val="1"/>
    <w:link w:val="9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88"/>
    <w:uiPriority w:val="0"/>
    <w:pPr>
      <w:widowControl/>
      <w:spacing w:before="260" w:after="260" w:line="2800" w:lineRule="atLeast"/>
      <w:ind w:firstLine="419"/>
      <w:textAlignment w:val="baseline"/>
      <w:outlineLvl w:val="1"/>
    </w:pPr>
    <w:rPr>
      <w:rFonts w:ascii="Arial" w:eastAsia="黑体"/>
      <w:b/>
      <w:color w:val="000000"/>
      <w:sz w:val="31"/>
      <w:u w:val="none" w:color="000000"/>
    </w:rPr>
  </w:style>
  <w:style w:type="paragraph" w:styleId="4">
    <w:name w:val="heading 3"/>
    <w:basedOn w:val="1"/>
    <w:next w:val="1"/>
    <w:uiPriority w:val="0"/>
    <w:pPr>
      <w:keepNext/>
      <w:keepLines/>
      <w:spacing w:before="260" w:after="260" w:line="416" w:lineRule="auto"/>
      <w:outlineLvl w:val="2"/>
    </w:pPr>
    <w:rPr>
      <w:b/>
      <w:bCs/>
      <w:sz w:val="32"/>
      <w:szCs w:val="32"/>
    </w:rPr>
  </w:style>
  <w:style w:type="paragraph" w:styleId="5">
    <w:name w:val="heading 4"/>
    <w:basedOn w:val="1"/>
    <w:next w:val="1"/>
    <w:uiPriority w:val="0"/>
    <w:pPr>
      <w:keepNext/>
      <w:keepLines/>
      <w:spacing w:before="280" w:after="290" w:line="376" w:lineRule="auto"/>
      <w:outlineLvl w:val="3"/>
    </w:pPr>
    <w:rPr>
      <w:rFonts w:ascii="Arial" w:hAnsi="Arial" w:eastAsia="黑体"/>
      <w:b/>
      <w:bCs/>
      <w:sz w:val="28"/>
      <w:szCs w:val="28"/>
    </w:rPr>
  </w:style>
  <w:style w:type="character" w:default="1" w:styleId="19">
    <w:name w:val="Default Paragraph Font"/>
    <w:unhideWhenUsed/>
    <w:uiPriority w:val="1"/>
  </w:style>
  <w:style w:type="table" w:default="1" w:styleId="21">
    <w:name w:val="Normal Table"/>
    <w:unhideWhenUsed/>
    <w:uiPriority w:val="99"/>
    <w:tblPr>
      <w:tblStyle w:val="21"/>
      <w:tblLayout w:type="fixed"/>
      <w:tblCellMar>
        <w:top w:w="0" w:type="dxa"/>
        <w:left w:w="108" w:type="dxa"/>
        <w:bottom w:w="0" w:type="dxa"/>
        <w:right w:w="108" w:type="dxa"/>
      </w:tblCellMar>
    </w:tblPr>
    <w:tcPr>
      <w:textDirection w:val="lrTb"/>
    </w:tcPr>
  </w:style>
  <w:style w:type="paragraph" w:styleId="6">
    <w:name w:val="annotation subject"/>
    <w:basedOn w:val="7"/>
    <w:next w:val="7"/>
    <w:link w:val="94"/>
    <w:unhideWhenUsed/>
    <w:uiPriority w:val="99"/>
    <w:rPr>
      <w:b/>
      <w:bCs/>
    </w:rPr>
  </w:style>
  <w:style w:type="paragraph" w:styleId="7">
    <w:name w:val="annotation text"/>
    <w:basedOn w:val="1"/>
    <w:link w:val="78"/>
    <w:uiPriority w:val="99"/>
    <w:pPr>
      <w:jc w:val="left"/>
    </w:pPr>
  </w:style>
  <w:style w:type="paragraph" w:styleId="8">
    <w:name w:val="Normal Indent"/>
    <w:basedOn w:val="1"/>
    <w:link w:val="97"/>
    <w:qFormat/>
    <w:uiPriority w:val="99"/>
    <w:pPr>
      <w:ind w:firstLine="420"/>
    </w:pPr>
    <w:rPr>
      <w:rFonts w:ascii="Times New Roman" w:hAnsi="Times New Roman" w:cs="Times New Roman"/>
    </w:rPr>
  </w:style>
  <w:style w:type="paragraph" w:styleId="9">
    <w:name w:val="Document Map"/>
    <w:basedOn w:val="1"/>
    <w:link w:val="95"/>
    <w:unhideWhenUsed/>
    <w:uiPriority w:val="99"/>
    <w:rPr>
      <w:rFonts w:ascii="宋体"/>
      <w:sz w:val="18"/>
      <w:szCs w:val="18"/>
    </w:rPr>
  </w:style>
  <w:style w:type="paragraph" w:styleId="10">
    <w:name w:val="Body Text"/>
    <w:basedOn w:val="1"/>
    <w:link w:val="79"/>
    <w:uiPriority w:val="0"/>
    <w:pPr>
      <w:spacing w:after="120"/>
    </w:pPr>
  </w:style>
  <w:style w:type="paragraph" w:styleId="11">
    <w:name w:val="Body Text Indent"/>
    <w:basedOn w:val="1"/>
    <w:link w:val="100"/>
    <w:unhideWhenUsed/>
    <w:uiPriority w:val="99"/>
    <w:pPr>
      <w:spacing w:after="120"/>
      <w:ind w:left="420" w:leftChars="200"/>
    </w:pPr>
  </w:style>
  <w:style w:type="paragraph" w:styleId="12">
    <w:name w:val="Plain Text"/>
    <w:basedOn w:val="1"/>
    <w:link w:val="99"/>
    <w:unhideWhenUsed/>
    <w:qFormat/>
    <w:uiPriority w:val="99"/>
    <w:rPr>
      <w:rFonts w:ascii="宋体" w:hAnsi="Courier New" w:cs="Courier New"/>
      <w:szCs w:val="21"/>
    </w:rPr>
  </w:style>
  <w:style w:type="paragraph" w:styleId="13">
    <w:name w:val="Date"/>
    <w:basedOn w:val="1"/>
    <w:next w:val="1"/>
    <w:link w:val="93"/>
    <w:unhideWhenUsed/>
    <w:uiPriority w:val="99"/>
    <w:pPr>
      <w:ind w:left="100" w:leftChars="2500"/>
    </w:pPr>
  </w:style>
  <w:style w:type="paragraph" w:styleId="14">
    <w:name w:val="Balloon Text"/>
    <w:basedOn w:val="1"/>
    <w:uiPriority w:val="0"/>
    <w:rPr>
      <w:sz w:val="18"/>
      <w:szCs w:val="18"/>
    </w:rPr>
  </w:style>
  <w:style w:type="paragraph" w:styleId="15">
    <w:name w:val="footer"/>
    <w:basedOn w:val="1"/>
    <w:uiPriority w:val="0"/>
    <w:pPr>
      <w:tabs>
        <w:tab w:val="center" w:pos="4153"/>
        <w:tab w:val="right" w:pos="8306"/>
      </w:tabs>
      <w:snapToGrid w:val="0"/>
      <w:jc w:val="left"/>
    </w:pPr>
    <w:rPr>
      <w:sz w:val="18"/>
      <w:szCs w:val="18"/>
    </w:rPr>
  </w:style>
  <w:style w:type="paragraph" w:styleId="16">
    <w:name w:val="header"/>
    <w:basedOn w:val="1"/>
    <w:link w:val="84"/>
    <w:uiPriority w:val="0"/>
    <w:pPr>
      <w:pBdr>
        <w:bottom w:val="single" w:color="auto" w:sz="6" w:space="1"/>
      </w:pBdr>
      <w:tabs>
        <w:tab w:val="center" w:pos="4153"/>
        <w:tab w:val="right" w:pos="8306"/>
      </w:tabs>
      <w:snapToGrid w:val="0"/>
      <w:jc w:val="center"/>
    </w:pPr>
    <w:rPr>
      <w:sz w:val="18"/>
      <w:szCs w:val="18"/>
    </w:rPr>
  </w:style>
  <w:style w:type="paragraph" w:styleId="17">
    <w:name w:val="toc 2"/>
    <w:basedOn w:val="1"/>
    <w:next w:val="1"/>
    <w:uiPriority w:val="99"/>
    <w:pPr>
      <w:widowControl/>
      <w:ind w:left="420" w:leftChars="200"/>
      <w:jc w:val="left"/>
    </w:pPr>
    <w:rPr>
      <w:rFonts w:cs="Times New Roman"/>
      <w:kern w:val="0"/>
      <w:sz w:val="24"/>
    </w:rPr>
  </w:style>
  <w:style w:type="paragraph" w:styleId="18">
    <w:name w:val="Body Text 2"/>
    <w:basedOn w:val="1"/>
    <w:link w:val="91"/>
    <w:unhideWhenUsed/>
    <w:uiPriority w:val="99"/>
    <w:pPr>
      <w:spacing w:after="120" w:line="480" w:lineRule="auto"/>
    </w:pPr>
    <w:rPr>
      <w:rFonts w:cs="Times New Roman"/>
      <w:szCs w:val="22"/>
    </w:rPr>
  </w:style>
  <w:style w:type="character" w:styleId="20">
    <w:name w:val="annotation reference"/>
    <w:unhideWhenUsed/>
    <w:uiPriority w:val="99"/>
    <w:rPr>
      <w:sz w:val="21"/>
      <w:szCs w:val="21"/>
    </w:rPr>
  </w:style>
  <w:style w:type="table" w:styleId="22">
    <w:name w:val="Table Grid"/>
    <w:basedOn w:val="21"/>
    <w:qFormat/>
    <w:uiPriority w:val="59"/>
    <w:pPr/>
    <w:rPr>
      <w:rFonts w:cs="Times New Roman"/>
    </w:r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 w:type="paragraph" w:customStyle="1" w:styleId="23">
    <w:name w:val="批注主题1"/>
    <w:basedOn w:val="7"/>
    <w:next w:val="7"/>
    <w:uiPriority w:val="0"/>
    <w:rPr>
      <w:b/>
      <w:bCs/>
    </w:rPr>
  </w:style>
  <w:style w:type="paragraph" w:customStyle="1" w:styleId="24">
    <w:name w:val="正文缩进1"/>
    <w:basedOn w:val="1"/>
    <w:link w:val="77"/>
    <w:uiPriority w:val="0"/>
    <w:pPr>
      <w:ind w:firstLine="420" w:firstLineChars="200"/>
    </w:pPr>
  </w:style>
  <w:style w:type="paragraph" w:customStyle="1" w:styleId="25">
    <w:name w:val="文档结构图1"/>
    <w:basedOn w:val="1"/>
    <w:uiPriority w:val="0"/>
    <w:pPr>
      <w:shd w:val="clear" w:color="auto" w:fill="000080"/>
    </w:pPr>
  </w:style>
  <w:style w:type="paragraph" w:customStyle="1" w:styleId="26">
    <w:name w:val="正文文本缩进1"/>
    <w:basedOn w:val="1"/>
    <w:link w:val="81"/>
    <w:uiPriority w:val="0"/>
    <w:pPr>
      <w:spacing w:after="120"/>
      <w:ind w:left="420" w:leftChars="200"/>
    </w:pPr>
  </w:style>
  <w:style w:type="paragraph" w:customStyle="1" w:styleId="27">
    <w:name w:val="纯文本1"/>
    <w:basedOn w:val="1"/>
    <w:link w:val="87"/>
    <w:uiPriority w:val="0"/>
    <w:rPr>
      <w:rFonts w:ascii="宋体" w:hAnsi="Courier New"/>
    </w:rPr>
  </w:style>
  <w:style w:type="paragraph" w:customStyle="1" w:styleId="28">
    <w:name w:val="日期1"/>
    <w:basedOn w:val="1"/>
    <w:next w:val="1"/>
    <w:uiPriority w:val="0"/>
    <w:pPr>
      <w:ind w:left="100" w:leftChars="2500"/>
    </w:pPr>
  </w:style>
  <w:style w:type="paragraph" w:customStyle="1" w:styleId="29">
    <w:name w:val="正文文本缩进 21"/>
    <w:basedOn w:val="1"/>
    <w:link w:val="82"/>
    <w:uiPriority w:val="0"/>
    <w:pPr>
      <w:spacing w:after="120" w:line="480" w:lineRule="auto"/>
      <w:ind w:left="420" w:leftChars="200"/>
    </w:pPr>
  </w:style>
  <w:style w:type="paragraph" w:customStyle="1" w:styleId="30">
    <w:name w:val="列表1"/>
    <w:basedOn w:val="1"/>
    <w:uiPriority w:val="0"/>
    <w:pPr>
      <w:autoSpaceDE w:val="0"/>
      <w:autoSpaceDN w:val="0"/>
      <w:adjustRightInd w:val="0"/>
      <w:snapToGrid w:val="0"/>
      <w:spacing w:line="480" w:lineRule="exact"/>
      <w:jc w:val="center"/>
    </w:pPr>
    <w:rPr>
      <w:kern w:val="32"/>
      <w:sz w:val="24"/>
      <w:szCs w:val="20"/>
    </w:rPr>
  </w:style>
  <w:style w:type="paragraph" w:customStyle="1" w:styleId="31">
    <w:name w:val="正文文本缩进 31"/>
    <w:basedOn w:val="1"/>
    <w:link w:val="70"/>
    <w:uiPriority w:val="0"/>
    <w:pPr>
      <w:spacing w:after="120"/>
      <w:ind w:left="420" w:leftChars="200"/>
    </w:pPr>
    <w:rPr>
      <w:sz w:val="16"/>
      <w:szCs w:val="16"/>
    </w:rPr>
  </w:style>
  <w:style w:type="paragraph" w:customStyle="1" w:styleId="32">
    <w:name w:val="正文文本 21"/>
    <w:basedOn w:val="1"/>
    <w:uiPriority w:val="0"/>
    <w:pPr>
      <w:spacing w:after="120" w:line="480" w:lineRule="auto"/>
    </w:pPr>
  </w:style>
  <w:style w:type="paragraph" w:customStyle="1" w:styleId="33">
    <w:name w:val="普通(网站)1"/>
    <w:basedOn w:val="1"/>
    <w:qFormat/>
    <w:uiPriority w:val="0"/>
    <w:pPr>
      <w:widowControl/>
      <w:jc w:val="left"/>
    </w:pPr>
    <w:rPr>
      <w:rFonts w:ascii="Arial" w:hAnsi="Arial" w:cs="Arial"/>
      <w:color w:val="333333"/>
      <w:kern w:val="0"/>
      <w:sz w:val="14"/>
      <w:szCs w:val="14"/>
    </w:rPr>
  </w:style>
  <w:style w:type="paragraph" w:customStyle="1" w:styleId="34">
    <w:name w:val="li表格"/>
    <w:basedOn w:val="1"/>
    <w:next w:val="1"/>
    <w:uiPriority w:val="0"/>
    <w:pPr>
      <w:spacing w:line="360" w:lineRule="exact"/>
      <w:jc w:val="center"/>
    </w:pPr>
    <w:rPr>
      <w:rFonts w:hAnsi="宋体"/>
      <w:b/>
      <w:color w:val="0000FF"/>
      <w:spacing w:val="4"/>
      <w:szCs w:val="21"/>
    </w:rPr>
  </w:style>
  <w:style w:type="paragraph" w:customStyle="1" w:styleId="35">
    <w:name w:val="默认段落字体 Para Char"/>
    <w:basedOn w:val="1"/>
    <w:uiPriority w:val="0"/>
    <w:pPr>
      <w:spacing w:line="360" w:lineRule="auto"/>
      <w:ind w:firstLine="200" w:firstLineChars="200"/>
    </w:pPr>
    <w:rPr>
      <w:szCs w:val="20"/>
    </w:rPr>
  </w:style>
  <w:style w:type="paragraph" w:customStyle="1" w:styleId="36">
    <w:name w:val="正文1"/>
    <w:uiPriority w:val="0"/>
    <w:pPr>
      <w:jc w:val="both"/>
    </w:pPr>
    <w:rPr>
      <w:rFonts w:ascii="Calibri" w:hAnsi="Calibri" w:eastAsia="宋体" w:cs="Calibri"/>
      <w:kern w:val="2"/>
      <w:sz w:val="21"/>
      <w:szCs w:val="21"/>
      <w:lang w:val="en-US" w:eastAsia="zh-CN" w:bidi="ar-SA"/>
    </w:rPr>
  </w:style>
  <w:style w:type="paragraph" w:customStyle="1" w:styleId="37">
    <w:name w:val="3级"/>
    <w:basedOn w:val="4"/>
    <w:uiPriority w:val="0"/>
    <w:pPr>
      <w:spacing w:before="0" w:after="0" w:line="500" w:lineRule="exact"/>
    </w:pPr>
    <w:rPr>
      <w:rFonts w:cs="宋体"/>
      <w:sz w:val="28"/>
      <w:szCs w:val="20"/>
    </w:rPr>
  </w:style>
  <w:style w:type="paragraph" w:customStyle="1" w:styleId="38">
    <w:name w:val="样式 标题 4 + Times New Roman 小四 非加粗 段前: 0 磅 段后: 7.8 磅 行距: 多倍行距..."/>
    <w:basedOn w:val="5"/>
    <w:uiPriority w:val="0"/>
    <w:pPr>
      <w:spacing w:before="0" w:after="156" w:line="377" w:lineRule="auto"/>
    </w:pPr>
    <w:rPr>
      <w:rFonts w:ascii="Times New Roman" w:hAnsi="Times New Roman" w:cs="宋体"/>
      <w:b w:val="0"/>
      <w:bCs w:val="0"/>
      <w:sz w:val="24"/>
      <w:szCs w:val="24"/>
    </w:rPr>
  </w:style>
  <w:style w:type="paragraph" w:customStyle="1" w:styleId="39">
    <w:name w:val="正文11"/>
    <w:basedOn w:val="1"/>
    <w:link w:val="85"/>
    <w:uiPriority w:val="0"/>
    <w:pPr>
      <w:spacing w:line="460" w:lineRule="exact"/>
      <w:ind w:firstLine="200" w:firstLineChars="200"/>
    </w:pPr>
    <w:rPr>
      <w:b/>
      <w:color w:val="000000"/>
      <w:sz w:val="24"/>
    </w:rPr>
  </w:style>
  <w:style w:type="paragraph" w:customStyle="1" w:styleId="40">
    <w:name w:val="正文内容"/>
    <w:link w:val="71"/>
    <w:uiPriority w:val="0"/>
    <w:pPr>
      <w:widowControl w:val="0"/>
      <w:snapToGrid w:val="0"/>
      <w:spacing w:before="60" w:after="60" w:line="440" w:lineRule="exact"/>
      <w:ind w:firstLine="200" w:firstLineChars="200"/>
      <w:jc w:val="both"/>
    </w:pPr>
    <w:rPr>
      <w:rFonts w:ascii="Calibri" w:hAnsi="Calibri" w:eastAsia="宋体" w:cs="Calibri"/>
      <w:kern w:val="2"/>
      <w:sz w:val="24"/>
      <w:szCs w:val="24"/>
      <w:lang w:val="en-US" w:eastAsia="zh-CN" w:bidi="ar-SA"/>
    </w:rPr>
  </w:style>
  <w:style w:type="paragraph" w:customStyle="1" w:styleId="41">
    <w:name w:val="列出段落1"/>
    <w:basedOn w:val="1"/>
    <w:uiPriority w:val="0"/>
    <w:pPr>
      <w:ind w:firstLine="420" w:firstLineChars="200"/>
    </w:pPr>
    <w:rPr>
      <w:szCs w:val="20"/>
    </w:rPr>
  </w:style>
  <w:style w:type="paragraph" w:customStyle="1" w:styleId="42">
    <w:name w:val="Default"/>
    <w:uiPriority w:val="99"/>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43">
    <w:name w:val="MSG_EN_FONT_STYLE_NAME_TEMPLATE_ROLE_NUMBER MSG_EN_FONT_STYLE_NAME_BY_ROLE_TEXT 2"/>
    <w:basedOn w:val="1"/>
    <w:link w:val="74"/>
    <w:uiPriority w:val="0"/>
    <w:pPr>
      <w:shd w:val="clear" w:color="auto" w:fill="FFFFFF"/>
      <w:spacing w:after="580" w:line="260" w:lineRule="exact"/>
      <w:jc w:val="center"/>
    </w:pPr>
    <w:rPr>
      <w:rFonts w:ascii="PMingLiU" w:hAnsi="PMingLiU" w:eastAsia="PMingLiU"/>
      <w:spacing w:val="20"/>
      <w:sz w:val="26"/>
      <w:szCs w:val="26"/>
      <w:shd w:val="clear" w:color="auto" w:fill="FFFFFF"/>
    </w:rPr>
  </w:style>
  <w:style w:type="paragraph" w:customStyle="1" w:styleId="44">
    <w:name w:val="表格内容5号"/>
    <w:link w:val="76"/>
    <w:uiPriority w:val="0"/>
    <w:pPr>
      <w:widowControl w:val="0"/>
      <w:snapToGrid w:val="0"/>
      <w:spacing w:line="240" w:lineRule="atLeast"/>
      <w:jc w:val="center"/>
    </w:pPr>
    <w:rPr>
      <w:rFonts w:ascii="Calibri" w:hAnsi="Calibri" w:eastAsia="宋体" w:cs="Calibri"/>
      <w:kern w:val="2"/>
      <w:sz w:val="21"/>
      <w:szCs w:val="24"/>
      <w:lang w:val="en-US" w:eastAsia="zh-CN" w:bidi="ar-SA"/>
    </w:rPr>
  </w:style>
  <w:style w:type="paragraph" w:customStyle="1" w:styleId="45">
    <w:name w:val="表内容1-1"/>
    <w:basedOn w:val="1"/>
    <w:uiPriority w:val="0"/>
    <w:pPr>
      <w:jc w:val="center"/>
      <w:textAlignment w:val="baseline"/>
    </w:pPr>
    <w:rPr>
      <w:rFonts w:ascii="Times New Roman" w:hAnsi="Times New Roman"/>
      <w:kern w:val="0"/>
      <w:szCs w:val="21"/>
    </w:rPr>
  </w:style>
  <w:style w:type="paragraph" w:customStyle="1" w:styleId="46">
    <w:name w:val="表格文字1"/>
    <w:basedOn w:val="1"/>
    <w:uiPriority w:val="0"/>
    <w:pPr>
      <w:tabs>
        <w:tab w:val="left" w:pos="1080"/>
      </w:tabs>
      <w:snapToGrid w:val="0"/>
      <w:spacing w:line="240" w:lineRule="exact"/>
      <w:jc w:val="center"/>
    </w:pPr>
    <w:rPr>
      <w:rFonts w:hAnsi="宋体"/>
      <w:spacing w:val="-2"/>
      <w:kern w:val="32"/>
      <w:szCs w:val="21"/>
    </w:rPr>
  </w:style>
  <w:style w:type="paragraph" w:customStyle="1" w:styleId="47">
    <w:name w:val="表格文字"/>
    <w:basedOn w:val="1"/>
    <w:next w:val="1"/>
    <w:link w:val="73"/>
    <w:uiPriority w:val="99"/>
    <w:pPr>
      <w:spacing w:line="280" w:lineRule="exact"/>
      <w:jc w:val="center"/>
    </w:pPr>
    <w:rPr>
      <w:rFonts w:ascii="Arial" w:hAnsi="Arial" w:eastAsia="宋体-方正超大字符集" w:cs="Arial"/>
    </w:rPr>
  </w:style>
  <w:style w:type="paragraph" w:customStyle="1" w:styleId="48">
    <w:name w:val="表格文字-五号-左对齐"/>
    <w:basedOn w:val="1"/>
    <w:uiPriority w:val="0"/>
    <w:pPr>
      <w:widowControl/>
      <w:tabs>
        <w:tab w:val="left" w:pos="2340"/>
      </w:tabs>
      <w:adjustRightInd w:val="0"/>
      <w:snapToGrid w:val="0"/>
      <w:jc w:val="left"/>
    </w:pPr>
    <w:rPr>
      <w:rFonts w:ascii="宋体" w:hAnsi="宋体"/>
      <w:snapToGrid w:val="0"/>
      <w:color w:val="000000"/>
      <w:sz w:val="24"/>
      <w:szCs w:val="20"/>
    </w:rPr>
  </w:style>
  <w:style w:type="paragraph" w:customStyle="1" w:styleId="49">
    <w:name w:val="陈正文"/>
    <w:basedOn w:val="1"/>
    <w:next w:val="1"/>
    <w:link w:val="80"/>
    <w:uiPriority w:val="0"/>
    <w:pPr>
      <w:ind w:left="178" w:leftChars="85" w:firstLine="405" w:firstLineChars="193"/>
    </w:pPr>
    <w:rPr>
      <w:rFonts w:ascii="Arial" w:hAnsi="Arial" w:cs="宋体"/>
      <w:color w:val="000000"/>
      <w:szCs w:val="21"/>
    </w:rPr>
  </w:style>
  <w:style w:type="paragraph" w:customStyle="1" w:styleId="50">
    <w:name w:val="彩霞-正文"/>
    <w:basedOn w:val="1"/>
    <w:link w:val="83"/>
    <w:uiPriority w:val="0"/>
    <w:pPr>
      <w:spacing w:line="360" w:lineRule="auto"/>
      <w:ind w:firstLine="200" w:firstLineChars="200"/>
    </w:pPr>
    <w:rPr>
      <w:rFonts w:cs="宋体"/>
      <w:sz w:val="24"/>
      <w:szCs w:val="28"/>
      <w:lang w:val="zh-CN"/>
    </w:rPr>
  </w:style>
  <w:style w:type="paragraph" w:customStyle="1" w:styleId="51">
    <w:name w:val="样式 首行缩进:  2 字符"/>
    <w:basedOn w:val="1"/>
    <w:uiPriority w:val="0"/>
    <w:pPr>
      <w:spacing w:line="520" w:lineRule="exact"/>
      <w:ind w:firstLine="200" w:firstLineChars="200"/>
    </w:pPr>
    <w:rPr>
      <w:sz w:val="24"/>
    </w:rPr>
  </w:style>
  <w:style w:type="paragraph" w:customStyle="1" w:styleId="52">
    <w:name w:val="Char"/>
    <w:basedOn w:val="1"/>
    <w:next w:val="1"/>
    <w:uiPriority w:val="0"/>
    <w:pPr>
      <w:spacing w:line="360" w:lineRule="auto"/>
      <w:ind w:firstLine="200" w:firstLineChars="200"/>
    </w:pPr>
    <w:rPr>
      <w:rFonts w:ascii="宋体" w:hAnsi="宋体" w:cs="宋体"/>
      <w:sz w:val="24"/>
    </w:rPr>
  </w:style>
  <w:style w:type="paragraph" w:customStyle="1" w:styleId="53">
    <w:name w:val="4"/>
    <w:basedOn w:val="1"/>
    <w:next w:val="1"/>
    <w:link w:val="72"/>
    <w:uiPriority w:val="0"/>
    <w:pPr>
      <w:spacing w:line="500" w:lineRule="exact"/>
      <w:outlineLvl w:val="3"/>
    </w:pPr>
    <w:rPr>
      <w:rFonts w:ascii="Arial" w:hAnsi="Arial" w:eastAsia="黑体"/>
      <w:b/>
      <w:sz w:val="24"/>
    </w:rPr>
  </w:style>
  <w:style w:type="paragraph" w:customStyle="1" w:styleId="54">
    <w:name w:val="Char Char Char Char"/>
    <w:basedOn w:val="1"/>
    <w:uiPriority w:val="0"/>
    <w:pPr>
      <w:snapToGrid w:val="0"/>
      <w:spacing w:line="360" w:lineRule="auto"/>
      <w:ind w:firstLine="529" w:firstLineChars="200"/>
    </w:pPr>
    <w:rPr>
      <w:rFonts w:ascii="宋体" w:hAnsi="宋体"/>
      <w:b/>
      <w:sz w:val="24"/>
    </w:rPr>
  </w:style>
  <w:style w:type="paragraph" w:customStyle="1" w:styleId="55">
    <w:name w:val="Char Char Char Char Char Char Char Char Char Char Char Char Char Char Char Char Char Char1 Char Char Char Char Char Char Char Char Char Char Char Char1 Char Char Char"/>
    <w:basedOn w:val="1"/>
    <w:next w:val="1"/>
    <w:uiPriority w:val="0"/>
    <w:pPr>
      <w:snapToGrid w:val="0"/>
      <w:spacing w:line="360" w:lineRule="auto"/>
      <w:ind w:firstLine="200" w:firstLineChars="200"/>
      <w:jc w:val="left"/>
    </w:pPr>
    <w:rPr>
      <w:rFonts w:ascii="宋体" w:hAnsi="宋体" w:cs="宋体"/>
      <w:sz w:val="24"/>
    </w:rPr>
  </w:style>
  <w:style w:type="paragraph" w:customStyle="1" w:styleId="56">
    <w:name w:val="表格文字-五号"/>
    <w:basedOn w:val="1"/>
    <w:next w:val="1"/>
    <w:uiPriority w:val="0"/>
    <w:pPr>
      <w:widowControl/>
      <w:tabs>
        <w:tab w:val="left" w:pos="2340"/>
      </w:tabs>
      <w:adjustRightInd w:val="0"/>
      <w:snapToGrid w:val="0"/>
      <w:jc w:val="center"/>
    </w:pPr>
    <w:rPr>
      <w:color w:val="000000"/>
      <w:kern w:val="0"/>
      <w:sz w:val="20"/>
    </w:rPr>
  </w:style>
  <w:style w:type="paragraph" w:customStyle="1" w:styleId="57">
    <w:name w:val="Char Char Char Char Char Char Char"/>
    <w:basedOn w:val="1"/>
    <w:uiPriority w:val="0"/>
    <w:pPr>
      <w:spacing w:line="360" w:lineRule="auto"/>
      <w:ind w:firstLine="200" w:firstLineChars="200"/>
    </w:pPr>
    <w:rPr>
      <w:rFonts w:ascii="宋体" w:hAnsi="宋体" w:cs="宋体"/>
      <w:sz w:val="24"/>
    </w:rPr>
  </w:style>
  <w:style w:type="paragraph" w:customStyle="1" w:styleId="58">
    <w:name w:val="列出段落2"/>
    <w:basedOn w:val="1"/>
    <w:uiPriority w:val="0"/>
    <w:pPr>
      <w:ind w:firstLine="420" w:firstLineChars="200"/>
    </w:pPr>
    <w:rPr>
      <w:szCs w:val="22"/>
    </w:rPr>
  </w:style>
  <w:style w:type="paragraph" w:customStyle="1" w:styleId="59">
    <w:name w:val="表中"/>
    <w:basedOn w:val="1"/>
    <w:link w:val="86"/>
    <w:uiPriority w:val="0"/>
    <w:pPr>
      <w:spacing w:line="300" w:lineRule="exact"/>
      <w:jc w:val="center"/>
    </w:pPr>
    <w:rPr>
      <w:szCs w:val="21"/>
    </w:rPr>
  </w:style>
  <w:style w:type="paragraph" w:customStyle="1" w:styleId="60">
    <w:name w:val="普通(网站)2"/>
    <w:basedOn w:val="1"/>
    <w:qFormat/>
    <w:uiPriority w:val="0"/>
    <w:pPr>
      <w:widowControl/>
      <w:spacing w:before="100" w:beforeAutospacing="1" w:after="100" w:afterAutospacing="1"/>
      <w:jc w:val="left"/>
    </w:pPr>
    <w:rPr>
      <w:rFonts w:ascii="宋体" w:hAnsi="宋体" w:cs="宋体"/>
      <w:kern w:val="0"/>
      <w:sz w:val="24"/>
    </w:rPr>
  </w:style>
  <w:style w:type="paragraph" w:customStyle="1" w:styleId="61">
    <w:name w:val="List Paragraph"/>
    <w:basedOn w:val="1"/>
    <w:qFormat/>
    <w:uiPriority w:val="34"/>
    <w:pPr>
      <w:ind w:firstLine="420" w:firstLineChars="200"/>
    </w:pPr>
  </w:style>
  <w:style w:type="paragraph" w:customStyle="1" w:styleId="62">
    <w:name w:val="普通(网站)3"/>
    <w:basedOn w:val="1"/>
    <w:uiPriority w:val="0"/>
    <w:pPr>
      <w:widowControl/>
      <w:spacing w:before="100" w:beforeAutospacing="1" w:after="100" w:afterAutospacing="1"/>
      <w:jc w:val="left"/>
    </w:pPr>
    <w:rPr>
      <w:rFonts w:ascii="宋体" w:hAnsi="宋体" w:cs="宋体"/>
      <w:kern w:val="0"/>
      <w:sz w:val="24"/>
    </w:rPr>
  </w:style>
  <w:style w:type="paragraph" w:customStyle="1" w:styleId="63">
    <w:name w:val="正文文本缩进 22"/>
    <w:basedOn w:val="1"/>
    <w:uiPriority w:val="0"/>
    <w:pPr>
      <w:adjustRightInd w:val="0"/>
      <w:spacing w:line="312" w:lineRule="atLeast"/>
      <w:ind w:firstLine="570" w:firstLineChars="200"/>
      <w:jc w:val="distribute"/>
    </w:pPr>
    <w:rPr>
      <w:rFonts w:ascii="Times New Roman" w:hAnsi="Times New Roman" w:eastAsia="仿宋_GB2312" w:cs="Times New Roman"/>
      <w:kern w:val="0"/>
      <w:sz w:val="28"/>
      <w:szCs w:val="20"/>
    </w:rPr>
  </w:style>
  <w:style w:type="paragraph" w:customStyle="1" w:styleId="64">
    <w:name w:val="表文字"/>
    <w:basedOn w:val="1"/>
    <w:uiPriority w:val="99"/>
    <w:pPr>
      <w:widowControl/>
      <w:tabs>
        <w:tab w:val="left" w:pos="945"/>
        <w:tab w:val="right" w:leader="dot" w:pos="1155"/>
        <w:tab w:val="left" w:pos="8715"/>
      </w:tabs>
      <w:spacing w:beforeLines="15" w:afterLines="15"/>
      <w:jc w:val="center"/>
      <w:textAlignment w:val="baseline"/>
    </w:pPr>
    <w:rPr>
      <w:rFonts w:ascii="宋体" w:hAnsi="宋体" w:cs="Times New Roman"/>
      <w:color w:val="000000"/>
      <w:kern w:val="0"/>
      <w:sz w:val="24"/>
      <w:szCs w:val="9"/>
    </w:rPr>
  </w:style>
  <w:style w:type="paragraph" w:customStyle="1" w:styleId="65">
    <w:name w:val="正文 New"/>
    <w:uiPriority w:val="99"/>
    <w:pPr>
      <w:widowControl w:val="0"/>
      <w:spacing w:line="360" w:lineRule="auto"/>
      <w:jc w:val="both"/>
    </w:pPr>
    <w:rPr>
      <w:rFonts w:ascii="Times New Roman" w:hAnsi="Times New Roman" w:eastAsia="宋体" w:cs="Times New Roman"/>
      <w:kern w:val="2"/>
      <w:sz w:val="24"/>
      <w:szCs w:val="24"/>
      <w:lang w:val="en-US" w:eastAsia="zh-CN" w:bidi="ar-SA"/>
    </w:rPr>
  </w:style>
  <w:style w:type="paragraph" w:customStyle="1" w:styleId="66">
    <w:name w:val="表格格式"/>
    <w:next w:val="67"/>
    <w:uiPriority w:val="99"/>
    <w:pPr>
      <w:snapToGrid w:val="0"/>
      <w:ind w:left="-120" w:leftChars="-50" w:right="-120" w:rightChars="-50"/>
      <w:jc w:val="center"/>
    </w:pPr>
    <w:rPr>
      <w:rFonts w:ascii="宋体" w:hAnsi="宋体" w:eastAsia="宋体" w:cs="宋体"/>
      <w:kern w:val="2"/>
      <w:sz w:val="21"/>
      <w:szCs w:val="21"/>
      <w:lang w:val="en-US" w:eastAsia="zh-CN" w:bidi="ar-SA"/>
    </w:rPr>
  </w:style>
  <w:style w:type="paragraph" w:customStyle="1" w:styleId="67">
    <w:name w:val="No Spacing"/>
    <w:qFormat/>
    <w:uiPriority w:val="1"/>
    <w:pPr>
      <w:widowControl w:val="0"/>
      <w:jc w:val="both"/>
    </w:pPr>
    <w:rPr>
      <w:rFonts w:ascii="Calibri" w:hAnsi="Calibri" w:eastAsia="宋体" w:cs="Calibri"/>
      <w:kern w:val="2"/>
      <w:sz w:val="21"/>
      <w:szCs w:val="24"/>
      <w:lang w:val="en-US" w:eastAsia="zh-CN" w:bidi="ar-SA"/>
    </w:rPr>
  </w:style>
  <w:style w:type="character" w:customStyle="1" w:styleId="68">
    <w:name w:val="页码1"/>
    <w:basedOn w:val="19"/>
    <w:uiPriority w:val="0"/>
    <w:rPr/>
  </w:style>
  <w:style w:type="character" w:customStyle="1" w:styleId="69">
    <w:name w:val="批注引用1"/>
    <w:uiPriority w:val="0"/>
    <w:rPr>
      <w:sz w:val="21"/>
      <w:szCs w:val="21"/>
    </w:rPr>
  </w:style>
  <w:style w:type="character" w:customStyle="1" w:styleId="70">
    <w:name w:val="正文文本缩进 3 Char Char Char"/>
    <w:link w:val="31"/>
    <w:semiHidden/>
    <w:uiPriority w:val="0"/>
    <w:rPr>
      <w:kern w:val="2"/>
      <w:sz w:val="16"/>
      <w:szCs w:val="16"/>
    </w:rPr>
  </w:style>
  <w:style w:type="character" w:customStyle="1" w:styleId="71">
    <w:name w:val="正文内容 Char Char"/>
    <w:link w:val="40"/>
    <w:semiHidden/>
    <w:uiPriority w:val="0"/>
    <w:rPr>
      <w:kern w:val="2"/>
      <w:sz w:val="24"/>
      <w:szCs w:val="24"/>
      <w:lang w:val="en-US" w:eastAsia="zh-CN" w:bidi="ar-SA"/>
    </w:rPr>
  </w:style>
  <w:style w:type="character" w:customStyle="1" w:styleId="72">
    <w:name w:val="4 Char Char"/>
    <w:link w:val="53"/>
    <w:semiHidden/>
    <w:uiPriority w:val="0"/>
    <w:rPr>
      <w:rFonts w:ascii="Arial" w:hAnsi="Arial" w:eastAsia="黑体"/>
      <w:b/>
      <w:kern w:val="2"/>
      <w:sz w:val="24"/>
      <w:szCs w:val="24"/>
      <w:lang w:val="en-US" w:eastAsia="zh-CN" w:bidi="ar-SA"/>
    </w:rPr>
  </w:style>
  <w:style w:type="character" w:customStyle="1" w:styleId="73">
    <w:name w:val="表格文字 Char Char"/>
    <w:link w:val="47"/>
    <w:uiPriority w:val="99"/>
    <w:rPr>
      <w:rFonts w:ascii="Arial" w:hAnsi="Arial" w:eastAsia="宋体-方正超大字符集" w:cs="Arial"/>
      <w:sz w:val="21"/>
      <w:szCs w:val="24"/>
    </w:rPr>
  </w:style>
  <w:style w:type="character" w:customStyle="1" w:styleId="74">
    <w:name w:val="MSG_EN_FONT_STYLE_NAME_TEMPLATE_ROLE_NUMBER MSG_EN_FONT_STYLE_NAME_BY_ROLE_TEXT 2_"/>
    <w:link w:val="43"/>
    <w:semiHidden/>
    <w:uiPriority w:val="0"/>
    <w:rPr>
      <w:rFonts w:ascii="PMingLiU" w:hAnsi="PMingLiU" w:eastAsia="PMingLiU"/>
      <w:spacing w:val="20"/>
      <w:sz w:val="26"/>
      <w:szCs w:val="26"/>
      <w:shd w:val="clear" w:color="auto" w:fill="FFFFFF"/>
      <w:lang w:bidi="ar-SA"/>
    </w:rPr>
  </w:style>
  <w:style w:type="character" w:customStyle="1" w:styleId="75">
    <w:name w:val="newsitemtext1"/>
    <w:uiPriority w:val="0"/>
    <w:rPr>
      <w:color w:val="000000"/>
      <w:sz w:val="17"/>
      <w:szCs w:val="17"/>
    </w:rPr>
  </w:style>
  <w:style w:type="character" w:customStyle="1" w:styleId="76">
    <w:name w:val="表格内容5号 Char Char"/>
    <w:link w:val="44"/>
    <w:semiHidden/>
    <w:uiPriority w:val="0"/>
    <w:rPr>
      <w:kern w:val="2"/>
      <w:sz w:val="21"/>
      <w:szCs w:val="24"/>
      <w:lang w:val="en-US" w:eastAsia="zh-CN" w:bidi="ar-SA"/>
    </w:rPr>
  </w:style>
  <w:style w:type="character" w:customStyle="1" w:styleId="77">
    <w:name w:val="正文缩进 Char Char Char"/>
    <w:aliases w:val="正文缩进 Char1,正文不缩进 Char,正文（首行缩进两字） Char Char1,正文（首行缩进两字） Char Char Char Char Char Char Char Char,正文缩进1 Char,题目前空行 Char,正文缩进 Char Char1,s4 Char Char,s4 Char1,标题4 Char,表正文 Char,正文非缩进 Char1,正文（首行缩进两字） Char Char Char Char Char Char Char1"/>
    <w:link w:val="24"/>
    <w:uiPriority w:val="0"/>
    <w:rPr>
      <w:kern w:val="2"/>
      <w:sz w:val="21"/>
      <w:szCs w:val="24"/>
    </w:rPr>
  </w:style>
  <w:style w:type="character" w:customStyle="1" w:styleId="78">
    <w:name w:val="批注文字 Char1"/>
    <w:link w:val="7"/>
    <w:semiHidden/>
    <w:uiPriority w:val="0"/>
    <w:rPr>
      <w:kern w:val="2"/>
      <w:sz w:val="21"/>
    </w:rPr>
  </w:style>
  <w:style w:type="character" w:customStyle="1" w:styleId="79">
    <w:name w:val="正文文本 Char"/>
    <w:link w:val="10"/>
    <w:semiHidden/>
    <w:uiPriority w:val="0"/>
    <w:rPr>
      <w:kern w:val="2"/>
      <w:sz w:val="21"/>
      <w:szCs w:val="24"/>
    </w:rPr>
  </w:style>
  <w:style w:type="character" w:customStyle="1" w:styleId="80">
    <w:name w:val="陈正文 Char Char"/>
    <w:link w:val="49"/>
    <w:semiHidden/>
    <w:uiPriority w:val="0"/>
    <w:rPr>
      <w:rFonts w:ascii="Arial" w:hAnsi="Arial" w:eastAsia="宋体" w:cs="宋体"/>
      <w:color w:val="000000"/>
      <w:kern w:val="2"/>
      <w:sz w:val="21"/>
      <w:szCs w:val="21"/>
      <w:lang w:val="en-US" w:eastAsia="zh-CN" w:bidi="ar-SA"/>
    </w:rPr>
  </w:style>
  <w:style w:type="character" w:customStyle="1" w:styleId="81">
    <w:name w:val="正文文本缩进 Char Char Char"/>
    <w:link w:val="26"/>
    <w:semiHidden/>
    <w:uiPriority w:val="0"/>
    <w:rPr>
      <w:kern w:val="2"/>
      <w:sz w:val="21"/>
      <w:szCs w:val="24"/>
    </w:rPr>
  </w:style>
  <w:style w:type="character" w:customStyle="1" w:styleId="82">
    <w:name w:val="正文文本缩进 2 Char Char Char"/>
    <w:link w:val="29"/>
    <w:semiHidden/>
    <w:uiPriority w:val="0"/>
    <w:rPr>
      <w:kern w:val="2"/>
      <w:sz w:val="21"/>
      <w:szCs w:val="24"/>
    </w:rPr>
  </w:style>
  <w:style w:type="character" w:customStyle="1" w:styleId="83">
    <w:name w:val="彩霞-正文 Char Char"/>
    <w:link w:val="50"/>
    <w:semiHidden/>
    <w:uiPriority w:val="0"/>
    <w:rPr>
      <w:rFonts w:cs="宋体"/>
      <w:sz w:val="24"/>
      <w:szCs w:val="28"/>
      <w:lang w:val="zh-CN"/>
    </w:rPr>
  </w:style>
  <w:style w:type="character" w:customStyle="1" w:styleId="84">
    <w:name w:val="页眉 Char"/>
    <w:link w:val="16"/>
    <w:semiHidden/>
    <w:uiPriority w:val="0"/>
    <w:rPr>
      <w:kern w:val="2"/>
      <w:sz w:val="18"/>
      <w:szCs w:val="18"/>
    </w:rPr>
  </w:style>
  <w:style w:type="character" w:customStyle="1" w:styleId="85">
    <w:name w:val="正文1 Char Char"/>
    <w:link w:val="39"/>
    <w:semiHidden/>
    <w:uiPriority w:val="0"/>
    <w:rPr>
      <w:b/>
      <w:color w:val="000000"/>
      <w:kern w:val="2"/>
      <w:sz w:val="24"/>
    </w:rPr>
  </w:style>
  <w:style w:type="character" w:customStyle="1" w:styleId="86">
    <w:name w:val="表中 Char Char"/>
    <w:link w:val="59"/>
    <w:semiHidden/>
    <w:uiPriority w:val="0"/>
    <w:rPr>
      <w:rFonts w:ascii="Calibri" w:hAnsi="Calibri"/>
      <w:kern w:val="2"/>
      <w:sz w:val="21"/>
      <w:szCs w:val="21"/>
    </w:rPr>
  </w:style>
  <w:style w:type="character" w:customStyle="1" w:styleId="87">
    <w:name w:val="纯文本 Char Char Char"/>
    <w:link w:val="27"/>
    <w:semiHidden/>
    <w:uiPriority w:val="0"/>
    <w:rPr>
      <w:rFonts w:ascii="宋体" w:hAnsi="Courier New" w:eastAsia="宋体"/>
      <w:kern w:val="2"/>
      <w:sz w:val="21"/>
      <w:lang w:val="en-US" w:eastAsia="zh-CN" w:bidi="ar-SA"/>
    </w:rPr>
  </w:style>
  <w:style w:type="character" w:customStyle="1" w:styleId="88">
    <w:name w:val="标题 2 Char"/>
    <w:link w:val="3"/>
    <w:semiHidden/>
    <w:uiPriority w:val="0"/>
    <w:rPr>
      <w:rFonts w:ascii="Arial" w:eastAsia="黑体"/>
      <w:b/>
      <w:color w:val="000000"/>
      <w:sz w:val="31"/>
      <w:u w:val="none" w:color="000000"/>
      <w:lang w:val="en-US" w:eastAsia="zh-CN" w:bidi="ar-SA"/>
    </w:rPr>
  </w:style>
  <w:style w:type="character" w:customStyle="1" w:styleId="89">
    <w:name w:val="MSG_EN_FONT_STYLE_NAME_TEMPLATE_ROLE_NUMBER MSG_EN_FONT_STYLE_NAME_BY_ROLE_TEXT 2 + MSG_EN_FONT_STYLE_MODIFER_NAME Courier New"/>
    <w:aliases w:val="MSG_EN_FONT_STYLE_MODIFER_SIZE 1517,MSG_EN_FONT_STYLE_MODIFER_SPACING 0203"/>
    <w:uiPriority w:val="0"/>
    <w:rPr>
      <w:rFonts w:ascii="Courier New" w:hAnsi="Courier New" w:eastAsia="Times New Roman" w:cs="Courier New"/>
      <w:color w:val="000000"/>
      <w:spacing w:val="0"/>
      <w:w w:val="100"/>
      <w:position w:val="0"/>
      <w:sz w:val="30"/>
      <w:szCs w:val="30"/>
      <w:u w:val="none"/>
      <w:shd w:val="clear" w:color="auto" w:fill="FFFFFF"/>
      <w:lang w:val="en-US" w:eastAsia="en-US" w:bidi="ar-SA"/>
    </w:rPr>
  </w:style>
  <w:style w:type="character" w:customStyle="1" w:styleId="90">
    <w:name w:val="正文文本 2 字符"/>
    <w:semiHidden/>
    <w:uiPriority w:val="99"/>
    <w:rPr>
      <w:kern w:val="2"/>
      <w:sz w:val="21"/>
      <w:szCs w:val="24"/>
    </w:rPr>
  </w:style>
  <w:style w:type="character" w:customStyle="1" w:styleId="91">
    <w:name w:val="正文文本 2 Char"/>
    <w:link w:val="18"/>
    <w:semiHidden/>
    <w:uiPriority w:val="99"/>
    <w:rPr>
      <w:rFonts w:cs="Times New Roman"/>
      <w:kern w:val="2"/>
      <w:sz w:val="21"/>
      <w:szCs w:val="22"/>
    </w:rPr>
  </w:style>
  <w:style w:type="character" w:customStyle="1" w:styleId="92">
    <w:name w:val="批注文字 Char"/>
    <w:semiHidden/>
    <w:uiPriority w:val="99"/>
    <w:rPr>
      <w:kern w:val="2"/>
      <w:sz w:val="21"/>
      <w:szCs w:val="22"/>
    </w:rPr>
  </w:style>
  <w:style w:type="character" w:customStyle="1" w:styleId="93">
    <w:name w:val="日期 Char"/>
    <w:link w:val="13"/>
    <w:semiHidden/>
    <w:uiPriority w:val="99"/>
    <w:rPr>
      <w:kern w:val="2"/>
      <w:sz w:val="21"/>
      <w:szCs w:val="24"/>
    </w:rPr>
  </w:style>
  <w:style w:type="character" w:customStyle="1" w:styleId="94">
    <w:name w:val="批注主题 Char"/>
    <w:basedOn w:val="78"/>
    <w:link w:val="6"/>
    <w:semiHidden/>
    <w:uiPriority w:val="99"/>
    <w:rPr>
      <w:b/>
      <w:bCs/>
      <w:kern w:val="2"/>
      <w:sz w:val="21"/>
      <w:szCs w:val="24"/>
    </w:rPr>
  </w:style>
  <w:style w:type="character" w:customStyle="1" w:styleId="95">
    <w:name w:val="文档结构图 Char"/>
    <w:basedOn w:val="19"/>
    <w:link w:val="9"/>
    <w:semiHidden/>
    <w:uiPriority w:val="99"/>
    <w:rPr>
      <w:rFonts w:ascii="宋体"/>
      <w:kern w:val="2"/>
      <w:sz w:val="18"/>
      <w:szCs w:val="18"/>
    </w:rPr>
  </w:style>
  <w:style w:type="character" w:customStyle="1" w:styleId="96">
    <w:name w:val="标题 1 Char"/>
    <w:basedOn w:val="19"/>
    <w:link w:val="2"/>
    <w:uiPriority w:val="9"/>
    <w:rPr>
      <w:b/>
      <w:bCs/>
      <w:kern w:val="44"/>
      <w:sz w:val="44"/>
      <w:szCs w:val="44"/>
    </w:rPr>
  </w:style>
  <w:style w:type="character" w:customStyle="1" w:styleId="97">
    <w:name w:val="正文缩进 Char2"/>
    <w:aliases w:val="正文不缩进 Char1,正文（首行缩进两字） Char Char2,正文（首行缩进两字） Char Char Char Char Char Char Char Char1,题目前空行 Char1,正文缩进 Char Char Char1,正文缩进 Char Char2,s4 Char Char1,s4 Char2,标题4 Char1,表正文 Char1,正文非缩进 Char2,正文（首行缩进两字） Char Char Char Char Char Char Char2"/>
    <w:link w:val="8"/>
    <w:locked/>
    <w:uiPriority w:val="0"/>
    <w:rPr>
      <w:rFonts w:ascii="Times New Roman" w:hAnsi="Times New Roman" w:cs="Times New Roman"/>
      <w:kern w:val="2"/>
      <w:sz w:val="21"/>
      <w:szCs w:val="24"/>
    </w:rPr>
  </w:style>
  <w:style w:type="character" w:customStyle="1" w:styleId="98">
    <w:name w:val="fontstyle01"/>
    <w:uiPriority w:val="0"/>
    <w:rPr>
      <w:rFonts w:ascii="宋体" w:hAnsi="宋体" w:eastAsia="宋体" w:cs="宋体"/>
      <w:color w:val="000000"/>
      <w:sz w:val="24"/>
      <w:szCs w:val="24"/>
    </w:rPr>
  </w:style>
  <w:style w:type="character" w:customStyle="1" w:styleId="99">
    <w:name w:val="纯文本 Char"/>
    <w:basedOn w:val="19"/>
    <w:link w:val="12"/>
    <w:uiPriority w:val="99"/>
    <w:rPr>
      <w:rFonts w:ascii="宋体" w:hAnsi="Courier New" w:cs="Courier New"/>
      <w:kern w:val="2"/>
      <w:sz w:val="21"/>
      <w:szCs w:val="21"/>
    </w:rPr>
  </w:style>
  <w:style w:type="character" w:customStyle="1" w:styleId="100">
    <w:name w:val="正文文本缩进 Char"/>
    <w:basedOn w:val="19"/>
    <w:link w:val="11"/>
    <w:semiHidden/>
    <w:uiPriority w:val="99"/>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13</Pages>
  <Words>1580</Words>
  <Characters>9011</Characters>
  <Lines>75</Lines>
  <Paragraphs>21</Paragraphs>
  <TotalTime>0</TotalTime>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2019-03-21T04:48:00Z</dcterms:created>
  <dc:creator>MC SYSTEM</dc:creator>
  <cp:lastModifiedBy>TG</cp:lastModifiedBy>
  <cp:lastPrinted>2018-07-13T17:29:00Z</cp:lastPrinted>
  <dcterms:modified xsi:type="dcterms:W3CDTF">2021-06-30T18:12:19Z</dcterms:modified>
  <dc:title>ygd</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