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500" w:lineRule="exact"/>
        <w:jc w:val="center"/>
        <w:rPr>
          <w:rFonts w:ascii="Times New Roman" w:hAnsi="Times New Roman" w:cs="Times New Roman"/>
          <w:b/>
          <w:kern w:val="0"/>
          <w:sz w:val="32"/>
          <w:szCs w:val="32"/>
        </w:rPr>
      </w:pPr>
      <w:r>
        <w:rPr>
          <w:rFonts w:hint="eastAsia" w:ascii="Times New Roman" w:hAnsi="Times New Roman" w:cs="Times New Roman"/>
          <w:b/>
          <w:kern w:val="0"/>
          <w:sz w:val="32"/>
          <w:szCs w:val="32"/>
        </w:rPr>
        <w:t>山西太钢不锈钢股份有限公司原料场环保改造封闭项目</w:t>
      </w:r>
    </w:p>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竣工环境保护验收意见</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202</w:t>
      </w:r>
      <w:r>
        <w:rPr>
          <w:rFonts w:hint="eastAsia" w:ascii="Times New Roman" w:hAnsi="Times New Roman" w:cs="Times New Roman"/>
          <w:kern w:val="0"/>
          <w:sz w:val="28"/>
          <w:szCs w:val="28"/>
        </w:rPr>
        <w:t>1</w:t>
      </w:r>
      <w:r>
        <w:rPr>
          <w:rFonts w:ascii="Times New Roman" w:hAnsi="Times New Roman" w:cs="Times New Roman"/>
          <w:kern w:val="0"/>
          <w:sz w:val="28"/>
          <w:szCs w:val="28"/>
        </w:rPr>
        <w:t>年</w:t>
      </w:r>
      <w:r>
        <w:rPr>
          <w:rFonts w:hint="eastAsia" w:ascii="Times New Roman" w:hAnsi="Times New Roman" w:cs="Times New Roman"/>
          <w:kern w:val="0"/>
          <w:sz w:val="28"/>
          <w:szCs w:val="28"/>
        </w:rPr>
        <w:t>5</w:t>
      </w:r>
      <w:r>
        <w:rPr>
          <w:rFonts w:ascii="Times New Roman" w:hAnsi="Times New Roman" w:cs="Times New Roman"/>
          <w:kern w:val="0"/>
          <w:sz w:val="28"/>
          <w:szCs w:val="28"/>
        </w:rPr>
        <w:t>月2</w:t>
      </w:r>
      <w:r>
        <w:rPr>
          <w:rFonts w:hint="eastAsia" w:ascii="Times New Roman" w:hAnsi="Times New Roman" w:cs="Times New Roman"/>
          <w:kern w:val="0"/>
          <w:sz w:val="28"/>
          <w:szCs w:val="28"/>
        </w:rPr>
        <w:t>8</w:t>
      </w:r>
      <w:r>
        <w:rPr>
          <w:rFonts w:ascii="Times New Roman" w:hAnsi="Times New Roman" w:cs="Times New Roman"/>
          <w:kern w:val="0"/>
          <w:sz w:val="28"/>
          <w:szCs w:val="28"/>
        </w:rPr>
        <w:t>日，山西太钢不锈钢股份有限公司</w:t>
      </w:r>
      <w:r>
        <w:rPr>
          <w:rFonts w:hint="eastAsia" w:ascii="Times New Roman" w:hAnsi="Times New Roman" w:cs="Times New Roman"/>
          <w:kern w:val="0"/>
          <w:sz w:val="28"/>
          <w:szCs w:val="28"/>
        </w:rPr>
        <w:t>能源环保部</w:t>
      </w:r>
      <w:r>
        <w:rPr>
          <w:rFonts w:ascii="Times New Roman" w:hAnsi="Times New Roman" w:cs="Times New Roman"/>
          <w:kern w:val="0"/>
          <w:sz w:val="28"/>
          <w:szCs w:val="28"/>
        </w:rPr>
        <w:t>根据</w:t>
      </w:r>
      <w:r>
        <w:rPr>
          <w:rFonts w:hint="eastAsia" w:ascii="Times New Roman" w:hAnsi="Times New Roman" w:cs="Times New Roman"/>
          <w:kern w:val="0"/>
          <w:sz w:val="28"/>
          <w:szCs w:val="28"/>
        </w:rPr>
        <w:t>《山西太钢不锈钢股份有限公司原料场环保改造封闭项目竣工环境保护项目验收监测报告》</w:t>
      </w:r>
      <w:r>
        <w:rPr>
          <w:rFonts w:ascii="Times New Roman" w:hAnsi="Times New Roman" w:cs="Times New Roman"/>
          <w:kern w:val="0"/>
          <w:sz w:val="28"/>
          <w:szCs w:val="28"/>
        </w:rPr>
        <w:t>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本次验收为建设单位自主验收。</w:t>
      </w:r>
    </w:p>
    <w:p>
      <w:pPr>
        <w:widowControl/>
        <w:adjustRightInd w:val="0"/>
        <w:snapToGrid w:val="0"/>
        <w:spacing w:line="50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参加验收的有</w:t>
      </w:r>
      <w:r>
        <w:rPr>
          <w:rFonts w:hint="eastAsia" w:ascii="Times New Roman" w:hAnsi="Times New Roman" w:cs="Times New Roman"/>
          <w:kern w:val="0"/>
          <w:sz w:val="28"/>
          <w:szCs w:val="28"/>
        </w:rPr>
        <w:t>建设单位</w:t>
      </w:r>
      <w:r>
        <w:rPr>
          <w:rFonts w:ascii="Times New Roman" w:hAnsi="Times New Roman" w:cs="Times New Roman"/>
          <w:kern w:val="0"/>
          <w:sz w:val="28"/>
          <w:szCs w:val="28"/>
        </w:rPr>
        <w:t>山西太钢不锈钢股份有限公司</w:t>
      </w:r>
      <w:r>
        <w:rPr>
          <w:rFonts w:hint="eastAsia" w:ascii="Times New Roman" w:hAnsi="Times New Roman" w:cs="Times New Roman"/>
          <w:kern w:val="0"/>
          <w:sz w:val="28"/>
          <w:szCs w:val="28"/>
        </w:rPr>
        <w:t>炼铁厂、工程管理单位</w:t>
      </w:r>
      <w:r>
        <w:rPr>
          <w:rFonts w:ascii="Times New Roman" w:hAnsi="Times New Roman" w:cs="Times New Roman"/>
          <w:kern w:val="0"/>
          <w:sz w:val="28"/>
          <w:szCs w:val="28"/>
        </w:rPr>
        <w:t>山西太钢不锈钢股份有限公司</w:t>
      </w:r>
      <w:r>
        <w:rPr>
          <w:rFonts w:hint="eastAsia" w:ascii="Times New Roman" w:hAnsi="Times New Roman" w:cs="Times New Roman"/>
          <w:kern w:val="0"/>
          <w:sz w:val="28"/>
          <w:szCs w:val="28"/>
        </w:rPr>
        <w:t>工程管理部、项目竣工环境保护验收监测报告编制单位山西太钢工程技术有限公司项目环保设施设计单位中冶赛迪工程技术股份有限公司、施工单</w:t>
      </w:r>
      <w:r>
        <w:rPr>
          <w:rFonts w:hint="eastAsia" w:ascii="Times New Roman" w:hAnsi="Times New Roman" w:cs="Times New Roman"/>
          <w:color w:val="auto"/>
          <w:kern w:val="0"/>
          <w:sz w:val="28"/>
          <w:szCs w:val="28"/>
        </w:rPr>
        <w:t>位中冶天工中煤百甲公司</w:t>
      </w:r>
      <w:r>
        <w:rPr>
          <w:rFonts w:hint="eastAsia" w:ascii="Times New Roman" w:hAnsi="Times New Roman" w:cs="Times New Roman"/>
          <w:kern w:val="0"/>
          <w:sz w:val="28"/>
          <w:szCs w:val="28"/>
        </w:rPr>
        <w:t>、</w:t>
      </w:r>
      <w:r>
        <w:rPr>
          <w:rFonts w:ascii="Times New Roman" w:hAnsi="Times New Roman" w:cs="Times New Roman"/>
          <w:kern w:val="0"/>
          <w:sz w:val="28"/>
          <w:szCs w:val="28"/>
        </w:rPr>
        <w:t>监测</w:t>
      </w:r>
      <w:r>
        <w:rPr>
          <w:rFonts w:hint="eastAsia" w:ascii="Times New Roman" w:hAnsi="Times New Roman" w:cs="Times New Roman"/>
          <w:kern w:val="0"/>
          <w:sz w:val="28"/>
          <w:szCs w:val="28"/>
        </w:rPr>
        <w:t>单位山西太钢环境监测有限公司</w:t>
      </w:r>
      <w:r>
        <w:rPr>
          <w:rFonts w:ascii="Times New Roman" w:hAnsi="Times New Roman" w:cs="Times New Roman"/>
          <w:kern w:val="0"/>
          <w:sz w:val="28"/>
          <w:szCs w:val="28"/>
        </w:rPr>
        <w:t>及</w:t>
      </w:r>
      <w:r>
        <w:rPr>
          <w:rFonts w:hint="eastAsia" w:ascii="Times New Roman" w:hAnsi="Times New Roman" w:cs="Times New Roman"/>
          <w:kern w:val="0"/>
          <w:sz w:val="28"/>
          <w:szCs w:val="28"/>
        </w:rPr>
        <w:t>评价单位山西清源环境咨询有限公司</w:t>
      </w:r>
      <w:r>
        <w:rPr>
          <w:rFonts w:ascii="Times New Roman" w:hAnsi="Times New Roman" w:cs="Times New Roman"/>
          <w:kern w:val="0"/>
          <w:sz w:val="28"/>
          <w:szCs w:val="28"/>
        </w:rPr>
        <w:t>的代表及应邀专家。与会代表检查了项目现场，听取了建设单位对工程建设和环保设施调试的情况介绍以及监测单位对项目竣工验收监测情况的介绍，验收组（名单附后）</w:t>
      </w:r>
      <w:r>
        <w:rPr>
          <w:rFonts w:ascii="Times New Roman" w:hAnsi="Times New Roman" w:cs="Times New Roman"/>
          <w:color w:val="000000"/>
          <w:sz w:val="28"/>
          <w:szCs w:val="28"/>
        </w:rPr>
        <w:t>提出验收意见如下：</w:t>
      </w:r>
    </w:p>
    <w:p>
      <w:pPr>
        <w:pStyle w:val="61"/>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一、工程建设基本情况</w:t>
      </w:r>
    </w:p>
    <w:p>
      <w:pPr>
        <w:pStyle w:val="61"/>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（一）建设地点、规模、主要建设内容</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建设地点：</w:t>
      </w:r>
      <w:r>
        <w:rPr>
          <w:rFonts w:hint="eastAsia" w:ascii="Times New Roman" w:hAnsi="Times New Roman" w:cs="Times New Roman"/>
          <w:color w:val="000000"/>
          <w:sz w:val="28"/>
          <w:szCs w:val="28"/>
        </w:rPr>
        <w:t>太原市尖草坪区太钢现厂区内</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建设性质：技术改造</w:t>
      </w:r>
    </w:p>
    <w:p>
      <w:pPr>
        <w:shd w:val="clear" w:color="auto" w:fill="FFFFFF"/>
        <w:adjustRightInd w:val="0"/>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建设规模：</w:t>
      </w:r>
      <w:r>
        <w:rPr>
          <w:rFonts w:hint="eastAsia" w:ascii="Times New Roman" w:hAnsi="Times New Roman" w:cs="Times New Roman"/>
          <w:color w:val="000000"/>
          <w:sz w:val="28"/>
          <w:szCs w:val="28"/>
        </w:rPr>
        <w:t>设计年储量为</w:t>
      </w:r>
      <w:r>
        <w:rPr>
          <w:rFonts w:ascii="Times New Roman" w:hAnsi="Times New Roman" w:cs="Times New Roman"/>
          <w:color w:val="000000"/>
          <w:sz w:val="28"/>
          <w:szCs w:val="28"/>
        </w:rPr>
        <w:t>1288</w:t>
      </w:r>
      <w:r>
        <w:rPr>
          <w:rFonts w:hint="eastAsia" w:ascii="Times New Roman" w:hAnsi="Times New Roman" w:cs="Times New Roman"/>
          <w:color w:val="000000"/>
          <w:sz w:val="28"/>
          <w:szCs w:val="28"/>
        </w:rPr>
        <w:t>万吨</w:t>
      </w:r>
    </w:p>
    <w:p>
      <w:pPr>
        <w:adjustRightInd w:val="0"/>
        <w:snapToGrid w:val="0"/>
        <w:spacing w:line="500" w:lineRule="exact"/>
        <w:ind w:firstLine="560" w:firstLineChars="200"/>
        <w:jc w:val="left"/>
        <w:rPr>
          <w:rFonts w:ascii="Times New Roman" w:hAnsi="Times New Roman" w:cs="Times New Roman"/>
          <w:color w:val="000000"/>
          <w:kern w:val="0"/>
          <w:sz w:val="28"/>
          <w:szCs w:val="28"/>
        </w:rPr>
      </w:pPr>
      <w:r>
        <w:rPr>
          <w:rFonts w:ascii="Times New Roman" w:hAnsi="Times New Roman" w:cs="Times New Roman"/>
          <w:color w:val="000000"/>
          <w:sz w:val="28"/>
          <w:szCs w:val="28"/>
        </w:rPr>
        <w:t>工程组成与建设内容：</w:t>
      </w:r>
      <w:r>
        <w:rPr>
          <w:rFonts w:hint="eastAsia" w:ascii="Times New Roman" w:hAnsi="Times New Roman" w:cs="Times New Roman"/>
          <w:color w:val="000000"/>
          <w:kern w:val="0"/>
          <w:sz w:val="28"/>
          <w:szCs w:val="28"/>
        </w:rPr>
        <w:t>项目主要建设内容为一次料场全封闭</w:t>
      </w:r>
      <w:r>
        <w:rPr>
          <w:rFonts w:hint="eastAsia" w:ascii="Times New Roman" w:hAnsi="Times New Roman" w:cs="Times New Roman"/>
          <w:color w:val="000000"/>
          <w:kern w:val="0"/>
          <w:sz w:val="28"/>
          <w:szCs w:val="28"/>
          <w:lang w:eastAsia="zh-CN"/>
        </w:rPr>
        <w:t>、</w:t>
      </w:r>
      <w:r>
        <w:rPr>
          <w:rFonts w:hint="eastAsia" w:ascii="Times New Roman" w:hAnsi="Times New Roman" w:cs="Times New Roman"/>
          <w:color w:val="000000"/>
          <w:kern w:val="0"/>
          <w:sz w:val="28"/>
          <w:szCs w:val="28"/>
        </w:rPr>
        <w:t>辅助及公用工程全部依托太钢原有工程。</w:t>
      </w:r>
    </w:p>
    <w:p>
      <w:pPr>
        <w:adjustRightInd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工程组成与建设内容见表1。</w:t>
      </w:r>
    </w:p>
    <w:p>
      <w:pPr>
        <w:adjustRightInd w:val="0"/>
        <w:snapToGrid w:val="0"/>
        <w:spacing w:line="500" w:lineRule="exact"/>
        <w:jc w:val="center"/>
        <w:rPr>
          <w:rFonts w:ascii="Times New Roman" w:hAnsi="Times New Roman" w:cs="Times New Roman"/>
          <w:b/>
          <w:color w:val="000000"/>
          <w:sz w:val="24"/>
        </w:rPr>
      </w:pPr>
    </w:p>
    <w:p>
      <w:pPr>
        <w:adjustRightInd w:val="0"/>
        <w:snapToGrid w:val="0"/>
        <w:spacing w:line="500" w:lineRule="exact"/>
        <w:jc w:val="center"/>
        <w:rPr>
          <w:rFonts w:ascii="Times New Roman" w:hAnsi="Times New Roman" w:cs="Times New Roman"/>
          <w:b/>
          <w:color w:val="000000"/>
          <w:sz w:val="24"/>
        </w:rPr>
      </w:pPr>
    </w:p>
    <w:p>
      <w:pPr>
        <w:adjustRightInd w:val="0"/>
        <w:snapToGrid w:val="0"/>
        <w:spacing w:line="500" w:lineRule="exact"/>
        <w:jc w:val="center"/>
        <w:rPr>
          <w:rFonts w:ascii="Times New Roman" w:hAnsi="Times New Roman" w:cs="Times New Roman"/>
          <w:b/>
          <w:color w:val="000000"/>
          <w:sz w:val="24"/>
        </w:rPr>
      </w:pP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表1  项目组成及建设内容表</w:t>
      </w:r>
    </w:p>
    <w:tbl>
      <w:tblPr>
        <w:tblStyle w:val="22"/>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422"/>
        <w:gridCol w:w="3194"/>
        <w:gridCol w:w="3156"/>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2" w:hRule="atLeast"/>
          <w:tblHeader/>
        </w:trPr>
        <w:tc>
          <w:tcPr>
            <w:tcW w:w="1422" w:type="dxa"/>
            <w:vAlign w:val="center"/>
          </w:tcPr>
          <w:p>
            <w:pPr>
              <w:pStyle w:val="10"/>
              <w:snapToGrid w:val="0"/>
              <w:ind w:firstLine="0"/>
              <w:jc w:val="center"/>
              <w:rPr>
                <w:b/>
                <w:szCs w:val="21"/>
              </w:rPr>
            </w:pPr>
            <w:r>
              <w:rPr>
                <w:b/>
                <w:szCs w:val="21"/>
              </w:rPr>
              <w:t>工程类别</w:t>
            </w:r>
          </w:p>
        </w:tc>
        <w:tc>
          <w:tcPr>
            <w:tcW w:w="3194" w:type="dxa"/>
            <w:vAlign w:val="center"/>
          </w:tcPr>
          <w:p>
            <w:pPr>
              <w:pStyle w:val="10"/>
              <w:snapToGrid w:val="0"/>
              <w:ind w:firstLine="0"/>
              <w:jc w:val="center"/>
              <w:rPr>
                <w:b/>
                <w:szCs w:val="21"/>
              </w:rPr>
            </w:pPr>
            <w:r>
              <w:rPr>
                <w:b/>
                <w:szCs w:val="21"/>
              </w:rPr>
              <w:t>环评阶段设计</w:t>
            </w:r>
          </w:p>
        </w:tc>
        <w:tc>
          <w:tcPr>
            <w:tcW w:w="3156" w:type="dxa"/>
            <w:vAlign w:val="center"/>
          </w:tcPr>
          <w:p>
            <w:pPr>
              <w:pStyle w:val="10"/>
              <w:snapToGrid w:val="0"/>
              <w:ind w:firstLine="0"/>
              <w:jc w:val="center"/>
              <w:rPr>
                <w:b/>
                <w:szCs w:val="21"/>
              </w:rPr>
            </w:pPr>
            <w:r>
              <w:rPr>
                <w:b/>
                <w:szCs w:val="21"/>
              </w:rPr>
              <w:t>实际建设</w:t>
            </w:r>
          </w:p>
        </w:tc>
        <w:tc>
          <w:tcPr>
            <w:tcW w:w="1267" w:type="dxa"/>
            <w:vAlign w:val="center"/>
          </w:tcPr>
          <w:p>
            <w:pPr>
              <w:pStyle w:val="10"/>
              <w:snapToGrid w:val="0"/>
              <w:ind w:firstLine="0"/>
              <w:jc w:val="center"/>
              <w:rPr>
                <w:b/>
                <w:szCs w:val="21"/>
              </w:rPr>
            </w:pPr>
            <w:r>
              <w:rPr>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restart"/>
            <w:vAlign w:val="center"/>
          </w:tcPr>
          <w:p>
            <w:pPr>
              <w:pStyle w:val="10"/>
              <w:adjustRightInd w:val="0"/>
              <w:snapToGrid w:val="0"/>
              <w:spacing w:line="240" w:lineRule="atLeast"/>
              <w:ind w:firstLine="0"/>
              <w:jc w:val="center"/>
              <w:rPr>
                <w:szCs w:val="21"/>
              </w:rPr>
            </w:pPr>
            <w:r>
              <w:rPr>
                <w:szCs w:val="21"/>
              </w:rPr>
              <w:t>主体工程</w:t>
            </w:r>
            <w:r>
              <w:rPr>
                <w:rFonts w:hint="eastAsia"/>
                <w:szCs w:val="21"/>
              </w:rPr>
              <w:t>（</w:t>
            </w:r>
            <w:r>
              <w:rPr>
                <w:rFonts w:hint="eastAsia" w:ascii="宋体" w:hAnsi="宋体" w:cs="宋体"/>
                <w:color w:val="000000"/>
                <w:szCs w:val="21"/>
              </w:rPr>
              <w:t>一次料场）</w:t>
            </w:r>
          </w:p>
        </w:tc>
        <w:tc>
          <w:tcPr>
            <w:tcW w:w="3194" w:type="dxa"/>
            <w:vAlign w:val="center"/>
          </w:tcPr>
          <w:p>
            <w:pPr>
              <w:adjustRightInd w:val="0"/>
              <w:snapToGrid w:val="0"/>
              <w:spacing w:line="240" w:lineRule="atLeast"/>
              <w:ind w:firstLine="420"/>
              <w:rPr>
                <w:szCs w:val="21"/>
              </w:rPr>
            </w:pPr>
            <w:r>
              <w:rPr>
                <w:rFonts w:hint="eastAsia" w:ascii="宋体" w:hAnsi="宋体" w:cs="宋体"/>
                <w:color w:val="000000"/>
                <w:kern w:val="0"/>
                <w:szCs w:val="21"/>
              </w:rPr>
              <w:t>一区料棚为双层柱面网壳钢结构在</w:t>
            </w:r>
            <w:r>
              <w:rPr>
                <w:rFonts w:ascii="宋体" w:hAnsi="宋体" w:cs="宋体"/>
                <w:color w:val="000000"/>
                <w:kern w:val="0"/>
                <w:szCs w:val="21"/>
              </w:rPr>
              <w:t>A</w:t>
            </w:r>
            <w:r>
              <w:rPr>
                <w:rFonts w:hint="eastAsia" w:ascii="宋体" w:hAnsi="宋体" w:cs="宋体"/>
                <w:color w:val="000000"/>
                <w:kern w:val="0"/>
                <w:szCs w:val="21"/>
              </w:rPr>
              <w:t>、</w:t>
            </w:r>
            <w:r>
              <w:rPr>
                <w:rFonts w:ascii="宋体" w:hAnsi="宋体" w:cs="宋体"/>
                <w:color w:val="000000"/>
                <w:kern w:val="0"/>
                <w:szCs w:val="21"/>
              </w:rPr>
              <w:t>B</w:t>
            </w:r>
            <w:r>
              <w:rPr>
                <w:rFonts w:hint="eastAsia" w:ascii="宋体" w:hAnsi="宋体" w:cs="宋体"/>
                <w:color w:val="000000"/>
                <w:kern w:val="0"/>
                <w:szCs w:val="21"/>
              </w:rPr>
              <w:t>料条的东端，涵盖</w:t>
            </w:r>
            <w:r>
              <w:rPr>
                <w:rFonts w:ascii="宋体" w:hAnsi="宋体" w:cs="宋体"/>
                <w:color w:val="000000"/>
                <w:kern w:val="0"/>
                <w:szCs w:val="21"/>
              </w:rPr>
              <w:t>D</w:t>
            </w:r>
            <w:r>
              <w:rPr>
                <w:rFonts w:hint="eastAsia" w:ascii="宋体" w:hAnsi="宋体" w:cs="宋体"/>
                <w:color w:val="000000"/>
                <w:kern w:val="0"/>
                <w:szCs w:val="21"/>
              </w:rPr>
              <w:t>、</w:t>
            </w:r>
            <w:r>
              <w:rPr>
                <w:rFonts w:ascii="宋体" w:hAnsi="宋体" w:cs="宋体"/>
                <w:color w:val="000000"/>
                <w:kern w:val="0"/>
                <w:szCs w:val="21"/>
              </w:rPr>
              <w:t>E</w:t>
            </w:r>
            <w:r>
              <w:rPr>
                <w:rFonts w:hint="eastAsia" w:ascii="宋体" w:hAnsi="宋体" w:cs="宋体"/>
                <w:color w:val="000000"/>
                <w:kern w:val="0"/>
                <w:szCs w:val="21"/>
              </w:rPr>
              <w:t>、</w:t>
            </w:r>
            <w:r>
              <w:rPr>
                <w:rFonts w:ascii="宋体" w:hAnsi="宋体" w:cs="宋体"/>
                <w:color w:val="000000"/>
                <w:kern w:val="0"/>
                <w:szCs w:val="21"/>
              </w:rPr>
              <w:t>F</w:t>
            </w:r>
            <w:r>
              <w:rPr>
                <w:rFonts w:hint="eastAsia" w:ascii="宋体" w:hAnsi="宋体" w:cs="宋体"/>
                <w:color w:val="000000"/>
                <w:kern w:val="0"/>
                <w:szCs w:val="21"/>
              </w:rPr>
              <w:t>料条，长度约</w:t>
            </w:r>
            <w:r>
              <w:rPr>
                <w:rFonts w:ascii="宋体" w:hAnsi="宋体" w:cs="宋体"/>
                <w:color w:val="000000"/>
                <w:kern w:val="0"/>
                <w:szCs w:val="21"/>
              </w:rPr>
              <w:t>296m</w:t>
            </w:r>
            <w:r>
              <w:rPr>
                <w:rFonts w:hint="eastAsia" w:ascii="宋体" w:hAnsi="宋体" w:cs="宋体"/>
                <w:color w:val="000000"/>
                <w:kern w:val="0"/>
                <w:szCs w:val="21"/>
              </w:rPr>
              <w:t>，跨度约</w:t>
            </w:r>
            <w:r>
              <w:rPr>
                <w:rFonts w:ascii="宋体" w:hAnsi="宋体" w:cs="宋体"/>
                <w:color w:val="000000"/>
                <w:kern w:val="0"/>
                <w:szCs w:val="21"/>
              </w:rPr>
              <w:t>103m</w:t>
            </w:r>
            <w:r>
              <w:rPr>
                <w:rFonts w:hint="eastAsia" w:ascii="宋体" w:hAnsi="宋体" w:cs="宋体"/>
                <w:color w:val="000000"/>
                <w:kern w:val="0"/>
                <w:szCs w:val="21"/>
              </w:rPr>
              <w:t>，厂房屋脊高约</w:t>
            </w:r>
            <w:r>
              <w:rPr>
                <w:rFonts w:ascii="宋体" w:hAnsi="宋体" w:cs="宋体"/>
                <w:color w:val="000000"/>
                <w:kern w:val="0"/>
                <w:szCs w:val="21"/>
              </w:rPr>
              <w:t>45m</w:t>
            </w:r>
            <w:r>
              <w:rPr>
                <w:rFonts w:hint="eastAsia" w:ascii="宋体" w:hAnsi="宋体" w:cs="宋体"/>
                <w:color w:val="000000"/>
                <w:kern w:val="0"/>
                <w:szCs w:val="21"/>
              </w:rPr>
              <w:t>。面积33078</w:t>
            </w:r>
            <w:r>
              <w:rPr>
                <w:rFonts w:ascii="宋体" w:hAnsi="宋体" w:cs="宋体"/>
                <w:color w:val="000000"/>
                <w:kern w:val="0"/>
                <w:szCs w:val="21"/>
              </w:rPr>
              <w:t>m</w:t>
            </w:r>
            <w:r>
              <w:rPr>
                <w:rFonts w:ascii="宋体" w:hAnsi="宋体" w:cs="宋体"/>
                <w:color w:val="000000"/>
                <w:kern w:val="0"/>
                <w:szCs w:val="21"/>
                <w:vertAlign w:val="superscript"/>
              </w:rPr>
              <w:t>2</w:t>
            </w:r>
            <w:r>
              <w:rPr>
                <w:rFonts w:hint="eastAsia" w:ascii="宋体" w:hAnsi="宋体" w:cs="宋体"/>
                <w:color w:val="000000"/>
                <w:kern w:val="0"/>
                <w:szCs w:val="21"/>
              </w:rPr>
              <w:t>。</w:t>
            </w:r>
          </w:p>
        </w:tc>
        <w:tc>
          <w:tcPr>
            <w:tcW w:w="3156" w:type="dxa"/>
            <w:vAlign w:val="center"/>
          </w:tcPr>
          <w:p>
            <w:pPr>
              <w:adjustRightInd w:val="0"/>
              <w:snapToGrid w:val="0"/>
              <w:spacing w:line="240" w:lineRule="atLeast"/>
              <w:ind w:firstLine="420"/>
              <w:rPr>
                <w:szCs w:val="21"/>
              </w:rPr>
            </w:pPr>
            <w:r>
              <w:rPr>
                <w:rFonts w:hint="eastAsia" w:ascii="宋体" w:hAnsi="宋体" w:cs="宋体"/>
                <w:color w:val="000000"/>
                <w:kern w:val="0"/>
                <w:szCs w:val="21"/>
              </w:rPr>
              <w:t>一区料棚采用</w:t>
            </w:r>
            <w:r>
              <w:rPr>
                <w:rFonts w:hint="eastAsia" w:ascii="宋体" w:hAnsi="宋体" w:cs="宋体"/>
                <w:color w:val="000000"/>
                <w:kern w:val="0"/>
              </w:rPr>
              <w:t>双层柱面网壳钢结构形式进行封闭</w:t>
            </w:r>
            <w:r>
              <w:rPr>
                <w:rFonts w:hint="eastAsia" w:ascii="宋体" w:hAnsi="宋体" w:cs="宋体"/>
                <w:color w:val="000000"/>
                <w:kern w:val="0"/>
                <w:szCs w:val="21"/>
              </w:rPr>
              <w:t>，涵盖</w:t>
            </w:r>
            <w:r>
              <w:rPr>
                <w:rFonts w:ascii="宋体" w:hAnsi="宋体" w:cs="宋体"/>
                <w:color w:val="000000"/>
                <w:kern w:val="0"/>
                <w:szCs w:val="21"/>
              </w:rPr>
              <w:t>D</w:t>
            </w:r>
            <w:r>
              <w:rPr>
                <w:rFonts w:hint="eastAsia" w:ascii="宋体" w:hAnsi="宋体" w:cs="宋体"/>
                <w:color w:val="000000"/>
                <w:kern w:val="0"/>
                <w:szCs w:val="21"/>
              </w:rPr>
              <w:t>、</w:t>
            </w:r>
            <w:r>
              <w:rPr>
                <w:rFonts w:ascii="宋体" w:hAnsi="宋体" w:cs="宋体"/>
                <w:color w:val="000000"/>
                <w:kern w:val="0"/>
                <w:szCs w:val="21"/>
              </w:rPr>
              <w:t>E</w:t>
            </w:r>
            <w:r>
              <w:rPr>
                <w:rFonts w:hint="eastAsia" w:ascii="宋体" w:hAnsi="宋体" w:cs="宋体"/>
                <w:color w:val="000000"/>
                <w:kern w:val="0"/>
                <w:szCs w:val="21"/>
              </w:rPr>
              <w:t>、</w:t>
            </w:r>
            <w:r>
              <w:rPr>
                <w:rFonts w:ascii="宋体" w:hAnsi="宋体" w:cs="宋体"/>
                <w:color w:val="000000"/>
                <w:kern w:val="0"/>
                <w:szCs w:val="21"/>
              </w:rPr>
              <w:t>F</w:t>
            </w:r>
            <w:r>
              <w:rPr>
                <w:rFonts w:hint="eastAsia" w:ascii="宋体" w:hAnsi="宋体" w:cs="宋体"/>
                <w:color w:val="000000"/>
                <w:kern w:val="0"/>
                <w:szCs w:val="21"/>
              </w:rPr>
              <w:t>料条，长度约</w:t>
            </w:r>
            <w:r>
              <w:rPr>
                <w:rFonts w:ascii="宋体" w:hAnsi="宋体" w:cs="宋体"/>
                <w:color w:val="000000"/>
                <w:kern w:val="0"/>
                <w:szCs w:val="21"/>
              </w:rPr>
              <w:t>2</w:t>
            </w:r>
            <w:r>
              <w:rPr>
                <w:rFonts w:hint="eastAsia" w:ascii="宋体" w:hAnsi="宋体" w:cs="宋体"/>
                <w:color w:val="000000"/>
                <w:kern w:val="0"/>
                <w:szCs w:val="21"/>
              </w:rPr>
              <w:t>76</w:t>
            </w:r>
            <w:r>
              <w:rPr>
                <w:rFonts w:ascii="宋体" w:hAnsi="宋体" w:cs="宋体"/>
                <w:color w:val="000000"/>
                <w:kern w:val="0"/>
                <w:szCs w:val="21"/>
              </w:rPr>
              <w:t>m</w:t>
            </w:r>
            <w:r>
              <w:rPr>
                <w:rFonts w:hint="eastAsia" w:ascii="宋体" w:hAnsi="宋体" w:cs="宋体"/>
                <w:color w:val="000000"/>
                <w:kern w:val="0"/>
                <w:szCs w:val="21"/>
              </w:rPr>
              <w:t>，跨度约</w:t>
            </w:r>
            <w:r>
              <w:rPr>
                <w:rFonts w:ascii="宋体" w:hAnsi="宋体" w:cs="宋体"/>
                <w:color w:val="000000"/>
                <w:kern w:val="0"/>
                <w:szCs w:val="21"/>
              </w:rPr>
              <w:t>10</w:t>
            </w:r>
            <w:r>
              <w:rPr>
                <w:rFonts w:hint="eastAsia" w:ascii="宋体" w:hAnsi="宋体" w:cs="宋体"/>
                <w:color w:val="000000"/>
                <w:kern w:val="0"/>
                <w:szCs w:val="21"/>
              </w:rPr>
              <w:t>8.5</w:t>
            </w:r>
            <w:r>
              <w:rPr>
                <w:rFonts w:ascii="宋体" w:hAnsi="宋体" w:cs="宋体"/>
                <w:color w:val="000000"/>
                <w:kern w:val="0"/>
                <w:szCs w:val="21"/>
              </w:rPr>
              <w:t>m</w:t>
            </w:r>
            <w:r>
              <w:rPr>
                <w:rFonts w:hint="eastAsia" w:ascii="宋体" w:hAnsi="宋体" w:cs="宋体"/>
                <w:color w:val="000000"/>
                <w:kern w:val="0"/>
                <w:szCs w:val="21"/>
              </w:rPr>
              <w:t>，厂房屋脊高约39.5</w:t>
            </w:r>
            <w:r>
              <w:rPr>
                <w:rFonts w:ascii="宋体" w:hAnsi="宋体" w:cs="宋体"/>
                <w:color w:val="000000"/>
                <w:kern w:val="0"/>
                <w:szCs w:val="21"/>
              </w:rPr>
              <w:t>m</w:t>
            </w:r>
            <w:r>
              <w:rPr>
                <w:rFonts w:hint="eastAsia" w:ascii="宋体" w:hAnsi="宋体" w:cs="宋体"/>
                <w:color w:val="000000"/>
                <w:kern w:val="0"/>
                <w:szCs w:val="21"/>
              </w:rPr>
              <w:t>。面积29946</w:t>
            </w:r>
            <w:r>
              <w:rPr>
                <w:rFonts w:ascii="宋体" w:hAnsi="宋体" w:cs="宋体"/>
                <w:color w:val="000000"/>
                <w:kern w:val="0"/>
                <w:szCs w:val="21"/>
              </w:rPr>
              <w:t>m</w:t>
            </w:r>
            <w:r>
              <w:rPr>
                <w:rFonts w:ascii="宋体" w:hAnsi="宋体" w:cs="宋体"/>
                <w:color w:val="000000"/>
                <w:kern w:val="0"/>
                <w:szCs w:val="21"/>
                <w:vertAlign w:val="superscript"/>
              </w:rPr>
              <w:t>2</w:t>
            </w:r>
            <w:r>
              <w:rPr>
                <w:rFonts w:hint="eastAsia" w:ascii="宋体" w:hAnsi="宋体" w:cs="宋体"/>
                <w:color w:val="000000"/>
                <w:kern w:val="0"/>
                <w:szCs w:val="21"/>
              </w:rPr>
              <w:t>。</w:t>
            </w:r>
          </w:p>
        </w:tc>
        <w:tc>
          <w:tcPr>
            <w:tcW w:w="1267" w:type="dxa"/>
            <w:vAlign w:val="center"/>
          </w:tcPr>
          <w:p>
            <w:pPr>
              <w:pStyle w:val="66"/>
              <w:spacing w:beforeLines="0" w:afterLines="0" w:line="240" w:lineRule="atLeast"/>
              <w:rPr>
                <w:szCs w:val="21"/>
              </w:rPr>
            </w:pPr>
            <w:r>
              <w:rPr>
                <w:rFonts w:hint="eastAsia" w:ascii="宋体" w:hAnsi="宋体" w:cs="宋体"/>
                <w:color w:val="000000"/>
                <w:szCs w:val="21"/>
              </w:rPr>
              <w:t>完成（与环评内容基本一致）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pStyle w:val="10"/>
              <w:adjustRightInd w:val="0"/>
              <w:snapToGrid w:val="0"/>
              <w:spacing w:line="240" w:lineRule="atLeast"/>
              <w:ind w:firstLine="0"/>
              <w:jc w:val="center"/>
              <w:rPr>
                <w:szCs w:val="21"/>
              </w:rPr>
            </w:pPr>
          </w:p>
        </w:tc>
        <w:tc>
          <w:tcPr>
            <w:tcW w:w="3194" w:type="dxa"/>
            <w:vAlign w:val="center"/>
          </w:tcPr>
          <w:p>
            <w:pPr>
              <w:adjustRightInd w:val="0"/>
              <w:snapToGrid w:val="0"/>
              <w:spacing w:line="240" w:lineRule="atLeast"/>
              <w:ind w:firstLine="420"/>
              <w:rPr>
                <w:szCs w:val="21"/>
              </w:rPr>
            </w:pPr>
            <w:r>
              <w:rPr>
                <w:rFonts w:hint="eastAsia" w:ascii="宋体" w:hAnsi="宋体" w:cs="宋体"/>
                <w:color w:val="000000"/>
                <w:kern w:val="0"/>
                <w:szCs w:val="21"/>
              </w:rPr>
              <w:t>二区料棚为双层柱面网壳钢结构在</w:t>
            </w:r>
            <w:r>
              <w:rPr>
                <w:rFonts w:ascii="宋体" w:hAnsi="宋体" w:cs="宋体"/>
                <w:color w:val="000000"/>
                <w:kern w:val="0"/>
                <w:szCs w:val="21"/>
              </w:rPr>
              <w:t>A</w:t>
            </w:r>
            <w:r>
              <w:rPr>
                <w:rFonts w:hint="eastAsia" w:ascii="宋体" w:hAnsi="宋体" w:cs="宋体"/>
                <w:color w:val="000000"/>
                <w:kern w:val="0"/>
                <w:szCs w:val="21"/>
              </w:rPr>
              <w:t>、</w:t>
            </w:r>
            <w:r>
              <w:rPr>
                <w:rFonts w:ascii="宋体" w:hAnsi="宋体" w:cs="宋体"/>
                <w:color w:val="000000"/>
                <w:kern w:val="0"/>
                <w:szCs w:val="21"/>
              </w:rPr>
              <w:t>B</w:t>
            </w:r>
            <w:r>
              <w:rPr>
                <w:rFonts w:hint="eastAsia" w:ascii="宋体" w:hAnsi="宋体" w:cs="宋体"/>
                <w:color w:val="000000"/>
                <w:kern w:val="0"/>
                <w:szCs w:val="21"/>
              </w:rPr>
              <w:t>料条的东南部即</w:t>
            </w:r>
            <w:r>
              <w:rPr>
                <w:rFonts w:ascii="宋体" w:hAnsi="宋体" w:cs="宋体"/>
                <w:color w:val="000000"/>
                <w:kern w:val="0"/>
                <w:szCs w:val="21"/>
              </w:rPr>
              <w:t>D</w:t>
            </w:r>
            <w:r>
              <w:rPr>
                <w:rFonts w:hint="eastAsia" w:ascii="宋体" w:hAnsi="宋体" w:cs="宋体"/>
                <w:color w:val="000000"/>
                <w:kern w:val="0"/>
                <w:szCs w:val="21"/>
              </w:rPr>
              <w:t>、</w:t>
            </w:r>
            <w:r>
              <w:rPr>
                <w:rFonts w:ascii="宋体" w:hAnsi="宋体" w:cs="宋体"/>
                <w:color w:val="000000"/>
                <w:kern w:val="0"/>
                <w:szCs w:val="21"/>
              </w:rPr>
              <w:t>E</w:t>
            </w:r>
            <w:r>
              <w:rPr>
                <w:rFonts w:hint="eastAsia" w:ascii="宋体" w:hAnsi="宋体" w:cs="宋体"/>
                <w:color w:val="000000"/>
                <w:kern w:val="0"/>
                <w:szCs w:val="21"/>
              </w:rPr>
              <w:t>、</w:t>
            </w:r>
            <w:r>
              <w:rPr>
                <w:rFonts w:ascii="宋体" w:hAnsi="宋体" w:cs="宋体"/>
                <w:color w:val="000000"/>
                <w:kern w:val="0"/>
                <w:szCs w:val="21"/>
              </w:rPr>
              <w:t>F</w:t>
            </w:r>
            <w:r>
              <w:rPr>
                <w:rFonts w:hint="eastAsia" w:ascii="宋体" w:hAnsi="宋体" w:cs="宋体"/>
                <w:color w:val="000000"/>
                <w:kern w:val="0"/>
                <w:szCs w:val="21"/>
              </w:rPr>
              <w:t>料条南端，占用</w:t>
            </w:r>
            <w:r>
              <w:rPr>
                <w:rFonts w:ascii="宋体" w:hAnsi="宋体" w:cs="宋体"/>
                <w:color w:val="000000"/>
                <w:kern w:val="0"/>
                <w:szCs w:val="21"/>
              </w:rPr>
              <w:t>C</w:t>
            </w:r>
            <w:r>
              <w:rPr>
                <w:rFonts w:hint="eastAsia" w:ascii="宋体" w:hAnsi="宋体" w:cs="宋体"/>
                <w:color w:val="000000"/>
                <w:kern w:val="0"/>
                <w:szCs w:val="21"/>
              </w:rPr>
              <w:t>料条的南端部分堆料场，作为与③区为两跨大棚跨间共用基础。长度约</w:t>
            </w:r>
            <w:r>
              <w:rPr>
                <w:rFonts w:ascii="宋体" w:hAnsi="宋体" w:cs="宋体"/>
                <w:color w:val="000000"/>
                <w:kern w:val="0"/>
                <w:szCs w:val="21"/>
              </w:rPr>
              <w:t>136m</w:t>
            </w:r>
            <w:r>
              <w:rPr>
                <w:rFonts w:hint="eastAsia" w:ascii="宋体" w:hAnsi="宋体" w:cs="宋体"/>
                <w:color w:val="000000"/>
                <w:kern w:val="0"/>
                <w:szCs w:val="21"/>
              </w:rPr>
              <w:t>，跨度约</w:t>
            </w:r>
            <w:r>
              <w:rPr>
                <w:rFonts w:ascii="宋体" w:hAnsi="宋体" w:cs="宋体"/>
                <w:color w:val="000000"/>
                <w:kern w:val="0"/>
                <w:szCs w:val="21"/>
              </w:rPr>
              <w:t>117m</w:t>
            </w:r>
            <w:r>
              <w:rPr>
                <w:rFonts w:hint="eastAsia" w:ascii="宋体" w:hAnsi="宋体" w:cs="宋体"/>
                <w:color w:val="000000"/>
                <w:kern w:val="0"/>
                <w:szCs w:val="21"/>
              </w:rPr>
              <w:t>，厂房屋脊高约为</w:t>
            </w:r>
            <w:r>
              <w:rPr>
                <w:rFonts w:ascii="宋体" w:hAnsi="宋体" w:cs="宋体"/>
                <w:color w:val="000000"/>
                <w:kern w:val="0"/>
                <w:szCs w:val="21"/>
              </w:rPr>
              <w:t>45m</w:t>
            </w:r>
            <w:r>
              <w:rPr>
                <w:rFonts w:hint="eastAsia" w:ascii="宋体" w:hAnsi="宋体" w:cs="宋体"/>
                <w:color w:val="000000"/>
                <w:kern w:val="0"/>
                <w:szCs w:val="21"/>
              </w:rPr>
              <w:t>。面积17500</w:t>
            </w:r>
            <w:r>
              <w:rPr>
                <w:rFonts w:ascii="宋体" w:hAnsi="宋体" w:cs="宋体"/>
                <w:color w:val="000000"/>
                <w:kern w:val="0"/>
                <w:szCs w:val="21"/>
              </w:rPr>
              <w:t>m</w:t>
            </w:r>
            <w:r>
              <w:rPr>
                <w:rFonts w:ascii="宋体" w:hAnsi="宋体" w:cs="宋体"/>
                <w:color w:val="000000"/>
                <w:kern w:val="0"/>
                <w:szCs w:val="21"/>
                <w:vertAlign w:val="superscript"/>
              </w:rPr>
              <w:t>2</w:t>
            </w:r>
            <w:r>
              <w:rPr>
                <w:rFonts w:hint="eastAsia" w:ascii="宋体" w:hAnsi="宋体" w:cs="宋体"/>
                <w:color w:val="000000"/>
                <w:kern w:val="0"/>
                <w:szCs w:val="21"/>
              </w:rPr>
              <w:t>。</w:t>
            </w:r>
          </w:p>
        </w:tc>
        <w:tc>
          <w:tcPr>
            <w:tcW w:w="3156" w:type="dxa"/>
            <w:vAlign w:val="center"/>
          </w:tcPr>
          <w:p>
            <w:pPr>
              <w:adjustRightInd w:val="0"/>
              <w:snapToGrid w:val="0"/>
              <w:spacing w:line="240" w:lineRule="atLeast"/>
              <w:ind w:firstLine="420"/>
              <w:rPr>
                <w:szCs w:val="21"/>
              </w:rPr>
            </w:pPr>
            <w:r>
              <w:rPr>
                <w:rFonts w:hint="eastAsia" w:ascii="宋体" w:hAnsi="宋体" w:cs="宋体"/>
                <w:color w:val="000000"/>
                <w:kern w:val="0"/>
                <w:szCs w:val="21"/>
              </w:rPr>
              <w:t>二区料棚采用</w:t>
            </w:r>
            <w:r>
              <w:rPr>
                <w:rFonts w:hint="eastAsia" w:ascii="宋体" w:hAnsi="宋体" w:cs="宋体"/>
                <w:color w:val="000000"/>
                <w:kern w:val="0"/>
              </w:rPr>
              <w:t>双层柱面网壳钢结构形式进行封闭</w:t>
            </w:r>
            <w:r>
              <w:rPr>
                <w:rFonts w:hint="eastAsia" w:ascii="宋体" w:hAnsi="宋体" w:cs="宋体"/>
                <w:color w:val="000000"/>
                <w:kern w:val="0"/>
                <w:szCs w:val="21"/>
              </w:rPr>
              <w:t>。长度约131</w:t>
            </w:r>
            <w:r>
              <w:rPr>
                <w:rFonts w:ascii="宋体" w:hAnsi="宋体" w:cs="宋体"/>
                <w:color w:val="000000"/>
                <w:kern w:val="0"/>
                <w:szCs w:val="21"/>
              </w:rPr>
              <w:t>m</w:t>
            </w:r>
            <w:r>
              <w:rPr>
                <w:rFonts w:hint="eastAsia" w:ascii="宋体" w:hAnsi="宋体" w:cs="宋体"/>
                <w:color w:val="000000"/>
                <w:kern w:val="0"/>
                <w:szCs w:val="21"/>
              </w:rPr>
              <w:t>，跨度约</w:t>
            </w:r>
            <w:r>
              <w:rPr>
                <w:rFonts w:ascii="宋体" w:hAnsi="宋体" w:cs="宋体"/>
                <w:color w:val="000000"/>
                <w:kern w:val="0"/>
                <w:szCs w:val="21"/>
              </w:rPr>
              <w:t>1</w:t>
            </w:r>
            <w:r>
              <w:rPr>
                <w:rFonts w:hint="eastAsia" w:ascii="宋体" w:hAnsi="宋体" w:cs="宋体"/>
                <w:color w:val="000000"/>
                <w:kern w:val="0"/>
                <w:szCs w:val="21"/>
              </w:rPr>
              <w:t>24.5</w:t>
            </w:r>
            <w:r>
              <w:rPr>
                <w:rFonts w:ascii="宋体" w:hAnsi="宋体" w:cs="宋体"/>
                <w:color w:val="000000"/>
                <w:kern w:val="0"/>
                <w:szCs w:val="21"/>
              </w:rPr>
              <w:t>m</w:t>
            </w:r>
            <w:r>
              <w:rPr>
                <w:rFonts w:hint="eastAsia" w:ascii="宋体" w:hAnsi="宋体" w:cs="宋体"/>
                <w:color w:val="000000"/>
                <w:kern w:val="0"/>
                <w:szCs w:val="21"/>
              </w:rPr>
              <w:t>，厂房屋脊高约为</w:t>
            </w:r>
            <w:r>
              <w:rPr>
                <w:rFonts w:ascii="宋体" w:hAnsi="宋体" w:cs="宋体"/>
                <w:color w:val="000000"/>
                <w:kern w:val="0"/>
                <w:szCs w:val="21"/>
              </w:rPr>
              <w:t>4</w:t>
            </w:r>
            <w:r>
              <w:rPr>
                <w:rFonts w:hint="eastAsia" w:ascii="宋体" w:hAnsi="宋体" w:cs="宋体"/>
                <w:color w:val="000000"/>
                <w:kern w:val="0"/>
                <w:szCs w:val="21"/>
              </w:rPr>
              <w:t>8</w:t>
            </w:r>
            <w:r>
              <w:rPr>
                <w:rFonts w:ascii="宋体" w:hAnsi="宋体" w:cs="宋体"/>
                <w:color w:val="000000"/>
                <w:kern w:val="0"/>
                <w:szCs w:val="21"/>
              </w:rPr>
              <w:t>m</w:t>
            </w:r>
            <w:r>
              <w:rPr>
                <w:rFonts w:hint="eastAsia" w:ascii="宋体" w:hAnsi="宋体" w:cs="宋体"/>
                <w:color w:val="000000"/>
                <w:kern w:val="0"/>
                <w:szCs w:val="21"/>
              </w:rPr>
              <w:t>。面积</w:t>
            </w:r>
            <w:r>
              <w:rPr>
                <w:rFonts w:ascii="宋体" w:hAnsi="宋体" w:cs="宋体"/>
                <w:color w:val="000000"/>
                <w:kern w:val="0"/>
                <w:szCs w:val="21"/>
              </w:rPr>
              <w:t>1</w:t>
            </w:r>
            <w:r>
              <w:rPr>
                <w:rFonts w:hint="eastAsia" w:ascii="宋体" w:hAnsi="宋体" w:cs="宋体"/>
                <w:color w:val="000000"/>
                <w:kern w:val="0"/>
                <w:szCs w:val="21"/>
              </w:rPr>
              <w:t>6310</w:t>
            </w:r>
            <w:r>
              <w:rPr>
                <w:rFonts w:ascii="宋体" w:hAnsi="宋体" w:cs="宋体"/>
                <w:color w:val="000000"/>
                <w:kern w:val="0"/>
                <w:szCs w:val="21"/>
              </w:rPr>
              <w:t xml:space="preserve"> m</w:t>
            </w:r>
            <w:r>
              <w:rPr>
                <w:rFonts w:ascii="宋体" w:hAnsi="宋体" w:cs="宋体"/>
                <w:color w:val="000000"/>
                <w:kern w:val="0"/>
                <w:szCs w:val="21"/>
                <w:vertAlign w:val="superscript"/>
              </w:rPr>
              <w:t>2</w:t>
            </w:r>
            <w:r>
              <w:rPr>
                <w:rFonts w:hint="eastAsia" w:ascii="宋体" w:hAnsi="宋体" w:cs="宋体"/>
                <w:color w:val="000000"/>
                <w:kern w:val="0"/>
                <w:szCs w:val="21"/>
              </w:rPr>
              <w:t>。在②区域料棚西侧增设</w:t>
            </w:r>
            <w:r>
              <w:rPr>
                <w:rFonts w:ascii="宋体" w:hAnsi="宋体" w:cs="宋体"/>
                <w:color w:val="000000"/>
                <w:kern w:val="0"/>
                <w:szCs w:val="21"/>
              </w:rPr>
              <w:t>2m</w:t>
            </w:r>
            <w:r>
              <w:rPr>
                <w:rFonts w:hint="eastAsia" w:ascii="宋体" w:hAnsi="宋体" w:cs="宋体"/>
                <w:color w:val="000000"/>
                <w:kern w:val="0"/>
                <w:szCs w:val="21"/>
              </w:rPr>
              <w:t>高的混凝土挡墙，用于挡料。</w:t>
            </w:r>
          </w:p>
        </w:tc>
        <w:tc>
          <w:tcPr>
            <w:tcW w:w="1267" w:type="dxa"/>
            <w:vAlign w:val="center"/>
          </w:tcPr>
          <w:p>
            <w:pPr>
              <w:pStyle w:val="66"/>
              <w:spacing w:before="93" w:after="93" w:line="240" w:lineRule="atLeast"/>
              <w:rPr>
                <w:szCs w:val="21"/>
              </w:rPr>
            </w:pPr>
            <w:r>
              <w:rPr>
                <w:rFonts w:hint="eastAsia" w:ascii="宋体" w:hAnsi="宋体" w:cs="宋体"/>
                <w:color w:val="000000"/>
                <w:szCs w:val="21"/>
              </w:rPr>
              <w:t>完成（与环评内容基本一致）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pStyle w:val="10"/>
              <w:adjustRightInd w:val="0"/>
              <w:snapToGrid w:val="0"/>
              <w:spacing w:line="240" w:lineRule="atLeast"/>
              <w:ind w:firstLine="0"/>
              <w:jc w:val="center"/>
              <w:rPr>
                <w:szCs w:val="21"/>
              </w:rPr>
            </w:pPr>
          </w:p>
        </w:tc>
        <w:tc>
          <w:tcPr>
            <w:tcW w:w="3194" w:type="dxa"/>
            <w:vAlign w:val="center"/>
          </w:tcPr>
          <w:p>
            <w:pPr>
              <w:adjustRightInd w:val="0"/>
              <w:snapToGrid w:val="0"/>
              <w:spacing w:line="240" w:lineRule="atLeast"/>
              <w:ind w:firstLine="420"/>
              <w:rPr>
                <w:szCs w:val="21"/>
              </w:rPr>
            </w:pPr>
            <w:r>
              <w:rPr>
                <w:rFonts w:hint="eastAsia" w:ascii="宋体" w:hAnsi="宋体" w:cs="宋体"/>
                <w:color w:val="000000"/>
                <w:kern w:val="0"/>
                <w:szCs w:val="21"/>
              </w:rPr>
              <w:t>三区料棚为双层柱面网壳钢结构在</w:t>
            </w:r>
            <w:r>
              <w:rPr>
                <w:rFonts w:ascii="宋体" w:hAnsi="宋体" w:cs="宋体"/>
                <w:color w:val="000000"/>
                <w:kern w:val="0"/>
                <w:szCs w:val="21"/>
              </w:rPr>
              <w:t>A</w:t>
            </w:r>
            <w:r>
              <w:rPr>
                <w:rFonts w:hint="eastAsia" w:ascii="宋体" w:hAnsi="宋体" w:cs="宋体"/>
                <w:color w:val="000000"/>
                <w:kern w:val="0"/>
                <w:szCs w:val="21"/>
              </w:rPr>
              <w:t>、</w:t>
            </w:r>
            <w:r>
              <w:rPr>
                <w:rFonts w:ascii="宋体" w:hAnsi="宋体" w:cs="宋体"/>
                <w:color w:val="000000"/>
                <w:kern w:val="0"/>
                <w:szCs w:val="21"/>
              </w:rPr>
              <w:t>B</w:t>
            </w:r>
            <w:r>
              <w:rPr>
                <w:rFonts w:hint="eastAsia" w:ascii="宋体" w:hAnsi="宋体" w:cs="宋体"/>
                <w:color w:val="000000"/>
                <w:kern w:val="0"/>
                <w:szCs w:val="21"/>
              </w:rPr>
              <w:t>料条的南端，长度约</w:t>
            </w:r>
            <w:r>
              <w:rPr>
                <w:rFonts w:ascii="宋体" w:hAnsi="宋体" w:cs="宋体"/>
                <w:color w:val="000000"/>
                <w:kern w:val="0"/>
                <w:szCs w:val="21"/>
              </w:rPr>
              <w:t>136m</w:t>
            </w:r>
            <w:r>
              <w:rPr>
                <w:rFonts w:hint="eastAsia" w:ascii="宋体" w:hAnsi="宋体" w:cs="宋体"/>
                <w:color w:val="000000"/>
                <w:kern w:val="0"/>
                <w:szCs w:val="21"/>
              </w:rPr>
              <w:t>，跨度约</w:t>
            </w:r>
            <w:r>
              <w:rPr>
                <w:rFonts w:ascii="宋体" w:hAnsi="宋体" w:cs="宋体"/>
                <w:color w:val="000000"/>
                <w:kern w:val="0"/>
                <w:szCs w:val="21"/>
              </w:rPr>
              <w:t>75m</w:t>
            </w:r>
            <w:r>
              <w:rPr>
                <w:rFonts w:hint="eastAsia" w:ascii="宋体" w:hAnsi="宋体" w:cs="宋体"/>
                <w:color w:val="000000"/>
                <w:kern w:val="0"/>
                <w:szCs w:val="21"/>
              </w:rPr>
              <w:t>，厂房屋脊高约</w:t>
            </w:r>
            <w:r>
              <w:rPr>
                <w:rFonts w:ascii="宋体" w:hAnsi="宋体" w:cs="宋体"/>
                <w:color w:val="000000"/>
                <w:kern w:val="0"/>
                <w:szCs w:val="21"/>
              </w:rPr>
              <w:t>45m</w:t>
            </w:r>
            <w:r>
              <w:rPr>
                <w:rFonts w:hint="eastAsia" w:ascii="宋体" w:hAnsi="宋体" w:cs="宋体"/>
                <w:color w:val="000000"/>
                <w:kern w:val="0"/>
                <w:szCs w:val="21"/>
              </w:rPr>
              <w:t>。与②区共用料棚跨间基础。面积11620</w:t>
            </w:r>
            <w:r>
              <w:rPr>
                <w:rFonts w:ascii="宋体" w:hAnsi="宋体" w:cs="宋体"/>
                <w:color w:val="000000"/>
                <w:kern w:val="0"/>
                <w:szCs w:val="21"/>
              </w:rPr>
              <w:t>m</w:t>
            </w:r>
            <w:r>
              <w:rPr>
                <w:rFonts w:ascii="宋体" w:hAnsi="宋体" w:cs="宋体"/>
                <w:color w:val="000000"/>
                <w:kern w:val="0"/>
                <w:szCs w:val="21"/>
                <w:vertAlign w:val="superscript"/>
              </w:rPr>
              <w:t>2</w:t>
            </w:r>
            <w:r>
              <w:rPr>
                <w:rFonts w:hint="eastAsia" w:ascii="宋体" w:hAnsi="宋体" w:cs="宋体"/>
                <w:color w:val="000000"/>
                <w:kern w:val="0"/>
                <w:szCs w:val="21"/>
              </w:rPr>
              <w:t>。</w:t>
            </w:r>
          </w:p>
        </w:tc>
        <w:tc>
          <w:tcPr>
            <w:tcW w:w="3156" w:type="dxa"/>
            <w:vAlign w:val="center"/>
          </w:tcPr>
          <w:p>
            <w:pPr>
              <w:adjustRightInd w:val="0"/>
              <w:snapToGrid w:val="0"/>
              <w:spacing w:line="240" w:lineRule="atLeast"/>
              <w:ind w:firstLine="420"/>
              <w:rPr>
                <w:rFonts w:ascii="宋体" w:hAnsi="宋体" w:cs="Times New Roman"/>
                <w:color w:val="000000"/>
                <w:kern w:val="0"/>
                <w:szCs w:val="21"/>
              </w:rPr>
            </w:pPr>
            <w:r>
              <w:rPr>
                <w:rFonts w:hint="eastAsia" w:ascii="宋体" w:hAnsi="宋体" w:cs="宋体"/>
                <w:color w:val="000000"/>
                <w:kern w:val="0"/>
                <w:szCs w:val="21"/>
              </w:rPr>
              <w:t>三区料棚采用</w:t>
            </w:r>
            <w:r>
              <w:rPr>
                <w:rFonts w:hint="eastAsia" w:ascii="宋体" w:hAnsi="宋体" w:cs="宋体"/>
                <w:color w:val="000000"/>
                <w:kern w:val="0"/>
              </w:rPr>
              <w:t>双层柱面网壳钢结构形式进行封闭</w:t>
            </w:r>
            <w:r>
              <w:rPr>
                <w:rFonts w:hint="eastAsia" w:ascii="宋体" w:hAnsi="宋体" w:cs="宋体"/>
                <w:color w:val="000000"/>
                <w:kern w:val="0"/>
                <w:szCs w:val="21"/>
              </w:rPr>
              <w:t>，长度约</w:t>
            </w:r>
            <w:r>
              <w:rPr>
                <w:rFonts w:ascii="宋体" w:hAnsi="宋体" w:cs="宋体"/>
                <w:color w:val="000000"/>
                <w:kern w:val="0"/>
                <w:szCs w:val="21"/>
              </w:rPr>
              <w:t>13</w:t>
            </w:r>
            <w:r>
              <w:rPr>
                <w:rFonts w:hint="eastAsia" w:ascii="宋体" w:hAnsi="宋体" w:cs="宋体"/>
                <w:color w:val="000000"/>
                <w:kern w:val="0"/>
                <w:szCs w:val="21"/>
              </w:rPr>
              <w:t>1</w:t>
            </w:r>
            <w:r>
              <w:rPr>
                <w:rFonts w:ascii="宋体" w:hAnsi="宋体" w:cs="宋体"/>
                <w:color w:val="000000"/>
                <w:kern w:val="0"/>
                <w:szCs w:val="21"/>
              </w:rPr>
              <w:t>m</w:t>
            </w:r>
            <w:r>
              <w:rPr>
                <w:rFonts w:hint="eastAsia" w:ascii="宋体" w:hAnsi="宋体" w:cs="宋体"/>
                <w:color w:val="000000"/>
                <w:kern w:val="0"/>
                <w:szCs w:val="21"/>
              </w:rPr>
              <w:t>，跨度约82.3</w:t>
            </w:r>
            <w:r>
              <w:rPr>
                <w:rFonts w:ascii="宋体" w:hAnsi="宋体" w:cs="宋体"/>
                <w:color w:val="000000"/>
                <w:kern w:val="0"/>
                <w:szCs w:val="21"/>
              </w:rPr>
              <w:t>m</w:t>
            </w:r>
            <w:r>
              <w:rPr>
                <w:rFonts w:hint="eastAsia" w:ascii="宋体" w:hAnsi="宋体" w:cs="宋体"/>
                <w:color w:val="000000"/>
                <w:kern w:val="0"/>
                <w:szCs w:val="21"/>
              </w:rPr>
              <w:t>，厂房屋脊高约32.3</w:t>
            </w:r>
            <w:r>
              <w:rPr>
                <w:rFonts w:ascii="宋体" w:hAnsi="宋体" w:cs="宋体"/>
                <w:color w:val="000000"/>
                <w:kern w:val="0"/>
                <w:szCs w:val="21"/>
              </w:rPr>
              <w:t>m</w:t>
            </w:r>
            <w:r>
              <w:rPr>
                <w:rFonts w:hint="eastAsia" w:ascii="宋体" w:hAnsi="宋体" w:cs="宋体"/>
                <w:color w:val="000000"/>
                <w:kern w:val="0"/>
                <w:szCs w:val="21"/>
              </w:rPr>
              <w:t>。与②区共用料棚跨间基础。面积</w:t>
            </w:r>
            <w:r>
              <w:rPr>
                <w:rFonts w:ascii="宋体" w:hAnsi="宋体" w:cs="宋体"/>
                <w:color w:val="000000"/>
                <w:kern w:val="0"/>
                <w:szCs w:val="21"/>
              </w:rPr>
              <w:t>1</w:t>
            </w:r>
            <w:r>
              <w:rPr>
                <w:rFonts w:hint="eastAsia" w:ascii="宋体" w:hAnsi="宋体" w:cs="宋体"/>
                <w:color w:val="000000"/>
                <w:kern w:val="0"/>
                <w:szCs w:val="21"/>
              </w:rPr>
              <w:t>0781</w:t>
            </w:r>
            <w:r>
              <w:rPr>
                <w:rFonts w:ascii="宋体" w:hAnsi="宋体" w:cs="宋体"/>
                <w:color w:val="000000"/>
                <w:kern w:val="0"/>
                <w:szCs w:val="21"/>
              </w:rPr>
              <w:t xml:space="preserve"> m</w:t>
            </w:r>
            <w:r>
              <w:rPr>
                <w:rFonts w:ascii="宋体" w:hAnsi="宋体" w:cs="宋体"/>
                <w:color w:val="000000"/>
                <w:kern w:val="0"/>
                <w:szCs w:val="21"/>
                <w:vertAlign w:val="superscript"/>
              </w:rPr>
              <w:t>2</w:t>
            </w:r>
            <w:r>
              <w:rPr>
                <w:rFonts w:hint="eastAsia" w:ascii="宋体" w:hAnsi="宋体" w:cs="宋体"/>
                <w:color w:val="000000"/>
                <w:kern w:val="0"/>
                <w:szCs w:val="21"/>
              </w:rPr>
              <w:t>。</w:t>
            </w:r>
          </w:p>
          <w:p>
            <w:pPr>
              <w:pStyle w:val="66"/>
              <w:spacing w:before="93" w:after="93" w:line="240" w:lineRule="atLeast"/>
              <w:jc w:val="both"/>
              <w:rPr>
                <w:szCs w:val="21"/>
              </w:rPr>
            </w:pPr>
            <w:r>
              <w:rPr>
                <w:rFonts w:hint="eastAsia" w:ascii="宋体" w:hAnsi="宋体" w:cs="宋体"/>
                <w:color w:val="000000"/>
                <w:szCs w:val="21"/>
              </w:rPr>
              <w:t>在③区域料棚东西两侧下部增设</w:t>
            </w:r>
            <w:r>
              <w:rPr>
                <w:rFonts w:ascii="宋体" w:hAnsi="宋体" w:cs="宋体"/>
                <w:color w:val="000000"/>
                <w:szCs w:val="21"/>
              </w:rPr>
              <w:t>2m</w:t>
            </w:r>
            <w:r>
              <w:rPr>
                <w:rFonts w:hint="eastAsia" w:ascii="宋体" w:hAnsi="宋体" w:cs="宋体"/>
                <w:color w:val="000000"/>
                <w:szCs w:val="21"/>
              </w:rPr>
              <w:t>高的混凝土挡墙，用于挡料。</w:t>
            </w:r>
          </w:p>
        </w:tc>
        <w:tc>
          <w:tcPr>
            <w:tcW w:w="1267" w:type="dxa"/>
            <w:vAlign w:val="center"/>
          </w:tcPr>
          <w:p>
            <w:pPr>
              <w:pStyle w:val="66"/>
              <w:spacing w:before="93" w:after="93" w:line="240" w:lineRule="atLeast"/>
              <w:rPr>
                <w:szCs w:val="21"/>
              </w:rPr>
            </w:pPr>
            <w:r>
              <w:rPr>
                <w:rFonts w:hint="eastAsia" w:ascii="宋体" w:hAnsi="宋体" w:cs="宋体"/>
                <w:color w:val="000000"/>
                <w:szCs w:val="21"/>
              </w:rPr>
              <w:t>完成（与环评内容基本一致）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Align w:val="center"/>
          </w:tcPr>
          <w:p>
            <w:pPr>
              <w:pStyle w:val="10"/>
              <w:adjustRightInd w:val="0"/>
              <w:snapToGrid w:val="0"/>
              <w:spacing w:line="240" w:lineRule="atLeast"/>
              <w:ind w:firstLine="0"/>
              <w:jc w:val="center"/>
              <w:rPr>
                <w:szCs w:val="21"/>
              </w:rPr>
            </w:pPr>
            <w:r>
              <w:rPr>
                <w:rFonts w:hint="eastAsia" w:ascii="宋体"/>
                <w:color w:val="000000"/>
                <w:szCs w:val="21"/>
              </w:rPr>
              <w:t>配套工程</w:t>
            </w:r>
            <w:r>
              <w:rPr>
                <w:rFonts w:hint="eastAsia"/>
                <w:szCs w:val="21"/>
              </w:rPr>
              <w:t>（</w:t>
            </w:r>
            <w:r>
              <w:rPr>
                <w:rFonts w:hint="eastAsia" w:ascii="宋体" w:hAnsi="宋体" w:cs="宋体"/>
                <w:color w:val="000000"/>
                <w:szCs w:val="21"/>
              </w:rPr>
              <w:t>一次料场）</w:t>
            </w:r>
          </w:p>
        </w:tc>
        <w:tc>
          <w:tcPr>
            <w:tcW w:w="3194" w:type="dxa"/>
            <w:vAlign w:val="center"/>
          </w:tcPr>
          <w:p>
            <w:pPr>
              <w:adjustRightInd w:val="0"/>
              <w:snapToGrid w:val="0"/>
              <w:spacing w:line="240" w:lineRule="atLeast"/>
              <w:ind w:firstLine="199" w:firstLineChars="95"/>
              <w:jc w:val="center"/>
              <w:rPr>
                <w:szCs w:val="21"/>
              </w:rPr>
            </w:pPr>
            <w:r>
              <w:rPr>
                <w:rFonts w:hint="eastAsia" w:ascii="宋体" w:hAnsi="宋体" w:cs="宋体"/>
                <w:color w:val="000000"/>
                <w:kern w:val="0"/>
                <w:szCs w:val="21"/>
              </w:rPr>
              <w:t>料棚山墙部分封闭。</w:t>
            </w:r>
          </w:p>
        </w:tc>
        <w:tc>
          <w:tcPr>
            <w:tcW w:w="3156" w:type="dxa"/>
            <w:vAlign w:val="center"/>
          </w:tcPr>
          <w:p>
            <w:pPr>
              <w:adjustRightInd w:val="0"/>
              <w:snapToGrid w:val="0"/>
              <w:spacing w:line="240" w:lineRule="atLeast"/>
              <w:ind w:firstLine="420"/>
              <w:rPr>
                <w:szCs w:val="21"/>
              </w:rPr>
            </w:pPr>
            <w:r>
              <w:rPr>
                <w:rFonts w:hint="eastAsia" w:ascii="宋体" w:hAnsi="宋体" w:cs="宋体"/>
                <w:color w:val="000000"/>
                <w:kern w:val="0"/>
                <w:szCs w:val="21"/>
              </w:rPr>
              <w:t>在一区料棚</w:t>
            </w:r>
            <w:r>
              <w:rPr>
                <w:rFonts w:hint="eastAsia" w:ascii="宋体" w:hAnsi="宋体" w:cs="宋体"/>
                <w:color w:val="000000"/>
                <w:szCs w:val="21"/>
              </w:rPr>
              <w:t>北端采用</w:t>
            </w:r>
            <w:r>
              <w:rPr>
                <w:rFonts w:hint="eastAsia" w:ascii="宋体" w:hAnsi="宋体"/>
                <w:szCs w:val="21"/>
              </w:rPr>
              <w:t>采用半球型网架结构进行山墙全封闭，在</w:t>
            </w:r>
            <w:r>
              <w:rPr>
                <w:rFonts w:hint="eastAsia" w:ascii="宋体" w:hAnsi="宋体" w:cs="宋体"/>
                <w:color w:val="000000"/>
                <w:kern w:val="0"/>
                <w:szCs w:val="21"/>
              </w:rPr>
              <w:t>二区料棚</w:t>
            </w:r>
            <w:r>
              <w:rPr>
                <w:rFonts w:hint="eastAsia" w:ascii="宋体" w:hAnsi="宋体"/>
                <w:szCs w:val="21"/>
              </w:rPr>
              <w:t>南端采用直立山墙进</w:t>
            </w:r>
            <w:r>
              <w:rPr>
                <w:rFonts w:hint="eastAsia" w:ascii="宋体" w:hAnsi="宋体" w:cs="宋体"/>
                <w:color w:val="000000"/>
                <w:kern w:val="0"/>
                <w:szCs w:val="21"/>
              </w:rPr>
              <w:t>行全封闭，</w:t>
            </w:r>
            <w:r>
              <w:rPr>
                <w:rFonts w:hint="eastAsia" w:ascii="宋体" w:hAnsi="宋体"/>
                <w:szCs w:val="21"/>
              </w:rPr>
              <w:t>在</w:t>
            </w:r>
            <w:r>
              <w:rPr>
                <w:rFonts w:hint="eastAsia" w:ascii="宋体" w:hAnsi="宋体" w:cs="宋体"/>
                <w:color w:val="000000"/>
                <w:kern w:val="0"/>
                <w:szCs w:val="21"/>
              </w:rPr>
              <w:t>三区料棚</w:t>
            </w:r>
            <w:r>
              <w:rPr>
                <w:rFonts w:hint="eastAsia" w:ascii="宋体" w:hAnsi="宋体"/>
                <w:szCs w:val="21"/>
              </w:rPr>
              <w:t>南端也采用直立山墙进行了封闭</w:t>
            </w:r>
          </w:p>
        </w:tc>
        <w:tc>
          <w:tcPr>
            <w:tcW w:w="1267" w:type="dxa"/>
            <w:vAlign w:val="center"/>
          </w:tcPr>
          <w:p>
            <w:pPr>
              <w:pStyle w:val="66"/>
              <w:spacing w:before="93" w:after="93" w:line="240" w:lineRule="atLeast"/>
              <w:rPr>
                <w:szCs w:val="21"/>
              </w:rPr>
            </w:pPr>
            <w:r>
              <w:rPr>
                <w:rFonts w:hint="eastAsia" w:ascii="宋体" w:hAnsi="宋体" w:cs="宋体"/>
                <w:color w:val="000000"/>
                <w:szCs w:val="21"/>
              </w:rPr>
              <w:t>完成（与环评内容一致）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4" w:hRule="atLeast"/>
        </w:trPr>
        <w:tc>
          <w:tcPr>
            <w:tcW w:w="1422" w:type="dxa"/>
            <w:vAlign w:val="center"/>
          </w:tcPr>
          <w:p>
            <w:pPr>
              <w:widowControl/>
              <w:adjustRightInd w:val="0"/>
              <w:snapToGrid w:val="0"/>
              <w:spacing w:line="240" w:lineRule="atLeast"/>
              <w:jc w:val="left"/>
              <w:rPr>
                <w:rFonts w:ascii="Times New Roman" w:hAnsi="Times New Roman" w:cs="Times New Roman"/>
                <w:szCs w:val="21"/>
              </w:rPr>
            </w:pPr>
            <w:r>
              <w:rPr>
                <w:rFonts w:hint="eastAsia"/>
                <w:color w:val="000000"/>
                <w:szCs w:val="21"/>
              </w:rPr>
              <w:t>辅助工程（</w:t>
            </w:r>
            <w:r>
              <w:rPr>
                <w:rFonts w:hint="eastAsia" w:ascii="宋体" w:hAnsi="宋体" w:cs="宋体"/>
                <w:color w:val="000000"/>
                <w:kern w:val="0"/>
                <w:szCs w:val="21"/>
              </w:rPr>
              <w:t>照明工程）</w:t>
            </w:r>
          </w:p>
        </w:tc>
        <w:tc>
          <w:tcPr>
            <w:tcW w:w="3194" w:type="dxa"/>
            <w:vAlign w:val="center"/>
          </w:tcPr>
          <w:p>
            <w:pPr>
              <w:adjustRightInd w:val="0"/>
              <w:snapToGrid w:val="0"/>
              <w:spacing w:line="240" w:lineRule="atLeast"/>
              <w:jc w:val="center"/>
              <w:rPr>
                <w:rFonts w:ascii="Times New Roman" w:cs="Times New Roman"/>
                <w:color w:val="000000"/>
                <w:kern w:val="0"/>
                <w:szCs w:val="21"/>
              </w:rPr>
            </w:pPr>
            <w:r>
              <w:rPr>
                <w:rFonts w:hint="eastAsia" w:cs="宋体"/>
                <w:color w:val="000000"/>
                <w:szCs w:val="21"/>
              </w:rPr>
              <w:t>/</w:t>
            </w:r>
          </w:p>
        </w:tc>
        <w:tc>
          <w:tcPr>
            <w:tcW w:w="3156" w:type="dxa"/>
            <w:vAlign w:val="center"/>
          </w:tcPr>
          <w:p>
            <w:pPr>
              <w:pStyle w:val="66"/>
              <w:spacing w:beforeLines="0" w:afterLines="0" w:line="240" w:lineRule="atLeast"/>
              <w:rPr>
                <w:color w:val="000000"/>
                <w:szCs w:val="21"/>
              </w:rPr>
            </w:pPr>
            <w:r>
              <w:rPr>
                <w:rFonts w:hint="eastAsia"/>
                <w:color w:val="000000"/>
                <w:szCs w:val="21"/>
              </w:rPr>
              <w:t>/</w:t>
            </w:r>
          </w:p>
        </w:tc>
        <w:tc>
          <w:tcPr>
            <w:tcW w:w="1267" w:type="dxa"/>
            <w:vAlign w:val="center"/>
          </w:tcPr>
          <w:p>
            <w:pPr>
              <w:pStyle w:val="66"/>
              <w:spacing w:beforeLines="0" w:afterLines="0" w:line="240" w:lineRule="atLeast"/>
              <w:rPr>
                <w:color w:val="000000"/>
                <w:szCs w:val="21"/>
              </w:rPr>
            </w:pPr>
            <w:r>
              <w:rPr>
                <w:rFonts w:hint="eastAsia" w:ascii="宋体" w:hAnsi="宋体" w:cs="宋体"/>
                <w:color w:val="000000"/>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restart"/>
            <w:vAlign w:val="center"/>
          </w:tcPr>
          <w:p>
            <w:pPr>
              <w:pStyle w:val="10"/>
              <w:adjustRightInd w:val="0"/>
              <w:snapToGrid w:val="0"/>
              <w:spacing w:line="240" w:lineRule="atLeast"/>
              <w:ind w:firstLine="0"/>
              <w:jc w:val="center"/>
              <w:rPr>
                <w:szCs w:val="21"/>
              </w:rPr>
            </w:pPr>
            <w:r>
              <w:rPr>
                <w:rFonts w:hint="eastAsia" w:ascii="宋体" w:hAnsi="宋体" w:cs="宋体"/>
                <w:color w:val="000000"/>
                <w:szCs w:val="21"/>
              </w:rPr>
              <w:t>公用工程</w:t>
            </w:r>
          </w:p>
        </w:tc>
        <w:tc>
          <w:tcPr>
            <w:tcW w:w="3194" w:type="dxa"/>
            <w:vAlign w:val="center"/>
          </w:tcPr>
          <w:p>
            <w:pPr>
              <w:pStyle w:val="66"/>
              <w:spacing w:beforeLines="0" w:afterLines="0" w:line="240" w:lineRule="atLeast"/>
              <w:rPr>
                <w:szCs w:val="21"/>
              </w:rPr>
            </w:pPr>
            <w:r>
              <w:rPr>
                <w:rFonts w:hint="eastAsia" w:ascii="宋体" w:hAnsi="宋体" w:cs="宋体"/>
                <w:color w:val="000000"/>
                <w:szCs w:val="21"/>
              </w:rPr>
              <w:t>供电</w:t>
            </w:r>
            <w:r>
              <w:rPr>
                <w:rFonts w:hint="eastAsia" w:cs="宋体"/>
                <w:color w:val="000000"/>
                <w:szCs w:val="21"/>
              </w:rPr>
              <w:t>利用太钢原有公用工程</w:t>
            </w:r>
          </w:p>
        </w:tc>
        <w:tc>
          <w:tcPr>
            <w:tcW w:w="3156" w:type="dxa"/>
            <w:vAlign w:val="center"/>
          </w:tcPr>
          <w:p>
            <w:pPr>
              <w:pStyle w:val="66"/>
              <w:spacing w:beforeLines="0" w:afterLines="0" w:line="240" w:lineRule="atLeast"/>
              <w:rPr>
                <w:szCs w:val="21"/>
              </w:rPr>
            </w:pPr>
            <w:r>
              <w:rPr>
                <w:rFonts w:hint="eastAsia" w:ascii="宋体" w:hAnsi="宋体" w:cs="宋体"/>
                <w:color w:val="000000"/>
                <w:szCs w:val="21"/>
              </w:rPr>
              <w:t>供电</w:t>
            </w:r>
            <w:r>
              <w:rPr>
                <w:rFonts w:hint="eastAsia" w:cs="宋体"/>
                <w:color w:val="000000"/>
                <w:szCs w:val="21"/>
              </w:rPr>
              <w:t>利用太钢原有公用工程</w:t>
            </w:r>
          </w:p>
        </w:tc>
        <w:tc>
          <w:tcPr>
            <w:tcW w:w="1267" w:type="dxa"/>
            <w:vAlign w:val="center"/>
          </w:tcPr>
          <w:p>
            <w:pPr>
              <w:pStyle w:val="66"/>
              <w:spacing w:beforeLines="0" w:afterLines="0" w:line="240" w:lineRule="atLeast"/>
              <w:rPr>
                <w:szCs w:val="21"/>
              </w:rPr>
            </w:pPr>
            <w:r>
              <w:rPr>
                <w:rFonts w:hint="eastAsia" w:ascii="宋体" w:hAnsi="宋体" w:cs="宋体"/>
                <w:color w:val="000000"/>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widowControl/>
              <w:adjustRightInd w:val="0"/>
              <w:snapToGrid w:val="0"/>
              <w:spacing w:line="240" w:lineRule="atLeast"/>
              <w:jc w:val="left"/>
              <w:rPr>
                <w:rFonts w:ascii="Times New Roman" w:hAnsi="Times New Roman" w:cs="Times New Roman"/>
                <w:szCs w:val="21"/>
              </w:rPr>
            </w:pPr>
          </w:p>
        </w:tc>
        <w:tc>
          <w:tcPr>
            <w:tcW w:w="3194" w:type="dxa"/>
            <w:vAlign w:val="center"/>
          </w:tcPr>
          <w:p>
            <w:pPr>
              <w:pStyle w:val="66"/>
              <w:spacing w:beforeLines="0" w:afterLines="0" w:line="240" w:lineRule="atLeast"/>
              <w:rPr>
                <w:szCs w:val="21"/>
              </w:rPr>
            </w:pPr>
            <w:r>
              <w:rPr>
                <w:rFonts w:hint="eastAsia" w:ascii="宋体" w:hAnsi="宋体" w:cs="宋体"/>
                <w:color w:val="000000"/>
                <w:szCs w:val="21"/>
              </w:rPr>
              <w:t>供水</w:t>
            </w:r>
            <w:r>
              <w:rPr>
                <w:rFonts w:hint="eastAsia" w:cs="宋体"/>
                <w:color w:val="000000"/>
                <w:szCs w:val="21"/>
              </w:rPr>
              <w:t>利用太钢原有公用工程</w:t>
            </w:r>
          </w:p>
        </w:tc>
        <w:tc>
          <w:tcPr>
            <w:tcW w:w="3156" w:type="dxa"/>
            <w:vAlign w:val="center"/>
          </w:tcPr>
          <w:p>
            <w:pPr>
              <w:pStyle w:val="66"/>
              <w:spacing w:beforeLines="0" w:afterLines="0" w:line="240" w:lineRule="atLeast"/>
              <w:rPr>
                <w:szCs w:val="21"/>
              </w:rPr>
            </w:pPr>
            <w:r>
              <w:rPr>
                <w:rFonts w:hint="eastAsia" w:ascii="宋体" w:hAnsi="宋体" w:cs="宋体"/>
                <w:color w:val="000000"/>
                <w:szCs w:val="21"/>
              </w:rPr>
              <w:t>供水</w:t>
            </w:r>
            <w:r>
              <w:rPr>
                <w:rFonts w:hint="eastAsia" w:cs="宋体"/>
                <w:color w:val="000000"/>
                <w:szCs w:val="21"/>
              </w:rPr>
              <w:t>利用太钢原有公用工程</w:t>
            </w:r>
          </w:p>
        </w:tc>
        <w:tc>
          <w:tcPr>
            <w:tcW w:w="1267" w:type="dxa"/>
            <w:vAlign w:val="center"/>
          </w:tcPr>
          <w:p>
            <w:pPr>
              <w:pStyle w:val="66"/>
              <w:spacing w:beforeLines="0" w:afterLines="0" w:line="240" w:lineRule="atLeast"/>
              <w:rPr>
                <w:szCs w:val="21"/>
              </w:rPr>
            </w:pPr>
            <w:r>
              <w:rPr>
                <w:rFonts w:hint="eastAsia" w:ascii="宋体" w:hAnsi="宋体" w:cs="宋体"/>
                <w:color w:val="000000"/>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widowControl/>
              <w:adjustRightInd w:val="0"/>
              <w:snapToGrid w:val="0"/>
              <w:spacing w:line="240" w:lineRule="atLeast"/>
              <w:jc w:val="left"/>
              <w:rPr>
                <w:rFonts w:ascii="Times New Roman" w:hAnsi="Times New Roman" w:cs="Times New Roman"/>
                <w:szCs w:val="21"/>
              </w:rPr>
            </w:pPr>
          </w:p>
        </w:tc>
        <w:tc>
          <w:tcPr>
            <w:tcW w:w="3194" w:type="dxa"/>
            <w:vAlign w:val="center"/>
          </w:tcPr>
          <w:p>
            <w:pPr>
              <w:pStyle w:val="66"/>
              <w:spacing w:beforeLines="0" w:afterLines="0" w:line="240" w:lineRule="atLeast"/>
              <w:rPr>
                <w:szCs w:val="21"/>
              </w:rPr>
            </w:pPr>
            <w:r>
              <w:rPr>
                <w:rFonts w:hint="eastAsia" w:ascii="宋体" w:hAnsi="宋体" w:cs="宋体"/>
                <w:color w:val="000000"/>
                <w:szCs w:val="21"/>
              </w:rPr>
              <w:t>供暖</w:t>
            </w:r>
            <w:r>
              <w:rPr>
                <w:rFonts w:hint="eastAsia" w:cs="宋体"/>
                <w:color w:val="000000"/>
                <w:szCs w:val="21"/>
              </w:rPr>
              <w:t>利用太钢原有公用工程</w:t>
            </w:r>
          </w:p>
        </w:tc>
        <w:tc>
          <w:tcPr>
            <w:tcW w:w="3156" w:type="dxa"/>
            <w:vAlign w:val="center"/>
          </w:tcPr>
          <w:p>
            <w:pPr>
              <w:pStyle w:val="66"/>
              <w:spacing w:beforeLines="0" w:afterLines="0" w:line="240" w:lineRule="atLeast"/>
              <w:rPr>
                <w:szCs w:val="21"/>
              </w:rPr>
            </w:pPr>
            <w:r>
              <w:rPr>
                <w:rFonts w:hint="eastAsia" w:ascii="宋体" w:hAnsi="宋体" w:cs="宋体"/>
                <w:color w:val="000000"/>
                <w:szCs w:val="21"/>
              </w:rPr>
              <w:t>供暖</w:t>
            </w:r>
            <w:r>
              <w:rPr>
                <w:rFonts w:hint="eastAsia" w:cs="宋体"/>
                <w:color w:val="000000"/>
                <w:szCs w:val="21"/>
              </w:rPr>
              <w:t>利用太钢原有公用工程</w:t>
            </w:r>
          </w:p>
        </w:tc>
        <w:tc>
          <w:tcPr>
            <w:tcW w:w="1267" w:type="dxa"/>
            <w:vAlign w:val="center"/>
          </w:tcPr>
          <w:p>
            <w:pPr>
              <w:pStyle w:val="66"/>
              <w:spacing w:beforeLines="0" w:afterLines="0" w:line="240" w:lineRule="atLeast"/>
              <w:rPr>
                <w:szCs w:val="21"/>
              </w:rPr>
            </w:pPr>
            <w:r>
              <w:rPr>
                <w:rFonts w:hint="eastAsia" w:cs="宋体"/>
                <w:color w:val="000000"/>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widowControl/>
              <w:adjustRightInd w:val="0"/>
              <w:snapToGrid w:val="0"/>
              <w:spacing w:line="240" w:lineRule="atLeast"/>
              <w:jc w:val="left"/>
              <w:rPr>
                <w:rFonts w:ascii="Times New Roman" w:hAnsi="Times New Roman" w:cs="Times New Roman"/>
                <w:szCs w:val="21"/>
              </w:rPr>
            </w:pPr>
          </w:p>
        </w:tc>
        <w:tc>
          <w:tcPr>
            <w:tcW w:w="3194" w:type="dxa"/>
            <w:vAlign w:val="center"/>
          </w:tcPr>
          <w:p>
            <w:pPr>
              <w:pStyle w:val="66"/>
              <w:spacing w:beforeLines="0" w:afterLines="0" w:line="240" w:lineRule="atLeast"/>
              <w:rPr>
                <w:szCs w:val="21"/>
              </w:rPr>
            </w:pPr>
            <w:r>
              <w:rPr>
                <w:rFonts w:hint="eastAsia" w:ascii="宋体" w:hAnsi="宋体" w:cs="宋体"/>
                <w:color w:val="000000"/>
                <w:szCs w:val="21"/>
              </w:rPr>
              <w:t>运输扬尘环评无要求</w:t>
            </w:r>
          </w:p>
        </w:tc>
        <w:tc>
          <w:tcPr>
            <w:tcW w:w="3156" w:type="dxa"/>
            <w:vAlign w:val="center"/>
          </w:tcPr>
          <w:p>
            <w:pPr>
              <w:pStyle w:val="66"/>
              <w:spacing w:beforeLines="0" w:afterLines="0" w:line="240" w:lineRule="atLeast"/>
              <w:rPr>
                <w:szCs w:val="21"/>
              </w:rPr>
            </w:pPr>
            <w:r>
              <w:rPr>
                <w:rFonts w:hint="eastAsia" w:ascii="宋体" w:hAnsi="宋体" w:cs="宋体"/>
                <w:color w:val="000000"/>
                <w:spacing w:val="6"/>
                <w:szCs w:val="21"/>
              </w:rPr>
              <w:t>设置了车辆清洗平台，运输车辆出厂时清洗轮胎和车身，封闭运输</w:t>
            </w:r>
          </w:p>
        </w:tc>
        <w:tc>
          <w:tcPr>
            <w:tcW w:w="1267" w:type="dxa"/>
            <w:vAlign w:val="center"/>
          </w:tcPr>
          <w:p>
            <w:pPr>
              <w:pStyle w:val="66"/>
              <w:spacing w:beforeLines="0" w:afterLines="0" w:line="240" w:lineRule="atLeast"/>
              <w:rPr>
                <w:szCs w:val="21"/>
              </w:rPr>
            </w:pPr>
            <w:r>
              <w:rPr>
                <w:rFonts w:hint="eastAsia" w:ascii="宋体" w:hAnsi="宋体" w:cs="宋体"/>
                <w:color w:val="000000"/>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9" w:hRule="atLeast"/>
        </w:trPr>
        <w:tc>
          <w:tcPr>
            <w:tcW w:w="1422" w:type="dxa"/>
            <w:vMerge w:val="continue"/>
            <w:vAlign w:val="center"/>
          </w:tcPr>
          <w:p>
            <w:pPr>
              <w:widowControl/>
              <w:adjustRightInd w:val="0"/>
              <w:snapToGrid w:val="0"/>
              <w:spacing w:line="240" w:lineRule="atLeast"/>
              <w:jc w:val="left"/>
              <w:rPr>
                <w:rFonts w:ascii="Times New Roman" w:hAnsi="Times New Roman" w:cs="Times New Roman"/>
                <w:szCs w:val="21"/>
              </w:rPr>
            </w:pPr>
          </w:p>
        </w:tc>
        <w:tc>
          <w:tcPr>
            <w:tcW w:w="3194" w:type="dxa"/>
            <w:vAlign w:val="center"/>
          </w:tcPr>
          <w:p>
            <w:pPr>
              <w:pStyle w:val="66"/>
              <w:spacing w:beforeLines="0" w:afterLines="0" w:line="240" w:lineRule="atLeast"/>
              <w:rPr>
                <w:szCs w:val="21"/>
              </w:rPr>
            </w:pPr>
            <w:r>
              <w:rPr>
                <w:rFonts w:hint="eastAsia" w:ascii="宋体" w:hAnsi="宋体" w:cs="宋体"/>
                <w:color w:val="000000"/>
                <w:szCs w:val="21"/>
              </w:rPr>
              <w:t>一次料场装卸扬尘建设全封闭料棚，可抑尘</w:t>
            </w:r>
            <w:r>
              <w:rPr>
                <w:rFonts w:ascii="宋体" w:hAnsi="宋体" w:cs="宋体"/>
                <w:color w:val="000000"/>
                <w:szCs w:val="21"/>
              </w:rPr>
              <w:t>99%</w:t>
            </w:r>
            <w:r>
              <w:rPr>
                <w:rFonts w:hint="eastAsia" w:ascii="宋体" w:hAnsi="宋体" w:cs="宋体"/>
                <w:color w:val="000000"/>
                <w:szCs w:val="21"/>
              </w:rPr>
              <w:t>以上</w:t>
            </w:r>
          </w:p>
        </w:tc>
        <w:tc>
          <w:tcPr>
            <w:tcW w:w="3156" w:type="dxa"/>
            <w:vAlign w:val="center"/>
          </w:tcPr>
          <w:p>
            <w:pPr>
              <w:pStyle w:val="66"/>
              <w:spacing w:beforeLines="0" w:afterLines="0" w:line="240" w:lineRule="atLeast"/>
              <w:rPr>
                <w:szCs w:val="21"/>
              </w:rPr>
            </w:pPr>
            <w:r>
              <w:rPr>
                <w:rFonts w:hint="eastAsia" w:ascii="宋体" w:hAnsi="宋体" w:cs="宋体"/>
                <w:color w:val="000000"/>
                <w:szCs w:val="21"/>
              </w:rPr>
              <w:t>一次料场建设了全封闭料棚，喷淋洒水装置等利旧，经采取以上措施后，可抑尘</w:t>
            </w:r>
            <w:r>
              <w:rPr>
                <w:rFonts w:ascii="宋体" w:hAnsi="宋体" w:cs="宋体"/>
                <w:color w:val="000000"/>
                <w:szCs w:val="21"/>
              </w:rPr>
              <w:t>99%</w:t>
            </w:r>
            <w:r>
              <w:rPr>
                <w:rFonts w:hint="eastAsia" w:ascii="宋体" w:hAnsi="宋体" w:cs="宋体"/>
                <w:color w:val="000000"/>
                <w:szCs w:val="21"/>
              </w:rPr>
              <w:t>以上</w:t>
            </w:r>
          </w:p>
        </w:tc>
        <w:tc>
          <w:tcPr>
            <w:tcW w:w="1267" w:type="dxa"/>
            <w:vAlign w:val="center"/>
          </w:tcPr>
          <w:p>
            <w:pPr>
              <w:pStyle w:val="66"/>
              <w:spacing w:beforeLines="0" w:afterLines="0" w:line="240" w:lineRule="atLeast"/>
              <w:rPr>
                <w:szCs w:val="21"/>
              </w:rPr>
            </w:pPr>
            <w:r>
              <w:rPr>
                <w:rFonts w:hint="eastAsia" w:ascii="宋体" w:hAnsi="宋体" w:cs="宋体"/>
                <w:color w:val="000000"/>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widowControl/>
              <w:adjustRightInd w:val="0"/>
              <w:snapToGrid w:val="0"/>
              <w:spacing w:line="240" w:lineRule="atLeast"/>
              <w:jc w:val="left"/>
              <w:rPr>
                <w:rFonts w:ascii="Times New Roman" w:hAnsi="Times New Roman" w:cs="Times New Roman"/>
                <w:szCs w:val="21"/>
              </w:rPr>
            </w:pPr>
          </w:p>
        </w:tc>
        <w:tc>
          <w:tcPr>
            <w:tcW w:w="3194" w:type="dxa"/>
            <w:vAlign w:val="center"/>
          </w:tcPr>
          <w:p>
            <w:pPr>
              <w:pStyle w:val="66"/>
              <w:spacing w:beforeLines="0" w:afterLines="0" w:line="240" w:lineRule="atLeast"/>
              <w:jc w:val="both"/>
              <w:rPr>
                <w:szCs w:val="21"/>
              </w:rPr>
            </w:pPr>
            <w:r>
              <w:rPr>
                <w:rFonts w:hint="eastAsia" w:ascii="宋体" w:hAnsi="宋体" w:cs="宋体"/>
                <w:color w:val="000000"/>
                <w:szCs w:val="21"/>
              </w:rPr>
              <w:t>合理安排了车流，运输车辆限超限速，减速慢行，禁止鸣笛，装载位于封闭式原料场内，加强了机械设备保养</w:t>
            </w:r>
          </w:p>
        </w:tc>
        <w:tc>
          <w:tcPr>
            <w:tcW w:w="3156" w:type="dxa"/>
            <w:vAlign w:val="center"/>
          </w:tcPr>
          <w:p>
            <w:pPr>
              <w:pStyle w:val="66"/>
              <w:spacing w:beforeLines="0" w:afterLines="0" w:line="240" w:lineRule="atLeast"/>
              <w:rPr>
                <w:szCs w:val="21"/>
              </w:rPr>
            </w:pPr>
            <w:r>
              <w:rPr>
                <w:rFonts w:hint="eastAsia" w:ascii="宋体" w:hAnsi="宋体" w:cs="宋体"/>
                <w:color w:val="000000"/>
                <w:szCs w:val="21"/>
              </w:rPr>
              <w:t>合理安排了车流，运输车辆限超限速，减速慢行，禁止鸣笛，装载位于封闭式原料场内，加强了机械设备保养</w:t>
            </w:r>
          </w:p>
        </w:tc>
        <w:tc>
          <w:tcPr>
            <w:tcW w:w="1267" w:type="dxa"/>
            <w:vAlign w:val="top"/>
          </w:tcPr>
          <w:p>
            <w:pPr>
              <w:pStyle w:val="66"/>
              <w:spacing w:beforeLines="0" w:afterLines="0" w:line="240" w:lineRule="atLeast"/>
              <w:rPr>
                <w:szCs w:val="21"/>
              </w:rPr>
            </w:pPr>
            <w:r>
              <w:rPr>
                <w:rFonts w:hint="eastAsia" w:ascii="宋体" w:hAnsi="宋体" w:cs="宋体"/>
                <w:color w:val="000000"/>
                <w:szCs w:val="21"/>
              </w:rPr>
              <w:t>完成（与环评内容一致）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422" w:type="dxa"/>
            <w:vMerge w:val="continue"/>
            <w:vAlign w:val="center"/>
          </w:tcPr>
          <w:p>
            <w:pPr>
              <w:widowControl/>
              <w:adjustRightInd w:val="0"/>
              <w:snapToGrid w:val="0"/>
              <w:spacing w:line="240" w:lineRule="atLeast"/>
              <w:jc w:val="left"/>
              <w:rPr>
                <w:rFonts w:ascii="Times New Roman" w:hAnsi="Times New Roman" w:cs="Times New Roman"/>
                <w:szCs w:val="21"/>
              </w:rPr>
            </w:pPr>
          </w:p>
        </w:tc>
        <w:tc>
          <w:tcPr>
            <w:tcW w:w="3194" w:type="dxa"/>
            <w:vAlign w:val="center"/>
          </w:tcPr>
          <w:p>
            <w:pPr>
              <w:pStyle w:val="66"/>
              <w:spacing w:beforeLines="0" w:afterLines="0" w:line="240" w:lineRule="atLeast"/>
              <w:rPr>
                <w:szCs w:val="21"/>
              </w:rPr>
            </w:pPr>
            <w:r>
              <w:rPr>
                <w:rFonts w:hint="eastAsia" w:ascii="宋体" w:hAnsi="宋体" w:cs="宋体"/>
                <w:color w:val="000000"/>
                <w:szCs w:val="21"/>
              </w:rPr>
              <w:t>建设全封闭料棚，可抑尘</w:t>
            </w:r>
            <w:r>
              <w:rPr>
                <w:rFonts w:ascii="宋体" w:hAnsi="宋体" w:cs="宋体"/>
                <w:color w:val="000000"/>
                <w:szCs w:val="21"/>
              </w:rPr>
              <w:t>99%</w:t>
            </w:r>
            <w:r>
              <w:rPr>
                <w:rFonts w:hint="eastAsia" w:ascii="宋体" w:hAnsi="宋体" w:cs="宋体"/>
                <w:color w:val="000000"/>
                <w:szCs w:val="21"/>
              </w:rPr>
              <w:t>以上</w:t>
            </w:r>
          </w:p>
        </w:tc>
        <w:tc>
          <w:tcPr>
            <w:tcW w:w="3156" w:type="dxa"/>
            <w:vAlign w:val="center"/>
          </w:tcPr>
          <w:p>
            <w:pPr>
              <w:pStyle w:val="66"/>
              <w:spacing w:beforeLines="0" w:afterLines="0" w:line="240" w:lineRule="atLeast"/>
              <w:rPr>
                <w:szCs w:val="21"/>
              </w:rPr>
            </w:pPr>
            <w:r>
              <w:rPr>
                <w:rFonts w:hint="eastAsia" w:ascii="宋体" w:hAnsi="宋体" w:cs="宋体"/>
                <w:color w:val="000000"/>
                <w:szCs w:val="21"/>
              </w:rPr>
              <w:t>建设了全封闭料棚，喷淋洒水装置等利旧，经采取以上措施后，可抑尘</w:t>
            </w:r>
            <w:r>
              <w:rPr>
                <w:rFonts w:ascii="宋体" w:hAnsi="宋体" w:cs="宋体"/>
                <w:color w:val="000000"/>
                <w:szCs w:val="21"/>
              </w:rPr>
              <w:t>99%</w:t>
            </w:r>
            <w:r>
              <w:rPr>
                <w:rFonts w:hint="eastAsia" w:ascii="宋体" w:hAnsi="宋体" w:cs="宋体"/>
                <w:color w:val="000000"/>
                <w:szCs w:val="21"/>
              </w:rPr>
              <w:t>以上</w:t>
            </w:r>
          </w:p>
        </w:tc>
        <w:tc>
          <w:tcPr>
            <w:tcW w:w="1267" w:type="dxa"/>
            <w:vAlign w:val="center"/>
          </w:tcPr>
          <w:p>
            <w:pPr>
              <w:pStyle w:val="66"/>
              <w:spacing w:beforeLines="0" w:afterLines="0" w:line="240" w:lineRule="atLeast"/>
              <w:rPr>
                <w:szCs w:val="21"/>
              </w:rPr>
            </w:pPr>
            <w:r>
              <w:rPr>
                <w:rFonts w:hint="eastAsia" w:ascii="宋体" w:hAnsi="宋体" w:cs="宋体"/>
                <w:color w:val="000000"/>
                <w:szCs w:val="21"/>
              </w:rPr>
              <w:t>完成</w:t>
            </w:r>
          </w:p>
        </w:tc>
      </w:tr>
    </w:tbl>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（二）建设过程及环保审批情况</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1、项目环境影响报告表编制与审批情况</w:t>
      </w:r>
    </w:p>
    <w:p>
      <w:pPr>
        <w:autoSpaceDE w:val="0"/>
        <w:autoSpaceDN w:val="0"/>
        <w:snapToGrid w:val="0"/>
        <w:spacing w:line="5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山西清源环境咨询有限公司</w:t>
      </w:r>
      <w:r>
        <w:rPr>
          <w:rFonts w:ascii="Times New Roman" w:hAnsi="Times New Roman" w:cs="Times New Roman"/>
          <w:sz w:val="28"/>
          <w:szCs w:val="28"/>
        </w:rPr>
        <w:t>于2016</w:t>
      </w:r>
      <w:r>
        <w:rPr>
          <w:rFonts w:hint="eastAsia" w:ascii="Times New Roman" w:hAnsi="Times New Roman" w:cs="Times New Roman"/>
          <w:sz w:val="28"/>
          <w:szCs w:val="28"/>
        </w:rPr>
        <w:t>年</w:t>
      </w:r>
      <w:r>
        <w:rPr>
          <w:rFonts w:ascii="Times New Roman" w:hAnsi="Times New Roman" w:cs="Times New Roman"/>
          <w:sz w:val="28"/>
          <w:szCs w:val="28"/>
        </w:rPr>
        <w:t>12</w:t>
      </w:r>
      <w:r>
        <w:rPr>
          <w:rFonts w:hint="eastAsia" w:ascii="Times New Roman" w:hAnsi="Times New Roman" w:cs="Times New Roman"/>
          <w:sz w:val="28"/>
          <w:szCs w:val="28"/>
        </w:rPr>
        <w:t>月</w:t>
      </w:r>
      <w:r>
        <w:rPr>
          <w:rFonts w:ascii="Times New Roman" w:hAnsi="Times New Roman" w:cs="Times New Roman"/>
          <w:sz w:val="28"/>
          <w:szCs w:val="28"/>
        </w:rPr>
        <w:t>编制完成了《</w:t>
      </w:r>
      <w:r>
        <w:rPr>
          <w:rFonts w:hint="eastAsia" w:ascii="Times New Roman" w:hAnsi="Times New Roman" w:cs="Times New Roman"/>
          <w:sz w:val="28"/>
          <w:szCs w:val="28"/>
        </w:rPr>
        <w:t>山西太钢不锈钢股份有限公司原料场环保改造封闭项目</w:t>
      </w:r>
      <w:r>
        <w:rPr>
          <w:rFonts w:ascii="Times New Roman" w:hAnsi="Times New Roman" w:cs="Times New Roman"/>
          <w:sz w:val="28"/>
          <w:szCs w:val="28"/>
        </w:rPr>
        <w:t>环境影响报告表》。</w:t>
      </w:r>
      <w:r>
        <w:rPr>
          <w:rFonts w:hint="eastAsia" w:ascii="Times New Roman" w:hAnsi="Times New Roman" w:cs="Times New Roman"/>
          <w:sz w:val="28"/>
          <w:szCs w:val="28"/>
        </w:rPr>
        <w:t>太原市环境保护局尖草坪分局</w:t>
      </w:r>
      <w:r>
        <w:rPr>
          <w:rFonts w:ascii="Times New Roman" w:hAnsi="Times New Roman" w:cs="Times New Roman"/>
          <w:sz w:val="28"/>
          <w:szCs w:val="28"/>
        </w:rPr>
        <w:t>于201</w:t>
      </w:r>
      <w:r>
        <w:rPr>
          <w:rFonts w:hint="eastAsia" w:ascii="Times New Roman" w:hAnsi="Times New Roman" w:cs="Times New Roman"/>
          <w:sz w:val="28"/>
          <w:szCs w:val="28"/>
        </w:rPr>
        <w:t>7</w:t>
      </w:r>
      <w:r>
        <w:rPr>
          <w:rFonts w:ascii="Times New Roman" w:hAnsi="Times New Roman" w:cs="Times New Roman"/>
          <w:sz w:val="28"/>
          <w:szCs w:val="28"/>
        </w:rPr>
        <w:t>年</w:t>
      </w:r>
      <w:r>
        <w:rPr>
          <w:rFonts w:hint="eastAsia" w:ascii="Times New Roman" w:hAnsi="Times New Roman" w:cs="Times New Roman"/>
          <w:sz w:val="28"/>
          <w:szCs w:val="28"/>
        </w:rPr>
        <w:t>1</w:t>
      </w:r>
      <w:r>
        <w:rPr>
          <w:rFonts w:ascii="Times New Roman" w:hAnsi="Times New Roman" w:cs="Times New Roman"/>
          <w:sz w:val="28"/>
          <w:szCs w:val="28"/>
        </w:rPr>
        <w:t>月</w:t>
      </w:r>
      <w:r>
        <w:rPr>
          <w:rFonts w:hint="eastAsia" w:ascii="Times New Roman" w:hAnsi="Times New Roman" w:cs="Times New Roman"/>
          <w:sz w:val="28"/>
          <w:szCs w:val="28"/>
        </w:rPr>
        <w:t>6</w:t>
      </w:r>
      <w:r>
        <w:rPr>
          <w:rFonts w:ascii="Times New Roman" w:hAnsi="Times New Roman" w:cs="Times New Roman"/>
          <w:sz w:val="28"/>
          <w:szCs w:val="28"/>
        </w:rPr>
        <w:t>日以</w:t>
      </w:r>
      <w:r>
        <w:rPr>
          <w:rFonts w:hint="eastAsia" w:ascii="Times New Roman" w:hAnsi="Times New Roman" w:cs="Times New Roman"/>
          <w:sz w:val="28"/>
          <w:szCs w:val="28"/>
        </w:rPr>
        <w:t>并环尖审批</w:t>
      </w:r>
      <w:r>
        <w:rPr>
          <w:rFonts w:ascii="Times New Roman" w:hAnsi="Times New Roman" w:cs="Times New Roman"/>
          <w:sz w:val="28"/>
          <w:szCs w:val="28"/>
        </w:rPr>
        <w:t>[2017]</w:t>
      </w:r>
      <w:r>
        <w:rPr>
          <w:rFonts w:hint="eastAsia" w:ascii="Times New Roman" w:hAnsi="Times New Roman" w:cs="Times New Roman"/>
          <w:sz w:val="28"/>
          <w:szCs w:val="28"/>
        </w:rPr>
        <w:t>第</w:t>
      </w:r>
      <w:r>
        <w:rPr>
          <w:rFonts w:ascii="Times New Roman" w:hAnsi="Times New Roman" w:cs="Times New Roman"/>
          <w:sz w:val="28"/>
          <w:szCs w:val="28"/>
        </w:rPr>
        <w:t>001</w:t>
      </w:r>
      <w:r>
        <w:rPr>
          <w:rFonts w:hint="eastAsia" w:ascii="Times New Roman" w:hAnsi="Times New Roman" w:cs="Times New Roman"/>
          <w:sz w:val="28"/>
          <w:szCs w:val="28"/>
        </w:rPr>
        <w:t>号</w:t>
      </w:r>
      <w:r>
        <w:rPr>
          <w:rFonts w:ascii="Times New Roman" w:hAnsi="Times New Roman" w:cs="Times New Roman"/>
          <w:sz w:val="28"/>
          <w:szCs w:val="28"/>
        </w:rPr>
        <w:t>文对该项目环境影响报告表进行了批复。</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2、开工与竣工时间、调试运行时间</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项目于</w:t>
      </w:r>
      <w:r>
        <w:rPr>
          <w:rFonts w:hint="eastAsia" w:ascii="Times New Roman" w:hAnsi="Times New Roman" w:cs="Times New Roman"/>
          <w:sz w:val="28"/>
          <w:szCs w:val="28"/>
        </w:rPr>
        <w:t>2017年3月</w:t>
      </w:r>
      <w:r>
        <w:rPr>
          <w:rFonts w:ascii="Times New Roman" w:hAnsi="Times New Roman" w:cs="Times New Roman"/>
          <w:sz w:val="28"/>
          <w:szCs w:val="28"/>
        </w:rPr>
        <w:t>开工建设，于20</w:t>
      </w:r>
      <w:r>
        <w:rPr>
          <w:rFonts w:hint="eastAsia" w:ascii="Times New Roman" w:hAnsi="Times New Roman" w:cs="Times New Roman"/>
          <w:sz w:val="28"/>
          <w:szCs w:val="28"/>
        </w:rPr>
        <w:t>20</w:t>
      </w:r>
      <w:r>
        <w:rPr>
          <w:rFonts w:ascii="Times New Roman" w:hAnsi="Times New Roman" w:cs="Times New Roman"/>
          <w:sz w:val="28"/>
          <w:szCs w:val="28"/>
        </w:rPr>
        <w:t>年</w:t>
      </w:r>
      <w:r>
        <w:rPr>
          <w:rFonts w:hint="eastAsia" w:ascii="Times New Roman" w:hAnsi="Times New Roman" w:cs="Times New Roman"/>
          <w:sz w:val="28"/>
          <w:szCs w:val="28"/>
        </w:rPr>
        <w:t>12</w:t>
      </w:r>
      <w:r>
        <w:rPr>
          <w:rFonts w:ascii="Times New Roman" w:hAnsi="Times New Roman" w:cs="Times New Roman"/>
          <w:sz w:val="28"/>
          <w:szCs w:val="28"/>
        </w:rPr>
        <w:t>月竣工，</w:t>
      </w:r>
      <w:r>
        <w:rPr>
          <w:rFonts w:hint="eastAsia" w:ascii="Times New Roman" w:hAnsi="Times New Roman" w:cs="Times New Roman"/>
          <w:sz w:val="28"/>
          <w:szCs w:val="28"/>
        </w:rPr>
        <w:t>2020</w:t>
      </w:r>
      <w:r>
        <w:rPr>
          <w:rFonts w:ascii="Times New Roman" w:hAnsi="Times New Roman" w:cs="Times New Roman"/>
          <w:sz w:val="28"/>
          <w:szCs w:val="28"/>
        </w:rPr>
        <w:t>年</w:t>
      </w:r>
      <w:r>
        <w:rPr>
          <w:rFonts w:hint="eastAsia" w:ascii="Times New Roman" w:hAnsi="Times New Roman" w:cs="Times New Roman"/>
          <w:sz w:val="28"/>
          <w:szCs w:val="28"/>
        </w:rPr>
        <w:t>12</w:t>
      </w:r>
      <w:r>
        <w:rPr>
          <w:rFonts w:ascii="Times New Roman" w:hAnsi="Times New Roman" w:cs="Times New Roman"/>
          <w:sz w:val="28"/>
          <w:szCs w:val="28"/>
        </w:rPr>
        <w:t>月至</w:t>
      </w:r>
      <w:r>
        <w:rPr>
          <w:rFonts w:hint="eastAsia" w:ascii="Times New Roman" w:hAnsi="Times New Roman" w:cs="Times New Roman"/>
          <w:sz w:val="28"/>
          <w:szCs w:val="28"/>
        </w:rPr>
        <w:t>2021</w:t>
      </w:r>
      <w:r>
        <w:rPr>
          <w:rFonts w:ascii="Times New Roman" w:hAnsi="Times New Roman" w:cs="Times New Roman"/>
          <w:sz w:val="28"/>
          <w:szCs w:val="28"/>
        </w:rPr>
        <w:t>年</w:t>
      </w:r>
      <w:r>
        <w:rPr>
          <w:rFonts w:hint="eastAsia" w:ascii="Times New Roman" w:hAnsi="Times New Roman" w:cs="Times New Roman"/>
          <w:sz w:val="28"/>
          <w:szCs w:val="28"/>
        </w:rPr>
        <w:t>6</w:t>
      </w:r>
      <w:r>
        <w:rPr>
          <w:rFonts w:ascii="Times New Roman" w:hAnsi="Times New Roman" w:cs="Times New Roman"/>
          <w:sz w:val="28"/>
          <w:szCs w:val="28"/>
        </w:rPr>
        <w:t>月进行</w:t>
      </w:r>
      <w:r>
        <w:rPr>
          <w:rFonts w:hint="eastAsia" w:ascii="Times New Roman" w:hAnsi="Times New Roman" w:cs="Times New Roman"/>
          <w:sz w:val="28"/>
          <w:szCs w:val="28"/>
        </w:rPr>
        <w:t>试生产并进行环保设施调试。调试期间，委托山西太钢环境监测有限公司于2021</w:t>
      </w:r>
      <w:r>
        <w:rPr>
          <w:rFonts w:ascii="Times New Roman" w:hAnsi="Times New Roman" w:cs="Times New Roman"/>
          <w:sz w:val="28"/>
          <w:szCs w:val="28"/>
        </w:rPr>
        <w:t>年</w:t>
      </w:r>
      <w:r>
        <w:rPr>
          <w:rFonts w:hint="eastAsia" w:ascii="Times New Roman" w:hAnsi="Times New Roman" w:cs="Times New Roman"/>
          <w:sz w:val="28"/>
          <w:szCs w:val="28"/>
        </w:rPr>
        <w:t>1</w:t>
      </w:r>
      <w:r>
        <w:rPr>
          <w:rFonts w:ascii="Times New Roman" w:hAnsi="Times New Roman" w:cs="Times New Roman"/>
          <w:sz w:val="28"/>
          <w:szCs w:val="28"/>
        </w:rPr>
        <w:t>月</w:t>
      </w:r>
      <w:r>
        <w:rPr>
          <w:rFonts w:hint="eastAsia" w:ascii="Times New Roman" w:hAnsi="Times New Roman" w:cs="Times New Roman"/>
          <w:sz w:val="28"/>
          <w:szCs w:val="28"/>
        </w:rPr>
        <w:t>25</w:t>
      </w:r>
      <w:r>
        <w:rPr>
          <w:rFonts w:ascii="Times New Roman" w:hAnsi="Times New Roman" w:cs="Times New Roman"/>
          <w:sz w:val="28"/>
          <w:szCs w:val="28"/>
        </w:rPr>
        <w:t>日至</w:t>
      </w:r>
      <w:r>
        <w:rPr>
          <w:rFonts w:hint="eastAsia" w:ascii="Times New Roman" w:hAnsi="Times New Roman" w:cs="Times New Roman"/>
          <w:sz w:val="28"/>
          <w:szCs w:val="28"/>
        </w:rPr>
        <w:t>1</w:t>
      </w:r>
      <w:r>
        <w:rPr>
          <w:rFonts w:ascii="Times New Roman" w:hAnsi="Times New Roman" w:cs="Times New Roman"/>
          <w:sz w:val="28"/>
          <w:szCs w:val="28"/>
        </w:rPr>
        <w:t>月</w:t>
      </w:r>
      <w:r>
        <w:rPr>
          <w:rFonts w:hint="eastAsia" w:ascii="Times New Roman" w:hAnsi="Times New Roman" w:cs="Times New Roman"/>
          <w:sz w:val="28"/>
          <w:szCs w:val="28"/>
        </w:rPr>
        <w:t>28</w:t>
      </w:r>
      <w:r>
        <w:rPr>
          <w:rFonts w:ascii="Times New Roman" w:hAnsi="Times New Roman" w:cs="Times New Roman"/>
          <w:sz w:val="28"/>
          <w:szCs w:val="28"/>
        </w:rPr>
        <w:t>日按照验收监测方案开展了验收监测和环境管理检查。</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3、排污许可证申领情况</w:t>
      </w:r>
    </w:p>
    <w:p>
      <w:pPr>
        <w:overflowPunct w:val="0"/>
        <w:snapToGrid w:val="0"/>
        <w:spacing w:line="500" w:lineRule="exact"/>
        <w:ind w:firstLine="560" w:firstLineChars="200"/>
        <w:rPr>
          <w:rFonts w:ascii="Times New Roman" w:hAnsi="Times New Roman" w:cs="Times New Roman"/>
          <w:color w:val="000000"/>
          <w:sz w:val="28"/>
          <w:szCs w:val="28"/>
        </w:rPr>
      </w:pPr>
      <w:bookmarkStart w:id="0" w:name="_Hlk5126001"/>
      <w:r>
        <w:rPr>
          <w:rFonts w:ascii="Times New Roman" w:hAnsi="Times New Roman" w:cs="Times New Roman"/>
          <w:color w:val="000000"/>
          <w:sz w:val="28"/>
          <w:szCs w:val="28"/>
        </w:rPr>
        <w:t>山西太钢不锈钢股份有限公司</w:t>
      </w:r>
      <w:bookmarkEnd w:id="0"/>
      <w:r>
        <w:rPr>
          <w:rFonts w:ascii="Times New Roman" w:hAnsi="Times New Roman" w:cs="Times New Roman"/>
          <w:color w:val="000000"/>
          <w:sz w:val="28"/>
          <w:szCs w:val="28"/>
        </w:rPr>
        <w:t>于</w:t>
      </w:r>
      <w:r>
        <w:rPr>
          <w:rFonts w:hint="eastAsia" w:ascii="Times New Roman" w:hAnsi="Times New Roman" w:cs="Times New Roman"/>
          <w:color w:val="000000"/>
          <w:sz w:val="28"/>
          <w:szCs w:val="28"/>
        </w:rPr>
        <w:t>2</w:t>
      </w:r>
      <w:r>
        <w:rPr>
          <w:rFonts w:ascii="Times New Roman" w:hAnsi="Times New Roman" w:cs="Times New Roman"/>
          <w:color w:val="000000"/>
          <w:sz w:val="28"/>
          <w:szCs w:val="28"/>
        </w:rPr>
        <w:t>020</w:t>
      </w:r>
      <w:r>
        <w:rPr>
          <w:rFonts w:hint="eastAsia" w:ascii="Times New Roman" w:hAnsi="Times New Roman" w:cs="Times New Roman"/>
          <w:color w:val="000000"/>
          <w:sz w:val="28"/>
          <w:szCs w:val="28"/>
        </w:rPr>
        <w:t>年</w:t>
      </w:r>
      <w:r>
        <w:rPr>
          <w:rFonts w:ascii="Times New Roman" w:hAnsi="Times New Roman" w:cs="Times New Roman"/>
          <w:color w:val="000000"/>
          <w:sz w:val="28"/>
          <w:szCs w:val="28"/>
        </w:rPr>
        <w:t>10</w:t>
      </w:r>
      <w:r>
        <w:rPr>
          <w:rFonts w:hint="eastAsia" w:ascii="Times New Roman" w:hAnsi="Times New Roman" w:cs="Times New Roman"/>
          <w:color w:val="000000"/>
          <w:sz w:val="28"/>
          <w:szCs w:val="28"/>
        </w:rPr>
        <w:t>月</w:t>
      </w:r>
      <w:r>
        <w:rPr>
          <w:rFonts w:ascii="Times New Roman" w:hAnsi="Times New Roman" w:cs="Times New Roman"/>
          <w:color w:val="000000"/>
          <w:sz w:val="28"/>
          <w:szCs w:val="28"/>
        </w:rPr>
        <w:t>申领了排污许可证，许可证编号91140000701011888X001P。</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4、项目从立项至调试过程中无环境投诉、违法或处罚记录等。</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（三）投资情况</w:t>
      </w:r>
    </w:p>
    <w:p>
      <w:pPr>
        <w:tabs>
          <w:tab w:val="left" w:pos="4305"/>
        </w:tabs>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项目实际</w:t>
      </w:r>
      <w:r>
        <w:rPr>
          <w:rFonts w:ascii="Times New Roman" w:hAnsi="Times New Roman" w:cs="Times New Roman"/>
          <w:color w:val="000000"/>
          <w:sz w:val="28"/>
          <w:szCs w:val="28"/>
        </w:rPr>
        <w:t>总投资</w:t>
      </w:r>
      <w:r>
        <w:rPr>
          <w:rFonts w:hint="eastAsia" w:ascii="Times New Roman" w:hAnsi="Times New Roman" w:cs="Times New Roman"/>
          <w:sz w:val="28"/>
          <w:szCs w:val="28"/>
        </w:rPr>
        <w:t>8061</w:t>
      </w:r>
      <w:r>
        <w:rPr>
          <w:rFonts w:ascii="Times New Roman" w:hAnsi="Times New Roman" w:cs="Times New Roman"/>
          <w:sz w:val="28"/>
          <w:szCs w:val="28"/>
        </w:rPr>
        <w:t>万元，其中环保投资</w:t>
      </w:r>
      <w:r>
        <w:rPr>
          <w:rFonts w:hint="eastAsia" w:ascii="Times New Roman" w:hAnsi="Times New Roman" w:cs="Times New Roman"/>
          <w:sz w:val="28"/>
          <w:szCs w:val="28"/>
        </w:rPr>
        <w:t>8061</w:t>
      </w:r>
      <w:r>
        <w:rPr>
          <w:rFonts w:ascii="Times New Roman" w:hAnsi="Times New Roman" w:cs="Times New Roman"/>
          <w:sz w:val="28"/>
          <w:szCs w:val="28"/>
        </w:rPr>
        <w:t>万元，占总投资的</w:t>
      </w:r>
      <w:r>
        <w:rPr>
          <w:rFonts w:hint="eastAsia" w:ascii="Times New Roman" w:hAnsi="Times New Roman" w:cs="Times New Roman"/>
          <w:sz w:val="28"/>
          <w:szCs w:val="28"/>
        </w:rPr>
        <w:t>100</w:t>
      </w:r>
      <w:r>
        <w:rPr>
          <w:rFonts w:ascii="Times New Roman" w:hAnsi="Times New Roman" w:cs="Times New Roman"/>
          <w:sz w:val="28"/>
          <w:szCs w:val="28"/>
        </w:rPr>
        <w:t>%。</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（四）验收范围</w:t>
      </w:r>
    </w:p>
    <w:p>
      <w:pPr>
        <w:autoSpaceDE w:val="0"/>
        <w:autoSpaceDN w:val="0"/>
        <w:snapToGrid w:val="0"/>
        <w:spacing w:line="5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一次料场全封闭建设项目。</w:t>
      </w: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bCs/>
          <w:kern w:val="2"/>
          <w:sz w:val="28"/>
          <w:szCs w:val="28"/>
        </w:rPr>
      </w:pPr>
      <w:r>
        <w:rPr>
          <w:rFonts w:ascii="Times New Roman" w:hAnsi="Times New Roman" w:cs="Times New Roman"/>
          <w:b/>
          <w:bCs/>
          <w:kern w:val="2"/>
          <w:sz w:val="28"/>
          <w:szCs w:val="28"/>
        </w:rPr>
        <w:t>二、工程变动情况</w:t>
      </w:r>
    </w:p>
    <w:p>
      <w:pPr>
        <w:autoSpaceDE w:val="0"/>
        <w:autoSpaceDN w:val="0"/>
        <w:snapToGrid w:val="0"/>
        <w:spacing w:line="500" w:lineRule="exact"/>
        <w:ind w:firstLine="560" w:firstLineChars="200"/>
        <w:rPr>
          <w:rFonts w:ascii="Times New Roman" w:hAnsi="Times New Roman" w:cs="Times New Roman"/>
          <w:color w:val="auto"/>
          <w:sz w:val="28"/>
          <w:szCs w:val="28"/>
        </w:rPr>
      </w:pPr>
      <w:r>
        <w:rPr>
          <w:rFonts w:ascii="Times New Roman" w:hAnsi="Times New Roman" w:cs="Times New Roman"/>
          <w:sz w:val="28"/>
          <w:szCs w:val="28"/>
        </w:rPr>
        <w:t>经核实，本项目</w:t>
      </w:r>
      <w:r>
        <w:rPr>
          <w:rFonts w:hint="eastAsia" w:ascii="Times New Roman" w:hAnsi="Times New Roman" w:cs="Times New Roman"/>
          <w:sz w:val="28"/>
          <w:szCs w:val="28"/>
        </w:rPr>
        <w:t>工程变动为：拆除了综合料场，三个区域料棚封闭总面积为57037</w:t>
      </w:r>
      <w:r>
        <w:rPr>
          <w:rFonts w:ascii="Times New Roman" w:hAnsi="Times New Roman" w:cs="Times New Roman"/>
          <w:sz w:val="28"/>
          <w:szCs w:val="28"/>
        </w:rPr>
        <w:t>m</w:t>
      </w:r>
      <w:r>
        <w:rPr>
          <w:rFonts w:ascii="Times New Roman" w:hAnsi="Times New Roman" w:cs="Times New Roman"/>
          <w:sz w:val="28"/>
          <w:szCs w:val="28"/>
          <w:vertAlign w:val="superscript"/>
        </w:rPr>
        <w:t>2</w:t>
      </w:r>
      <w:r>
        <w:rPr>
          <w:rFonts w:hint="eastAsia" w:ascii="Times New Roman" w:hAnsi="Times New Roman" w:cs="Times New Roman"/>
          <w:sz w:val="28"/>
          <w:szCs w:val="28"/>
        </w:rPr>
        <w:t>，比环评要求总面积62198</w:t>
      </w:r>
      <w:bookmarkStart w:id="3" w:name="_GoBack"/>
      <w:bookmarkEnd w:id="3"/>
      <w:r>
        <w:rPr>
          <w:rFonts w:ascii="Times New Roman" w:hAnsi="Times New Roman" w:cs="Times New Roman"/>
          <w:sz w:val="28"/>
          <w:szCs w:val="28"/>
        </w:rPr>
        <w:t>m</w:t>
      </w:r>
      <w:r>
        <w:rPr>
          <w:rFonts w:ascii="Times New Roman" w:hAnsi="Times New Roman" w:cs="Times New Roman"/>
          <w:sz w:val="28"/>
          <w:szCs w:val="28"/>
          <w:vertAlign w:val="superscript"/>
        </w:rPr>
        <w:t>2</w:t>
      </w:r>
      <w:r>
        <w:rPr>
          <w:rFonts w:hint="eastAsia" w:ascii="Times New Roman" w:hAnsi="Times New Roman" w:cs="Times New Roman"/>
          <w:sz w:val="28"/>
          <w:szCs w:val="28"/>
        </w:rPr>
        <w:t>减少8.3%，根据环境保护部办公厅文件环办</w:t>
      </w:r>
      <w:r>
        <w:rPr>
          <w:rFonts w:ascii="Times New Roman" w:hAnsi="Times New Roman" w:cs="Times New Roman"/>
          <w:sz w:val="28"/>
          <w:szCs w:val="28"/>
        </w:rPr>
        <w:t>[2020]688</w:t>
      </w:r>
      <w:r>
        <w:rPr>
          <w:rFonts w:hint="eastAsia" w:ascii="Times New Roman" w:hAnsi="Times New Roman" w:cs="Times New Roman"/>
          <w:sz w:val="28"/>
          <w:szCs w:val="28"/>
        </w:rPr>
        <w:t>号，《关于印发污染影响类建设项目重大变动清单（试行）》的通知：</w:t>
      </w:r>
      <w:r>
        <w:rPr>
          <w:rFonts w:ascii="Times New Roman" w:hAnsi="Times New Roman" w:cs="Times New Roman"/>
          <w:sz w:val="28"/>
          <w:szCs w:val="28"/>
        </w:rPr>
        <w:t>“</w:t>
      </w:r>
      <w:r>
        <w:rPr>
          <w:rFonts w:hint="eastAsia" w:ascii="Times New Roman" w:hAnsi="Times New Roman" w:cs="Times New Roman"/>
          <w:sz w:val="28"/>
          <w:szCs w:val="28"/>
        </w:rPr>
        <w:t>根据《中华人民共和国环境影响评价法》和《建设项目环境保护管理条例》有</w:t>
      </w:r>
      <w:r>
        <w:rPr>
          <w:rFonts w:hint="eastAsia" w:ascii="Times New Roman" w:hAnsi="Times New Roman" w:cs="Times New Roman"/>
          <w:color w:val="auto"/>
          <w:sz w:val="28"/>
          <w:szCs w:val="28"/>
        </w:rPr>
        <w:t>关规定，本项目变更情况不属于重大变动，可以纳入竣工环境保护验收管理。</w:t>
      </w: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三、环境保护设施建设情况</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（一）废气产生及治理设施</w:t>
      </w:r>
    </w:p>
    <w:p>
      <w:pPr>
        <w:autoSpaceDE w:val="0"/>
        <w:autoSpaceDN w:val="0"/>
        <w:snapToGrid w:val="0"/>
        <w:spacing w:line="5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本项目产生的废气污染物主要是汽车运输产生的扬尘和料场装卸时产生的扬尘。</w:t>
      </w:r>
    </w:p>
    <w:p>
      <w:pPr>
        <w:autoSpaceDE w:val="0"/>
        <w:autoSpaceDN w:val="0"/>
        <w:snapToGrid w:val="0"/>
        <w:spacing w:line="5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1、运输扬尘：设车辆清洗平台，出厂前对运输汽车车辆进行清洗，清洗后的废水进入沉淀池进行沉淀，沉淀后循环使用。</w:t>
      </w:r>
    </w:p>
    <w:p>
      <w:pPr>
        <w:autoSpaceDE w:val="0"/>
        <w:autoSpaceDN w:val="0"/>
        <w:snapToGrid w:val="0"/>
        <w:spacing w:line="500" w:lineRule="exact"/>
        <w:ind w:firstLine="560" w:firstLineChars="200"/>
        <w:rPr>
          <w:rFonts w:ascii="Times New Roman" w:cs="Times New Roman"/>
          <w:color w:val="000000"/>
        </w:rPr>
      </w:pPr>
      <w:r>
        <w:rPr>
          <w:rFonts w:hint="eastAsia" w:ascii="Times New Roman" w:hAnsi="Times New Roman" w:cs="Times New Roman"/>
          <w:sz w:val="28"/>
          <w:szCs w:val="28"/>
        </w:rPr>
        <w:t>2、原料装卸时产生的扬尘：为避让现有设施，不影响生产，各区域料棚跨度不等、柱间距及料棚高度相同。网壳结构的杆件采用Q235钢及Q345钢，直径超过159mm的钢管宜采用Q345钢，网壳采用螺栓球节点及焊接空心球节点混合连接的方式。屋面板、墙面板采用V125型彩板，采光带选用2厚阻燃型采用板。封闭总面积为57037 m</w:t>
      </w:r>
      <w:r>
        <w:rPr>
          <w:rFonts w:hint="eastAsia" w:ascii="Times New Roman" w:hAnsi="Times New Roman" w:cs="Times New Roman"/>
          <w:sz w:val="28"/>
          <w:szCs w:val="28"/>
          <w:vertAlign w:val="superscript"/>
        </w:rPr>
        <w:t>2</w:t>
      </w:r>
      <w:r>
        <w:rPr>
          <w:rFonts w:hint="eastAsia" w:ascii="宋体" w:hAnsi="宋体" w:cs="宋体"/>
          <w:color w:val="000000"/>
        </w:rPr>
        <w:t>。</w:t>
      </w:r>
    </w:p>
    <w:p>
      <w:pPr>
        <w:pStyle w:val="10"/>
        <w:snapToGrid w:val="0"/>
        <w:spacing w:line="500" w:lineRule="exact"/>
        <w:ind w:firstLine="560" w:firstLineChars="200"/>
        <w:rPr>
          <w:bCs/>
          <w:color w:val="000000"/>
          <w:sz w:val="28"/>
          <w:szCs w:val="28"/>
        </w:rPr>
      </w:pPr>
      <w:r>
        <w:rPr>
          <w:bCs/>
          <w:color w:val="000000"/>
          <w:sz w:val="28"/>
          <w:szCs w:val="28"/>
        </w:rPr>
        <w:t>（二）废水产生及治理设施</w:t>
      </w:r>
    </w:p>
    <w:p>
      <w:pPr>
        <w:autoSpaceDE w:val="0"/>
        <w:autoSpaceDN w:val="0"/>
        <w:snapToGrid w:val="0"/>
        <w:spacing w:line="5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本项目不新增人员，不新增生活污水；雨水进入公司雨水管网；无工业废水排放。</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 w:name="_Toc5029893"/>
      <w:r>
        <w:rPr>
          <w:rFonts w:ascii="Times New Roman" w:hAnsi="Times New Roman" w:cs="Times New Roman"/>
          <w:color w:val="000000"/>
          <w:sz w:val="28"/>
          <w:szCs w:val="28"/>
        </w:rPr>
        <w:t>（三）固体废物</w:t>
      </w:r>
      <w:bookmarkEnd w:id="1"/>
    </w:p>
    <w:p>
      <w:pPr>
        <w:ind w:firstLine="480"/>
        <w:rPr>
          <w:rFonts w:ascii="宋体" w:hAnsi="宋体" w:cs="Times New Roman"/>
          <w:color w:val="000000"/>
          <w:kern w:val="0"/>
        </w:rPr>
      </w:pPr>
      <w:bookmarkStart w:id="2" w:name="_Toc5029894"/>
      <w:r>
        <w:rPr>
          <w:rFonts w:hint="eastAsia" w:ascii="Times New Roman" w:hAnsi="Times New Roman" w:cs="Times New Roman"/>
          <w:bCs/>
          <w:kern w:val="0"/>
          <w:sz w:val="28"/>
          <w:szCs w:val="28"/>
        </w:rPr>
        <w:t>本项目无固体废弃物产生。</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（四）噪声</w:t>
      </w:r>
      <w:bookmarkEnd w:id="2"/>
    </w:p>
    <w:p>
      <w:pPr>
        <w:spacing w:line="480" w:lineRule="exact"/>
        <w:ind w:firstLine="482"/>
        <w:rPr>
          <w:rFonts w:ascii="宋体" w:hAnsi="宋体" w:cs="Times New Roman"/>
          <w:color w:val="000000"/>
          <w:kern w:val="10"/>
        </w:rPr>
      </w:pPr>
      <w:r>
        <w:rPr>
          <w:rFonts w:hint="eastAsia" w:ascii="Times New Roman" w:hAnsi="Times New Roman" w:cs="Times New Roman"/>
          <w:color w:val="000000"/>
          <w:kern w:val="0"/>
          <w:sz w:val="28"/>
          <w:szCs w:val="28"/>
        </w:rPr>
        <w:t>本项目不产生噪声，可减轻现有设备运营期噪声的影响。</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hint="eastAsia" w:ascii="Times New Roman" w:hAnsi="Times New Roman" w:cs="Times New Roman"/>
          <w:color w:val="000000"/>
          <w:sz w:val="28"/>
          <w:szCs w:val="28"/>
        </w:rPr>
        <w:t>五</w:t>
      </w:r>
      <w:r>
        <w:rPr>
          <w:rFonts w:ascii="Times New Roman" w:hAnsi="Times New Roman" w:cs="Times New Roman"/>
          <w:color w:val="000000"/>
          <w:sz w:val="28"/>
          <w:szCs w:val="28"/>
        </w:rPr>
        <w:t>）环保设施建设情况与环评报告及批复对照</w:t>
      </w:r>
    </w:p>
    <w:p>
      <w:pPr>
        <w:pStyle w:val="61"/>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color w:val="000000"/>
          <w:sz w:val="28"/>
          <w:szCs w:val="28"/>
        </w:rPr>
        <w:t>环保设施建设情况与环评报告要求对照见表2。</w:t>
      </w: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表2  环保设施建设情况与环评报告对照表</w:t>
      </w:r>
    </w:p>
    <w:tbl>
      <w:tblPr>
        <w:tblStyle w:val="22"/>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85"/>
        <w:gridCol w:w="1303"/>
        <w:gridCol w:w="868"/>
        <w:gridCol w:w="2764"/>
        <w:gridCol w:w="3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437" w:hRule="atLeast"/>
          <w:tblHeader/>
        </w:trPr>
        <w:tc>
          <w:tcPr>
            <w:tcW w:w="485"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类别</w:t>
            </w:r>
          </w:p>
        </w:tc>
        <w:tc>
          <w:tcPr>
            <w:tcW w:w="1303"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污染源</w:t>
            </w:r>
          </w:p>
        </w:tc>
        <w:tc>
          <w:tcPr>
            <w:tcW w:w="868"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污染物</w:t>
            </w:r>
          </w:p>
        </w:tc>
        <w:tc>
          <w:tcPr>
            <w:tcW w:w="2764"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环评要求</w:t>
            </w:r>
          </w:p>
        </w:tc>
        <w:tc>
          <w:tcPr>
            <w:tcW w:w="361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201" w:hRule="atLeast"/>
        </w:trPr>
        <w:tc>
          <w:tcPr>
            <w:tcW w:w="485" w:type="dxa"/>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1303" w:type="dxa"/>
            <w:vAlign w:val="center"/>
          </w:tcPr>
          <w:p>
            <w:pPr>
              <w:jc w:val="left"/>
              <w:rPr>
                <w:rFonts w:ascii="宋体" w:hAnsi="宋体" w:cs="宋体"/>
                <w:color w:val="000000"/>
              </w:rPr>
            </w:pPr>
            <w:r>
              <w:rPr>
                <w:rFonts w:hint="eastAsia" w:ascii="宋体" w:hAnsi="宋体" w:cs="宋体"/>
                <w:color w:val="000000"/>
              </w:rPr>
              <w:t>汽车运输</w:t>
            </w:r>
          </w:p>
        </w:tc>
        <w:tc>
          <w:tcPr>
            <w:tcW w:w="868" w:type="dxa"/>
            <w:vAlign w:val="center"/>
          </w:tcPr>
          <w:p>
            <w:pPr>
              <w:jc w:val="left"/>
              <w:rPr>
                <w:rFonts w:ascii="宋体" w:hAnsi="宋体" w:cs="宋体"/>
                <w:color w:val="000000"/>
              </w:rPr>
            </w:pPr>
            <w:r>
              <w:rPr>
                <w:rFonts w:hint="eastAsia" w:ascii="宋体" w:hAnsi="宋体" w:cs="宋体"/>
                <w:color w:val="000000"/>
              </w:rPr>
              <w:t>扬尘</w:t>
            </w:r>
          </w:p>
        </w:tc>
        <w:tc>
          <w:tcPr>
            <w:tcW w:w="2764" w:type="dxa"/>
            <w:vAlign w:val="center"/>
          </w:tcPr>
          <w:p>
            <w:pPr>
              <w:jc w:val="left"/>
              <w:rPr>
                <w:rFonts w:ascii="宋体" w:hAnsi="宋体" w:cs="宋体"/>
                <w:color w:val="000000"/>
              </w:rPr>
            </w:pPr>
            <w:r>
              <w:rPr>
                <w:rFonts w:hint="eastAsia" w:ascii="宋体" w:hAnsi="宋体" w:cs="宋体"/>
                <w:color w:val="000000"/>
              </w:rPr>
              <w:t>未要求</w:t>
            </w:r>
          </w:p>
        </w:tc>
        <w:tc>
          <w:tcPr>
            <w:tcW w:w="3619" w:type="dxa"/>
            <w:vAlign w:val="center"/>
          </w:tcPr>
          <w:p>
            <w:pPr>
              <w:jc w:val="left"/>
              <w:rPr>
                <w:rFonts w:ascii="宋体" w:hAnsi="宋体" w:cs="宋体"/>
                <w:color w:val="000000"/>
              </w:rPr>
            </w:pPr>
            <w:r>
              <w:rPr>
                <w:rFonts w:hint="eastAsia" w:ascii="宋体" w:hAnsi="宋体" w:cs="宋体"/>
                <w:color w:val="000000"/>
              </w:rPr>
              <w:t>设车辆清洗平台，出厂前对运输汽车车辆进行清洗，清洗后的废水进入沉淀池进行沉淀，沉淀后循环使用。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630" w:hRule="atLeast"/>
        </w:trPr>
        <w:tc>
          <w:tcPr>
            <w:tcW w:w="485" w:type="dxa"/>
            <w:vMerge w:val="continue"/>
            <w:vAlign w:val="center"/>
          </w:tcPr>
          <w:p>
            <w:pPr>
              <w:contextualSpacing/>
              <w:jc w:val="center"/>
              <w:rPr>
                <w:rFonts w:ascii="Times New Roman" w:hAnsi="Times New Roman" w:eastAsia="宋体" w:cs="Times New Roman"/>
                <w:szCs w:val="21"/>
              </w:rPr>
            </w:pPr>
          </w:p>
        </w:tc>
        <w:tc>
          <w:tcPr>
            <w:tcW w:w="1303" w:type="dxa"/>
            <w:vAlign w:val="center"/>
          </w:tcPr>
          <w:p>
            <w:pPr>
              <w:jc w:val="left"/>
              <w:rPr>
                <w:rFonts w:ascii="宋体" w:hAnsi="宋体" w:cs="宋体"/>
                <w:color w:val="000000"/>
              </w:rPr>
            </w:pPr>
            <w:r>
              <w:rPr>
                <w:rFonts w:hint="eastAsia" w:ascii="宋体" w:hAnsi="宋体" w:cs="宋体"/>
                <w:color w:val="000000"/>
              </w:rPr>
              <w:t>原料装卸</w:t>
            </w:r>
          </w:p>
        </w:tc>
        <w:tc>
          <w:tcPr>
            <w:tcW w:w="868" w:type="dxa"/>
            <w:vAlign w:val="center"/>
          </w:tcPr>
          <w:p>
            <w:pPr>
              <w:jc w:val="left"/>
              <w:rPr>
                <w:rFonts w:ascii="宋体" w:hAnsi="宋体" w:cs="宋体"/>
                <w:color w:val="000000"/>
              </w:rPr>
            </w:pPr>
            <w:r>
              <w:rPr>
                <w:rFonts w:hint="eastAsia" w:ascii="宋体" w:hAnsi="宋体" w:cs="宋体"/>
                <w:color w:val="000000"/>
              </w:rPr>
              <w:t>扬尘</w:t>
            </w:r>
          </w:p>
        </w:tc>
        <w:tc>
          <w:tcPr>
            <w:tcW w:w="2764" w:type="dxa"/>
            <w:vAlign w:val="center"/>
          </w:tcPr>
          <w:p>
            <w:pPr>
              <w:jc w:val="left"/>
              <w:rPr>
                <w:rFonts w:ascii="宋体" w:hAnsi="宋体" w:cs="宋体"/>
                <w:color w:val="000000"/>
              </w:rPr>
            </w:pPr>
            <w:r>
              <w:rPr>
                <w:rFonts w:hint="eastAsia" w:ascii="宋体" w:hAnsi="宋体" w:cs="宋体"/>
                <w:color w:val="000000"/>
              </w:rPr>
              <w:t>三个区域料棚封闭62198m</w:t>
            </w:r>
            <w:r>
              <w:rPr>
                <w:rFonts w:hint="eastAsia" w:ascii="宋体" w:hAnsi="宋体" w:cs="宋体"/>
                <w:color w:val="000000"/>
                <w:vertAlign w:val="superscript"/>
              </w:rPr>
              <w:t>2</w:t>
            </w:r>
          </w:p>
        </w:tc>
        <w:tc>
          <w:tcPr>
            <w:tcW w:w="3619" w:type="dxa"/>
            <w:vAlign w:val="center"/>
          </w:tcPr>
          <w:p>
            <w:pPr>
              <w:jc w:val="left"/>
              <w:rPr>
                <w:rFonts w:ascii="宋体" w:hAnsi="宋体" w:cs="宋体"/>
                <w:color w:val="000000"/>
              </w:rPr>
            </w:pPr>
            <w:r>
              <w:rPr>
                <w:rFonts w:hint="eastAsia" w:ascii="宋体" w:hAnsi="宋体" w:cs="宋体"/>
                <w:color w:val="000000"/>
              </w:rPr>
              <w:t>实际三个区域料棚封闭57037m</w:t>
            </w:r>
            <w:r>
              <w:rPr>
                <w:rFonts w:hint="eastAsia" w:ascii="宋体" w:hAnsi="宋体" w:cs="宋体"/>
                <w:color w:val="00000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630" w:hRule="atLeast"/>
        </w:trPr>
        <w:tc>
          <w:tcPr>
            <w:tcW w:w="485" w:type="dxa"/>
            <w:vMerge w:val="continue"/>
            <w:vAlign w:val="center"/>
          </w:tcPr>
          <w:p>
            <w:pPr>
              <w:contextualSpacing/>
              <w:jc w:val="center"/>
              <w:rPr>
                <w:rFonts w:ascii="Times New Roman" w:hAnsi="Times New Roman" w:eastAsia="宋体" w:cs="Times New Roman"/>
                <w:szCs w:val="21"/>
              </w:rPr>
            </w:pPr>
          </w:p>
        </w:tc>
        <w:tc>
          <w:tcPr>
            <w:tcW w:w="1303" w:type="dxa"/>
            <w:vAlign w:val="center"/>
          </w:tcPr>
          <w:p>
            <w:pPr>
              <w:jc w:val="left"/>
              <w:rPr>
                <w:rFonts w:ascii="宋体" w:hAnsi="宋体" w:cs="宋体"/>
                <w:color w:val="000000"/>
              </w:rPr>
            </w:pPr>
          </w:p>
        </w:tc>
        <w:tc>
          <w:tcPr>
            <w:tcW w:w="868" w:type="dxa"/>
            <w:vAlign w:val="center"/>
          </w:tcPr>
          <w:p>
            <w:pPr>
              <w:jc w:val="left"/>
              <w:rPr>
                <w:rFonts w:ascii="宋体" w:hAnsi="宋体" w:cs="宋体"/>
                <w:color w:val="000000"/>
              </w:rPr>
            </w:pPr>
            <w:r>
              <w:rPr>
                <w:rFonts w:hint="eastAsia" w:ascii="宋体" w:hAnsi="宋体" w:cs="宋体"/>
                <w:color w:val="000000"/>
              </w:rPr>
              <w:t>扬尘</w:t>
            </w:r>
          </w:p>
        </w:tc>
        <w:tc>
          <w:tcPr>
            <w:tcW w:w="2764" w:type="dxa"/>
            <w:vAlign w:val="center"/>
          </w:tcPr>
          <w:p>
            <w:pPr>
              <w:jc w:val="left"/>
              <w:rPr>
                <w:rFonts w:ascii="宋体" w:hAnsi="宋体" w:cs="宋体"/>
                <w:color w:val="000000"/>
              </w:rPr>
            </w:pPr>
            <w:r>
              <w:rPr>
                <w:rFonts w:hint="eastAsia" w:ascii="宋体" w:hAnsi="宋体" w:cs="宋体"/>
                <w:color w:val="000000"/>
              </w:rPr>
              <w:t>综合料场全封闭</w:t>
            </w:r>
          </w:p>
        </w:tc>
        <w:tc>
          <w:tcPr>
            <w:tcW w:w="3619" w:type="dxa"/>
            <w:vAlign w:val="center"/>
          </w:tcPr>
          <w:p>
            <w:pPr>
              <w:jc w:val="left"/>
              <w:rPr>
                <w:rFonts w:ascii="宋体" w:hAnsi="宋体" w:cs="宋体"/>
                <w:color w:val="000000"/>
              </w:rPr>
            </w:pPr>
            <w:r>
              <w:rPr>
                <w:rFonts w:hint="eastAsia" w:ascii="宋体" w:hAnsi="宋体" w:cs="宋体"/>
                <w:color w:val="000000"/>
              </w:rPr>
              <w:t>拆除了综合料场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310" w:hRule="atLeast"/>
        </w:trPr>
        <w:tc>
          <w:tcPr>
            <w:tcW w:w="485"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1303" w:type="dxa"/>
            <w:vAlign w:val="center"/>
          </w:tcPr>
          <w:p>
            <w:pPr>
              <w:jc w:val="left"/>
              <w:rPr>
                <w:rFonts w:ascii="宋体" w:hAnsi="宋体" w:cs="宋体"/>
                <w:color w:val="000000"/>
              </w:rPr>
            </w:pPr>
            <w:r>
              <w:rPr>
                <w:rFonts w:hint="eastAsia" w:ascii="宋体" w:hAnsi="宋体" w:cs="宋体"/>
                <w:color w:val="000000"/>
              </w:rPr>
              <w:t>翻车机、堆取料机、卸料车、装载机</w:t>
            </w:r>
          </w:p>
        </w:tc>
        <w:tc>
          <w:tcPr>
            <w:tcW w:w="868" w:type="dxa"/>
            <w:vAlign w:val="center"/>
          </w:tcPr>
          <w:p>
            <w:pPr>
              <w:jc w:val="left"/>
              <w:rPr>
                <w:rFonts w:ascii="宋体" w:hAnsi="宋体" w:cs="宋体"/>
                <w:color w:val="000000"/>
              </w:rPr>
            </w:pPr>
            <w:r>
              <w:rPr>
                <w:rFonts w:hint="eastAsia" w:ascii="Times New Roman" w:hAnsi="Times New Roman" w:eastAsia="宋体" w:cs="Times New Roman"/>
                <w:szCs w:val="21"/>
              </w:rPr>
              <w:t>厂界</w:t>
            </w:r>
            <w:r>
              <w:rPr>
                <w:rFonts w:ascii="Times New Roman" w:hAnsi="Times New Roman" w:eastAsia="宋体" w:cs="Times New Roman"/>
                <w:szCs w:val="21"/>
              </w:rPr>
              <w:t>噪声</w:t>
            </w:r>
          </w:p>
        </w:tc>
        <w:tc>
          <w:tcPr>
            <w:tcW w:w="2764" w:type="dxa"/>
            <w:vAlign w:val="center"/>
          </w:tcPr>
          <w:p>
            <w:pPr>
              <w:jc w:val="left"/>
              <w:rPr>
                <w:rFonts w:ascii="宋体" w:hAnsi="宋体" w:cs="宋体"/>
                <w:color w:val="000000"/>
              </w:rPr>
            </w:pPr>
            <w:r>
              <w:rPr>
                <w:rFonts w:hint="eastAsia" w:ascii="宋体" w:hAnsi="宋体" w:cs="宋体"/>
                <w:color w:val="000000"/>
              </w:rPr>
              <w:t>翻车机、堆取料机、卸料车、装载机等均在封闭料场内作业。</w:t>
            </w:r>
          </w:p>
        </w:tc>
        <w:tc>
          <w:tcPr>
            <w:tcW w:w="3619" w:type="dxa"/>
            <w:vAlign w:val="center"/>
          </w:tcPr>
          <w:p>
            <w:pPr>
              <w:jc w:val="left"/>
              <w:rPr>
                <w:rFonts w:ascii="宋体" w:hAnsi="宋体" w:cs="宋体"/>
                <w:color w:val="000000"/>
              </w:rPr>
            </w:pPr>
            <w:r>
              <w:rPr>
                <w:rFonts w:hint="eastAsia" w:ascii="宋体" w:hAnsi="宋体" w:cs="宋体"/>
                <w:color w:val="000000"/>
              </w:rPr>
              <w:t>翻车机、堆取料机、卸料车、装载机等均在封闭料场内作业。</w:t>
            </w:r>
          </w:p>
        </w:tc>
      </w:tr>
    </w:tbl>
    <w:p>
      <w:pPr>
        <w:pStyle w:val="61"/>
        <w:snapToGrid w:val="0"/>
        <w:spacing w:before="0" w:beforeAutospacing="0" w:after="0" w:afterAutospacing="0" w:line="500" w:lineRule="exact"/>
        <w:ind w:firstLine="560" w:firstLineChars="200"/>
        <w:jc w:val="both"/>
        <w:rPr>
          <w:rFonts w:ascii="Times New Roman" w:hAnsi="Times New Roman" w:cs="Times New Roman"/>
          <w:bCs/>
          <w:color w:val="000000"/>
        </w:rPr>
      </w:pPr>
      <w:r>
        <w:rPr>
          <w:rFonts w:ascii="Times New Roman" w:hAnsi="Times New Roman" w:cs="Times New Roman"/>
          <w:color w:val="000000"/>
          <w:sz w:val="28"/>
          <w:szCs w:val="28"/>
        </w:rPr>
        <w:t>环保设施实际建设情况与环评批复要求对照见表</w:t>
      </w:r>
      <w:r>
        <w:rPr>
          <w:rFonts w:hint="eastAsia" w:ascii="Times New Roman" w:hAnsi="Times New Roman" w:cs="Times New Roman"/>
          <w:color w:val="000000"/>
          <w:sz w:val="28"/>
          <w:szCs w:val="28"/>
        </w:rPr>
        <w:t>3</w:t>
      </w:r>
      <w:r>
        <w:rPr>
          <w:rFonts w:ascii="Times New Roman" w:hAnsi="Times New Roman" w:cs="Times New Roman"/>
          <w:color w:val="000000"/>
          <w:sz w:val="28"/>
          <w:szCs w:val="28"/>
        </w:rPr>
        <w:t>。</w:t>
      </w:r>
    </w:p>
    <w:p>
      <w:pPr>
        <w:pStyle w:val="61"/>
        <w:snapToGrid w:val="0"/>
        <w:spacing w:before="0" w:beforeAutospacing="0" w:after="0" w:afterAutospacing="0" w:line="500" w:lineRule="exact"/>
        <w:jc w:val="center"/>
        <w:rPr>
          <w:rFonts w:ascii="Times New Roman" w:hAnsi="Times New Roman" w:cs="Times New Roman"/>
          <w:b/>
          <w:color w:val="000000"/>
        </w:rPr>
      </w:pPr>
      <w:r>
        <w:rPr>
          <w:rFonts w:ascii="Times New Roman" w:hAnsi="Times New Roman" w:cs="Times New Roman"/>
          <w:b/>
          <w:color w:val="000000"/>
        </w:rPr>
        <w:t>表</w:t>
      </w:r>
      <w:r>
        <w:rPr>
          <w:rFonts w:hint="eastAsia" w:ascii="Times New Roman" w:hAnsi="Times New Roman" w:cs="Times New Roman"/>
          <w:b/>
          <w:color w:val="000000"/>
        </w:rPr>
        <w:t>3</w:t>
      </w:r>
      <w:r>
        <w:rPr>
          <w:rFonts w:ascii="Times New Roman" w:hAnsi="Times New Roman" w:cs="Times New Roman"/>
          <w:b/>
          <w:color w:val="000000"/>
        </w:rPr>
        <w:t xml:space="preserve">  环保设施实际建设情况与环评批复要求对照表</w:t>
      </w:r>
    </w:p>
    <w:tbl>
      <w:tblPr>
        <w:tblStyle w:val="23"/>
        <w:tblW w:w="9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4106"/>
        <w:gridCol w:w="4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618"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4106"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环评批复要求措施</w:t>
            </w:r>
          </w:p>
        </w:tc>
        <w:tc>
          <w:tcPr>
            <w:tcW w:w="4315"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1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1</w:t>
            </w:r>
          </w:p>
        </w:tc>
        <w:tc>
          <w:tcPr>
            <w:tcW w:w="4106"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该项目位于山西太钢不锈钢股份有限公司厂区内原料场，项目总占地面积</w:t>
            </w:r>
            <w:r>
              <w:rPr>
                <w:rFonts w:ascii="宋体" w:hAnsi="宋体" w:cs="宋体"/>
                <w:color w:val="000000"/>
                <w:spacing w:val="4"/>
              </w:rPr>
              <w:t>66486m</w:t>
            </w:r>
            <w:r>
              <w:rPr>
                <w:rFonts w:ascii="宋体" w:hAnsi="宋体" w:cs="宋体"/>
                <w:color w:val="000000"/>
                <w:spacing w:val="4"/>
                <w:vertAlign w:val="superscript"/>
              </w:rPr>
              <w:t>2</w:t>
            </w:r>
            <w:r>
              <w:rPr>
                <w:rFonts w:hint="eastAsia" w:ascii="宋体" w:hAnsi="宋体" w:cs="宋体"/>
                <w:color w:val="000000"/>
                <w:spacing w:val="4"/>
              </w:rPr>
              <w:t>，项目主要建设内容为一次料场全封闭、综合料场全封闭建设项目，辅助及公用工程全部依托太钢原有工程，该项目总投资为</w:t>
            </w:r>
            <w:r>
              <w:rPr>
                <w:rFonts w:ascii="宋体" w:hAnsi="宋体" w:cs="宋体"/>
                <w:color w:val="000000"/>
                <w:spacing w:val="4"/>
              </w:rPr>
              <w:t>10691.09</w:t>
            </w:r>
            <w:r>
              <w:rPr>
                <w:rFonts w:hint="eastAsia" w:ascii="宋体" w:hAnsi="宋体" w:cs="宋体"/>
                <w:color w:val="000000"/>
                <w:spacing w:val="4"/>
              </w:rPr>
              <w:t>万元，环保投资</w:t>
            </w:r>
            <w:r>
              <w:rPr>
                <w:rFonts w:ascii="宋体" w:hAnsi="宋体" w:cs="宋体"/>
                <w:color w:val="000000"/>
                <w:spacing w:val="4"/>
              </w:rPr>
              <w:t>10691.09</w:t>
            </w:r>
            <w:r>
              <w:rPr>
                <w:rFonts w:hint="eastAsia" w:ascii="宋体" w:hAnsi="宋体" w:cs="宋体"/>
                <w:color w:val="000000"/>
                <w:spacing w:val="4"/>
              </w:rPr>
              <w:t>万元。</w:t>
            </w:r>
          </w:p>
        </w:tc>
        <w:tc>
          <w:tcPr>
            <w:tcW w:w="4315"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该项目位于山西太钢不锈钢股份有限公司厂区内原料场，项目总占地面积</w:t>
            </w:r>
            <w:r>
              <w:rPr>
                <w:rFonts w:hint="eastAsia" w:ascii="宋体" w:hAnsi="宋体" w:cs="宋体"/>
                <w:color w:val="000000"/>
              </w:rPr>
              <w:t>57037</w:t>
            </w:r>
            <w:r>
              <w:rPr>
                <w:rFonts w:ascii="宋体" w:hAnsi="宋体" w:cs="宋体"/>
                <w:color w:val="000000"/>
                <w:spacing w:val="4"/>
              </w:rPr>
              <w:t>m</w:t>
            </w:r>
            <w:r>
              <w:rPr>
                <w:rFonts w:ascii="宋体" w:hAnsi="宋体" w:cs="宋体"/>
                <w:color w:val="000000"/>
                <w:spacing w:val="4"/>
                <w:vertAlign w:val="superscript"/>
              </w:rPr>
              <w:t>2</w:t>
            </w:r>
            <w:r>
              <w:rPr>
                <w:rFonts w:hint="eastAsia" w:ascii="宋体" w:hAnsi="宋体" w:cs="宋体"/>
                <w:color w:val="000000"/>
                <w:spacing w:val="4"/>
              </w:rPr>
              <w:t>，项目主要建设内容为一次料场全封闭、敀除了综合料场，辅助及公用工程全部依托太钢原有工程，该项目总投资为8061万元，环保投资8061万元。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1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2</w:t>
            </w:r>
          </w:p>
        </w:tc>
        <w:tc>
          <w:tcPr>
            <w:tcW w:w="4106"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运营期间一次料场产生的粉尘采取封闭式料场，分三个区域，双层柱面网壳结构</w:t>
            </w:r>
            <w:r>
              <w:rPr>
                <w:rFonts w:ascii="宋体" w:hAnsi="宋体" w:cs="宋体"/>
                <w:color w:val="000000"/>
                <w:spacing w:val="4"/>
              </w:rPr>
              <w:t>;</w:t>
            </w:r>
            <w:r>
              <w:rPr>
                <w:rFonts w:hint="eastAsia" w:ascii="宋体" w:hAnsi="宋体" w:cs="宋体"/>
                <w:color w:val="000000"/>
                <w:spacing w:val="4"/>
              </w:rPr>
              <w:t>综合料场产生的粉尘采取封闭式料场，分二个区域，分别为除尘灰料场和配料料场，轻钢结构形式，屋面板、墙面板采用</w:t>
            </w:r>
            <w:r>
              <w:rPr>
                <w:rFonts w:ascii="宋体" w:hAnsi="宋体" w:cs="宋体"/>
                <w:color w:val="000000"/>
                <w:spacing w:val="4"/>
              </w:rPr>
              <w:t>V125</w:t>
            </w:r>
            <w:r>
              <w:rPr>
                <w:rFonts w:hint="eastAsia" w:ascii="宋体" w:hAnsi="宋体" w:cs="宋体"/>
                <w:color w:val="000000"/>
                <w:spacing w:val="4"/>
              </w:rPr>
              <w:t>型彩板，采光带选用阻燃型采用板。污染物排放达到《炼钢工业大气污染物排放标准》</w:t>
            </w:r>
            <w:r>
              <w:rPr>
                <w:rFonts w:ascii="宋体" w:hAnsi="宋体" w:cs="宋体"/>
                <w:color w:val="000000"/>
                <w:spacing w:val="4"/>
              </w:rPr>
              <w:t>(GB28664-2012)</w:t>
            </w:r>
            <w:r>
              <w:rPr>
                <w:rFonts w:hint="eastAsia" w:ascii="宋体" w:hAnsi="宋体" w:cs="宋体"/>
                <w:color w:val="000000"/>
                <w:spacing w:val="4"/>
              </w:rPr>
              <w:t>表</w:t>
            </w:r>
            <w:r>
              <w:rPr>
                <w:rFonts w:ascii="宋体" w:hAnsi="宋体" w:cs="宋体"/>
                <w:color w:val="000000"/>
                <w:spacing w:val="4"/>
              </w:rPr>
              <w:t>4</w:t>
            </w:r>
            <w:r>
              <w:rPr>
                <w:rFonts w:hint="eastAsia" w:ascii="宋体" w:hAnsi="宋体" w:cs="宋体"/>
                <w:color w:val="000000"/>
                <w:spacing w:val="4"/>
              </w:rPr>
              <w:t>中排放标准。</w:t>
            </w:r>
          </w:p>
        </w:tc>
        <w:tc>
          <w:tcPr>
            <w:tcW w:w="4315" w:type="dxa"/>
            <w:vAlign w:val="center"/>
          </w:tcPr>
          <w:p>
            <w:pPr>
              <w:pStyle w:val="66"/>
              <w:spacing w:before="93" w:after="93"/>
              <w:jc w:val="both"/>
              <w:rPr>
                <w:rFonts w:ascii="等线" w:eastAsia="等线"/>
                <w:color w:val="000000"/>
                <w:kern w:val="2"/>
                <w:szCs w:val="21"/>
              </w:rPr>
            </w:pPr>
            <w:r>
              <w:rPr>
                <w:rFonts w:hint="eastAsia" w:ascii="µÈÏß Western" w:hAnsi="µÈÏß Western" w:cs="宋体"/>
                <w:color w:val="000000"/>
                <w:kern w:val="2"/>
                <w:szCs w:val="21"/>
              </w:rPr>
              <w:t>一次料场</w:t>
            </w:r>
            <w:r>
              <w:rPr>
                <w:rFonts w:hint="eastAsia" w:ascii="µÈÏß Western" w:hAnsi="µÈÏß Western" w:cs="宋体"/>
                <w:color w:val="000000"/>
                <w:szCs w:val="21"/>
              </w:rPr>
              <w:t>从北向南、从东向西划分成</w:t>
            </w:r>
            <w:r>
              <w:rPr>
                <w:rFonts w:hint="eastAsia" w:ascii="宋体" w:hAnsi="宋体" w:cs="宋体"/>
                <w:color w:val="000000"/>
                <w:szCs w:val="21"/>
              </w:rPr>
              <w:t>①</w:t>
            </w:r>
            <w:r>
              <w:rPr>
                <w:rFonts w:hint="eastAsia" w:ascii="µÈÏß Western" w:hAnsi="µÈÏß Western" w:cs="宋体"/>
                <w:color w:val="000000"/>
                <w:szCs w:val="21"/>
              </w:rPr>
              <w:t>、</w:t>
            </w:r>
            <w:r>
              <w:rPr>
                <w:rFonts w:hint="eastAsia" w:ascii="宋体" w:hAnsi="宋体" w:cs="宋体"/>
                <w:color w:val="000000"/>
                <w:szCs w:val="21"/>
              </w:rPr>
              <w:t>②</w:t>
            </w:r>
            <w:r>
              <w:rPr>
                <w:rFonts w:hint="eastAsia" w:ascii="µÈÏß Western" w:hAnsi="µÈÏß Western" w:cs="宋体"/>
                <w:color w:val="000000"/>
                <w:szCs w:val="21"/>
              </w:rPr>
              <w:t>、</w:t>
            </w:r>
            <w:r>
              <w:rPr>
                <w:rFonts w:hint="eastAsia" w:ascii="宋体" w:hAnsi="宋体" w:cs="宋体"/>
                <w:color w:val="000000"/>
                <w:szCs w:val="21"/>
              </w:rPr>
              <w:t>③</w:t>
            </w:r>
            <w:r>
              <w:rPr>
                <w:rFonts w:hint="eastAsia" w:ascii="µÈÏß Western" w:hAnsi="µÈÏß Western" w:cs="宋体"/>
                <w:color w:val="000000"/>
                <w:szCs w:val="21"/>
              </w:rPr>
              <w:t>三个区域，采用双层柱面网壳钢结构进行封闭，封闭面积为</w:t>
            </w:r>
            <w:r>
              <w:rPr>
                <w:rFonts w:ascii="µÈÏß Western" w:hAnsi="µÈÏß Western" w:cs="µÈÏß Western"/>
                <w:color w:val="000000"/>
                <w:szCs w:val="21"/>
              </w:rPr>
              <w:t>62198m</w:t>
            </w:r>
            <w:r>
              <w:rPr>
                <w:rFonts w:ascii="µÈÏß Western" w:hAnsi="µÈÏß Western" w:cs="µÈÏß Western"/>
                <w:color w:val="000000"/>
                <w:szCs w:val="21"/>
                <w:vertAlign w:val="superscript"/>
              </w:rPr>
              <w:t>2</w:t>
            </w:r>
            <w:r>
              <w:rPr>
                <w:rFonts w:hint="eastAsia" w:ascii="µÈÏß Western" w:hAnsi="µÈÏß Western" w:cs="宋体"/>
                <w:color w:val="000000"/>
                <w:szCs w:val="21"/>
              </w:rPr>
              <w:t>。经监测，无组织污染物排放达到《炼钢工业大气污染物排放标准》</w:t>
            </w:r>
            <w:r>
              <w:rPr>
                <w:rFonts w:ascii="µÈÏß Western" w:hAnsi="µÈÏß Western" w:cs="µÈÏß Western"/>
                <w:color w:val="000000"/>
                <w:szCs w:val="21"/>
              </w:rPr>
              <w:t>(GB28664-2012)</w:t>
            </w:r>
            <w:r>
              <w:rPr>
                <w:rFonts w:hint="eastAsia" w:ascii="µÈÏß Western" w:hAnsi="µÈÏß Western" w:cs="宋体"/>
                <w:color w:val="000000"/>
                <w:szCs w:val="21"/>
              </w:rPr>
              <w:t>表</w:t>
            </w:r>
            <w:r>
              <w:rPr>
                <w:rFonts w:ascii="µÈÏß Western" w:hAnsi="µÈÏß Western" w:cs="µÈÏß Western"/>
                <w:color w:val="000000"/>
                <w:szCs w:val="21"/>
              </w:rPr>
              <w:t>4</w:t>
            </w:r>
            <w:r>
              <w:rPr>
                <w:rFonts w:hint="eastAsia" w:ascii="µÈÏß Western" w:hAnsi="µÈÏß Western" w:cs="宋体"/>
                <w:color w:val="000000"/>
                <w:szCs w:val="21"/>
              </w:rPr>
              <w:t>中排放标准。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1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3</w:t>
            </w:r>
          </w:p>
        </w:tc>
        <w:tc>
          <w:tcPr>
            <w:tcW w:w="4106" w:type="dxa"/>
            <w:vAlign w:val="center"/>
          </w:tcPr>
          <w:p>
            <w:pPr>
              <w:snapToGrid w:val="0"/>
              <w:rPr>
                <w:rFonts w:ascii="Times New Roman" w:hAnsi="Times New Roman" w:eastAsia="宋体" w:cs="Times New Roman"/>
                <w:szCs w:val="21"/>
              </w:rPr>
            </w:pPr>
            <w:r>
              <w:rPr>
                <w:rFonts w:hint="eastAsia" w:ascii="宋体" w:hAnsi="宋体" w:cs="宋体"/>
                <w:color w:val="000000"/>
                <w:spacing w:val="4"/>
              </w:rPr>
              <w:t>翻车机、堆取料机、卸料机、装载机采取在全封闭料仓内作业，污染物排放达到《工业企业厂界环境噪声排放标准》</w:t>
            </w:r>
            <w:r>
              <w:rPr>
                <w:rFonts w:ascii="宋体" w:hAnsi="宋体" w:cs="宋体"/>
                <w:color w:val="000000"/>
                <w:spacing w:val="4"/>
              </w:rPr>
              <w:t>3</w:t>
            </w:r>
            <w:r>
              <w:rPr>
                <w:rFonts w:hint="eastAsia" w:ascii="宋体" w:hAnsi="宋体" w:cs="宋体"/>
                <w:color w:val="000000"/>
                <w:spacing w:val="4"/>
              </w:rPr>
              <w:t>类标准</w:t>
            </w:r>
            <w:r>
              <w:rPr>
                <w:rFonts w:ascii="宋体" w:hAnsi="宋体" w:cs="宋体"/>
                <w:color w:val="000000"/>
                <w:spacing w:val="4"/>
              </w:rPr>
              <w:t>:</w:t>
            </w:r>
            <w:r>
              <w:rPr>
                <w:rFonts w:hint="eastAsia" w:ascii="宋体" w:hAnsi="宋体" w:cs="宋体"/>
                <w:color w:val="000000"/>
                <w:spacing w:val="4"/>
              </w:rPr>
              <w:t>昼间</w:t>
            </w:r>
            <w:r>
              <w:rPr>
                <w:rFonts w:ascii="宋体" w:hAnsi="宋体" w:cs="宋体"/>
                <w:color w:val="000000"/>
                <w:spacing w:val="4"/>
              </w:rPr>
              <w:t>65dB(A)</w:t>
            </w:r>
            <w:r>
              <w:rPr>
                <w:rFonts w:hint="eastAsia" w:ascii="宋体" w:hAnsi="宋体" w:cs="宋体"/>
                <w:color w:val="000000"/>
                <w:spacing w:val="4"/>
              </w:rPr>
              <w:t>，夜间</w:t>
            </w:r>
            <w:r>
              <w:rPr>
                <w:rFonts w:ascii="宋体" w:hAnsi="宋体" w:cs="宋体"/>
                <w:color w:val="000000"/>
                <w:spacing w:val="4"/>
              </w:rPr>
              <w:t>55dB(A)</w:t>
            </w:r>
            <w:r>
              <w:rPr>
                <w:rFonts w:hint="eastAsia" w:ascii="宋体" w:hAnsi="宋体" w:cs="宋体"/>
                <w:color w:val="000000"/>
                <w:spacing w:val="4"/>
              </w:rPr>
              <w:t>。</w:t>
            </w:r>
          </w:p>
        </w:tc>
        <w:tc>
          <w:tcPr>
            <w:tcW w:w="4315" w:type="dxa"/>
            <w:vAlign w:val="center"/>
          </w:tcPr>
          <w:p>
            <w:pPr>
              <w:snapToGrid w:val="0"/>
              <w:rPr>
                <w:rFonts w:ascii="Times New Roman" w:hAnsi="Times New Roman" w:eastAsia="宋体" w:cs="Times New Roman"/>
                <w:szCs w:val="21"/>
              </w:rPr>
            </w:pPr>
            <w:r>
              <w:rPr>
                <w:rFonts w:hint="eastAsia" w:ascii="µÈÏß Western" w:hAnsi="µÈÏß Western" w:cs="宋体"/>
                <w:color w:val="000000"/>
                <w:szCs w:val="21"/>
              </w:rPr>
              <w:t>翻车机、堆取料机、卸料机、装载机等均在全封闭料棚内作业。</w:t>
            </w:r>
          </w:p>
        </w:tc>
      </w:tr>
    </w:tbl>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四、环境保护设施调试效果</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（一）环保设施处理效率</w:t>
      </w:r>
    </w:p>
    <w:p>
      <w:pPr>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项目调试运行期间，各项环保设施均运行正常，环保设施运行符合环境影响报告表及其环评批复的要求。</w:t>
      </w:r>
    </w:p>
    <w:p>
      <w:pPr>
        <w:pStyle w:val="61"/>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（二）污染物排放情况</w:t>
      </w:r>
    </w:p>
    <w:p>
      <w:pPr>
        <w:pStyle w:val="10"/>
        <w:snapToGrid w:val="0"/>
        <w:spacing w:line="500" w:lineRule="exact"/>
        <w:ind w:firstLine="560" w:firstLineChars="200"/>
        <w:rPr>
          <w:bCs/>
          <w:color w:val="000000"/>
          <w:sz w:val="28"/>
          <w:szCs w:val="28"/>
        </w:rPr>
      </w:pPr>
      <w:r>
        <w:rPr>
          <w:rFonts w:hint="eastAsia"/>
          <w:bCs/>
          <w:color w:val="000000"/>
          <w:sz w:val="28"/>
          <w:szCs w:val="28"/>
        </w:rPr>
        <w:t>1</w:t>
      </w:r>
      <w:r>
        <w:rPr>
          <w:bCs/>
          <w:color w:val="000000"/>
          <w:sz w:val="28"/>
          <w:szCs w:val="28"/>
        </w:rPr>
        <w:t>、厂界无组织排放</w:t>
      </w:r>
    </w:p>
    <w:p>
      <w:pPr>
        <w:pStyle w:val="10"/>
        <w:snapToGrid w:val="0"/>
        <w:spacing w:line="500" w:lineRule="exact"/>
        <w:ind w:firstLine="560" w:firstLineChars="200"/>
        <w:rPr>
          <w:bCs/>
          <w:color w:val="000000"/>
          <w:sz w:val="28"/>
          <w:szCs w:val="28"/>
        </w:rPr>
      </w:pPr>
      <w:r>
        <w:rPr>
          <w:rFonts w:hint="eastAsia"/>
          <w:bCs/>
          <w:color w:val="000000"/>
          <w:sz w:val="28"/>
          <w:szCs w:val="28"/>
        </w:rPr>
        <w:t>项目无组织废气满足《炼钢工业大气污染物排放标准》（GB28664-2012）和《钢铁工业大气污染物排放标准》（DB14/2249-2020）中有厂房车间无组织排放限值8.0 mg/m</w:t>
      </w:r>
      <w:r>
        <w:rPr>
          <w:rFonts w:hint="eastAsia"/>
          <w:bCs/>
          <w:color w:val="000000"/>
          <w:sz w:val="28"/>
          <w:szCs w:val="28"/>
          <w:vertAlign w:val="superscript"/>
        </w:rPr>
        <w:t>3</w:t>
      </w:r>
      <w:r>
        <w:rPr>
          <w:rFonts w:hint="eastAsia"/>
          <w:bCs/>
          <w:color w:val="000000"/>
          <w:sz w:val="28"/>
          <w:szCs w:val="28"/>
        </w:rPr>
        <w:t>的要求，在监测期间达标率为100%。</w:t>
      </w:r>
    </w:p>
    <w:p>
      <w:pPr>
        <w:pStyle w:val="10"/>
        <w:snapToGrid w:val="0"/>
        <w:spacing w:line="500" w:lineRule="exact"/>
        <w:ind w:firstLine="560" w:firstLineChars="200"/>
        <w:rPr>
          <w:bCs/>
          <w:sz w:val="28"/>
          <w:szCs w:val="28"/>
        </w:rPr>
      </w:pPr>
      <w:r>
        <w:rPr>
          <w:rFonts w:hint="eastAsia"/>
          <w:bCs/>
          <w:sz w:val="28"/>
          <w:szCs w:val="28"/>
        </w:rPr>
        <w:t>2</w:t>
      </w:r>
      <w:r>
        <w:rPr>
          <w:bCs/>
          <w:sz w:val="28"/>
          <w:szCs w:val="28"/>
        </w:rPr>
        <w:t>、厂界噪声</w:t>
      </w:r>
    </w:p>
    <w:p>
      <w:pPr>
        <w:pStyle w:val="10"/>
        <w:snapToGrid w:val="0"/>
        <w:spacing w:line="500" w:lineRule="exact"/>
        <w:ind w:firstLine="560" w:firstLineChars="200"/>
        <w:rPr>
          <w:bCs/>
          <w:color w:val="000000"/>
          <w:sz w:val="28"/>
          <w:szCs w:val="28"/>
        </w:rPr>
      </w:pPr>
      <w:r>
        <w:rPr>
          <w:bCs/>
          <w:color w:val="000000"/>
          <w:sz w:val="28"/>
          <w:szCs w:val="28"/>
        </w:rPr>
        <w:t>厂界噪声验收监测结果表明：监测期间，厂界噪声昼间监测值范围为</w:t>
      </w:r>
      <w:r>
        <w:rPr>
          <w:rFonts w:hint="eastAsia"/>
          <w:bCs/>
          <w:color w:val="000000"/>
          <w:sz w:val="28"/>
          <w:szCs w:val="28"/>
          <w:lang w:val="zh-CN"/>
        </w:rPr>
        <w:t>厂界噪声范围为昼间：</w:t>
      </w:r>
      <w:r>
        <w:rPr>
          <w:bCs/>
          <w:color w:val="000000"/>
          <w:sz w:val="28"/>
          <w:szCs w:val="28"/>
        </w:rPr>
        <w:t>61.3-64.8dB</w:t>
      </w:r>
      <w:r>
        <w:rPr>
          <w:rFonts w:hint="eastAsia"/>
          <w:bCs/>
          <w:color w:val="000000"/>
          <w:sz w:val="28"/>
          <w:szCs w:val="28"/>
        </w:rPr>
        <w:t>（</w:t>
      </w:r>
      <w:r>
        <w:rPr>
          <w:bCs/>
          <w:color w:val="000000"/>
          <w:sz w:val="28"/>
          <w:szCs w:val="28"/>
        </w:rPr>
        <w:t>A</w:t>
      </w:r>
      <w:r>
        <w:rPr>
          <w:rFonts w:hint="eastAsia"/>
          <w:bCs/>
          <w:color w:val="000000"/>
          <w:sz w:val="28"/>
          <w:szCs w:val="28"/>
        </w:rPr>
        <w:t>）</w:t>
      </w:r>
      <w:r>
        <w:rPr>
          <w:rFonts w:hint="eastAsia"/>
          <w:bCs/>
          <w:color w:val="000000"/>
          <w:sz w:val="28"/>
          <w:szCs w:val="28"/>
          <w:lang w:val="zh-CN"/>
        </w:rPr>
        <w:t>，夜间：</w:t>
      </w:r>
      <w:r>
        <w:rPr>
          <w:bCs/>
          <w:color w:val="000000"/>
          <w:sz w:val="28"/>
          <w:szCs w:val="28"/>
        </w:rPr>
        <w:t>51.3-54.5dB</w:t>
      </w:r>
      <w:r>
        <w:rPr>
          <w:rFonts w:hint="eastAsia"/>
          <w:bCs/>
          <w:color w:val="000000"/>
          <w:sz w:val="28"/>
          <w:szCs w:val="28"/>
        </w:rPr>
        <w:t>（</w:t>
      </w:r>
      <w:r>
        <w:rPr>
          <w:bCs/>
          <w:color w:val="000000"/>
          <w:sz w:val="28"/>
          <w:szCs w:val="28"/>
        </w:rPr>
        <w:t>A</w:t>
      </w:r>
      <w:r>
        <w:rPr>
          <w:rFonts w:hint="eastAsia"/>
          <w:bCs/>
          <w:color w:val="000000"/>
          <w:sz w:val="28"/>
          <w:szCs w:val="28"/>
        </w:rPr>
        <w:t>）</w:t>
      </w:r>
      <w:r>
        <w:rPr>
          <w:bCs/>
          <w:color w:val="000000"/>
          <w:sz w:val="28"/>
          <w:szCs w:val="28"/>
        </w:rPr>
        <w:t>，均满足《工业企业厂界环境噪声排放标准》（GB12348-2008）中3类标准要求</w:t>
      </w:r>
      <w:r>
        <w:rPr>
          <w:rFonts w:hint="eastAsia"/>
          <w:bCs/>
          <w:color w:val="000000"/>
          <w:sz w:val="28"/>
          <w:szCs w:val="28"/>
        </w:rPr>
        <w:t>（昼间65</w:t>
      </w:r>
      <w:r>
        <w:rPr>
          <w:bCs/>
          <w:color w:val="000000"/>
          <w:sz w:val="28"/>
          <w:szCs w:val="28"/>
        </w:rPr>
        <w:t xml:space="preserve"> dB</w:t>
      </w:r>
      <w:r>
        <w:rPr>
          <w:rFonts w:hint="eastAsia"/>
          <w:bCs/>
          <w:color w:val="000000"/>
          <w:sz w:val="28"/>
          <w:szCs w:val="28"/>
        </w:rPr>
        <w:t>（</w:t>
      </w:r>
      <w:r>
        <w:rPr>
          <w:bCs/>
          <w:color w:val="000000"/>
          <w:sz w:val="28"/>
          <w:szCs w:val="28"/>
        </w:rPr>
        <w:t>A</w:t>
      </w:r>
      <w:r>
        <w:rPr>
          <w:rFonts w:hint="eastAsia"/>
          <w:bCs/>
          <w:color w:val="000000"/>
          <w:sz w:val="28"/>
          <w:szCs w:val="28"/>
        </w:rPr>
        <w:t>），夜间55</w:t>
      </w:r>
      <w:r>
        <w:rPr>
          <w:bCs/>
          <w:color w:val="000000"/>
          <w:sz w:val="28"/>
          <w:szCs w:val="28"/>
        </w:rPr>
        <w:t xml:space="preserve"> dB</w:t>
      </w:r>
      <w:r>
        <w:rPr>
          <w:rFonts w:hint="eastAsia"/>
          <w:bCs/>
          <w:color w:val="000000"/>
          <w:sz w:val="28"/>
          <w:szCs w:val="28"/>
        </w:rPr>
        <w:t>（</w:t>
      </w:r>
      <w:r>
        <w:rPr>
          <w:bCs/>
          <w:color w:val="000000"/>
          <w:sz w:val="28"/>
          <w:szCs w:val="28"/>
        </w:rPr>
        <w:t>A</w:t>
      </w:r>
      <w:r>
        <w:rPr>
          <w:rFonts w:hint="eastAsia"/>
          <w:bCs/>
          <w:color w:val="000000"/>
          <w:sz w:val="28"/>
          <w:szCs w:val="28"/>
        </w:rPr>
        <w:t>）)</w:t>
      </w:r>
      <w:r>
        <w:rPr>
          <w:bCs/>
          <w:color w:val="000000"/>
          <w:sz w:val="28"/>
          <w:szCs w:val="28"/>
        </w:rPr>
        <w:t>。</w:t>
      </w: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hint="eastAsia" w:ascii="Times New Roman" w:hAnsi="Times New Roman" w:cs="Times New Roman"/>
          <w:b/>
          <w:color w:val="000000"/>
          <w:sz w:val="28"/>
          <w:szCs w:val="28"/>
        </w:rPr>
        <w:t>五</w:t>
      </w:r>
      <w:r>
        <w:rPr>
          <w:rFonts w:ascii="Times New Roman" w:hAnsi="Times New Roman" w:cs="Times New Roman"/>
          <w:b/>
          <w:color w:val="000000"/>
          <w:sz w:val="28"/>
          <w:szCs w:val="28"/>
        </w:rPr>
        <w:t>、工程建设对环境的影响</w:t>
      </w:r>
    </w:p>
    <w:p>
      <w:pPr>
        <w:pStyle w:val="61"/>
        <w:snapToGrid w:val="0"/>
        <w:spacing w:before="0" w:beforeAutospacing="0" w:after="0" w:afterAutospacing="0" w:line="500" w:lineRule="exact"/>
        <w:ind w:firstLine="560" w:firstLineChars="200"/>
        <w:rPr>
          <w:rFonts w:ascii="Times New Roman" w:hAnsi="Times New Roman" w:cs="Times New Roman"/>
          <w:color w:val="000000"/>
          <w:sz w:val="28"/>
          <w:szCs w:val="28"/>
        </w:rPr>
      </w:pPr>
      <w:r>
        <w:rPr>
          <w:rFonts w:hint="eastAsia" w:ascii="Times New Roman" w:hAnsi="Times New Roman" w:cs="Times New Roman"/>
          <w:color w:val="000000"/>
          <w:sz w:val="28"/>
          <w:szCs w:val="28"/>
        </w:rPr>
        <w:t>山西太钢不锈钢股份有限公司原料场环保改造封闭工程符合国家产业政策要求，由于其为原料场封闭项目，本身是环保工程项目，体现了环境影响正效益的相关要求；工程建成后，减少了粉尘的无组织排放量，对区域环境空气质量起到改善作用，</w:t>
      </w:r>
      <w:r>
        <w:rPr>
          <w:rFonts w:ascii="Times New Roman" w:hAnsi="Times New Roman" w:cs="Times New Roman"/>
          <w:color w:val="000000"/>
          <w:sz w:val="28"/>
          <w:szCs w:val="28"/>
        </w:rPr>
        <w:t>据验收监测结果可知，各污染物满足达标排放，周围环境质量可达到验收执行标准。工程建设对周围环境产生的影响较小。</w:t>
      </w:r>
    </w:p>
    <w:p>
      <w:pPr>
        <w:pStyle w:val="61"/>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hint="eastAsia" w:ascii="Times New Roman" w:hAnsi="Times New Roman" w:cs="Times New Roman"/>
          <w:b/>
          <w:color w:val="000000"/>
          <w:sz w:val="28"/>
          <w:szCs w:val="28"/>
        </w:rPr>
        <w:t>六</w:t>
      </w:r>
      <w:r>
        <w:rPr>
          <w:rFonts w:ascii="Times New Roman" w:hAnsi="Times New Roman" w:cs="Times New Roman"/>
          <w:b/>
          <w:color w:val="000000"/>
          <w:sz w:val="28"/>
          <w:szCs w:val="28"/>
        </w:rPr>
        <w:t>、验收结论</w:t>
      </w:r>
    </w:p>
    <w:p>
      <w:pPr>
        <w:adjustRightInd w:val="0"/>
        <w:snapToGrid w:val="0"/>
        <w:spacing w:line="500" w:lineRule="exact"/>
        <w:ind w:firstLine="560" w:firstLineChars="200"/>
        <w:rPr>
          <w:rFonts w:ascii="Times New Roman" w:hAnsi="Times New Roman" w:cs="Times New Roman"/>
          <w:bCs/>
          <w:color w:val="000000"/>
          <w:sz w:val="28"/>
          <w:szCs w:val="28"/>
        </w:rPr>
      </w:pPr>
      <w:r>
        <w:rPr>
          <w:rFonts w:hint="eastAsia" w:ascii="Times New Roman" w:hAnsi="Times New Roman" w:cs="Times New Roman"/>
          <w:kern w:val="0"/>
          <w:sz w:val="28"/>
          <w:szCs w:val="28"/>
        </w:rPr>
        <w:t>山西太钢不锈钢股份有限公司原料场环保改造封闭项目</w:t>
      </w:r>
      <w:r>
        <w:rPr>
          <w:rFonts w:ascii="Times New Roman" w:hAnsi="Times New Roman" w:cs="Times New Roman"/>
          <w:color w:val="000000"/>
          <w:kern w:val="0"/>
          <w:sz w:val="28"/>
          <w:szCs w:val="28"/>
        </w:rPr>
        <w:t>进行了环境影响评价，报告表经</w:t>
      </w:r>
      <w:r>
        <w:rPr>
          <w:rFonts w:hint="eastAsia" w:ascii="Times New Roman" w:hAnsi="Times New Roman" w:cs="Times New Roman"/>
          <w:sz w:val="28"/>
          <w:szCs w:val="28"/>
        </w:rPr>
        <w:t>太原市环境保护局尖草坪分局</w:t>
      </w:r>
      <w:r>
        <w:rPr>
          <w:rFonts w:ascii="Times New Roman" w:hAnsi="Times New Roman" w:cs="Times New Roman"/>
          <w:bCs/>
          <w:color w:val="000000"/>
          <w:sz w:val="28"/>
          <w:szCs w:val="28"/>
        </w:rPr>
        <w:t>批复。项目基本按照环评及其批复要求进行了建设。验收监测结果表明，污染物可以做到达标排放，不存在国家规定的验收不合格情形。验收组认为，本项目竣工环境保护验收为基本合格。</w:t>
      </w:r>
    </w:p>
    <w:p>
      <w:pPr>
        <w:pStyle w:val="61"/>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r>
        <w:rPr>
          <w:rFonts w:hint="eastAsia" w:ascii="Times New Roman" w:hAnsi="Times New Roman" w:cs="Times New Roman"/>
          <w:b/>
          <w:color w:val="000000"/>
          <w:sz w:val="28"/>
          <w:szCs w:val="28"/>
        </w:rPr>
        <w:t>七、</w:t>
      </w:r>
      <w:r>
        <w:rPr>
          <w:rFonts w:ascii="Times New Roman" w:hAnsi="Times New Roman" w:cs="Times New Roman"/>
          <w:b/>
          <w:color w:val="000000"/>
          <w:sz w:val="28"/>
          <w:szCs w:val="28"/>
        </w:rPr>
        <w:t>验收人员信息</w:t>
      </w:r>
    </w:p>
    <w:p>
      <w:pPr>
        <w:adjustRightInd w:val="0"/>
        <w:snapToGrid w:val="0"/>
        <w:spacing w:line="500" w:lineRule="exact"/>
        <w:ind w:firstLine="560" w:firstLineChars="200"/>
        <w:rPr>
          <w:rFonts w:hint="eastAsia" w:ascii="Times New Roman" w:hAnsi="Times New Roman" w:cs="Times New Roman"/>
          <w:kern w:val="0"/>
          <w:sz w:val="28"/>
          <w:szCs w:val="28"/>
        </w:rPr>
      </w:pPr>
      <w:r>
        <w:rPr>
          <w:rFonts w:ascii="Times New Roman" w:hAnsi="Times New Roman" w:cs="Times New Roman"/>
          <w:kern w:val="0"/>
          <w:sz w:val="28"/>
          <w:szCs w:val="28"/>
        </w:rPr>
        <w:t>验收组名单附后。</w:t>
      </w:r>
    </w:p>
    <w:p>
      <w:pPr>
        <w:adjustRightInd w:val="0"/>
        <w:snapToGrid w:val="0"/>
        <w:spacing w:line="500" w:lineRule="exact"/>
        <w:ind w:firstLine="560" w:firstLineChars="200"/>
        <w:rPr>
          <w:rFonts w:ascii="Times New Roman" w:hAnsi="Times New Roman" w:cs="Times New Roman"/>
          <w:kern w:val="0"/>
          <w:sz w:val="28"/>
          <w:szCs w:val="28"/>
        </w:rPr>
      </w:pPr>
    </w:p>
    <w:p>
      <w:pPr>
        <w:adjustRightInd w:val="0"/>
        <w:snapToGrid w:val="0"/>
        <w:spacing w:line="500" w:lineRule="exact"/>
        <w:ind w:firstLine="560" w:firstLineChars="200"/>
        <w:jc w:val="right"/>
        <w:rPr>
          <w:rFonts w:ascii="宋体" w:hAnsi="宋体"/>
          <w:sz w:val="24"/>
        </w:rPr>
      </w:pPr>
      <w:r>
        <w:rPr>
          <w:rFonts w:hint="eastAsia" w:ascii="Times New Roman" w:hAnsi="Times New Roman" w:cs="Times New Roman"/>
          <w:kern w:val="0"/>
          <w:sz w:val="28"/>
          <w:szCs w:val="28"/>
        </w:rPr>
        <w:t>山西太钢</w:t>
      </w:r>
      <w:r>
        <w:rPr>
          <w:rFonts w:hint="eastAsia" w:ascii="宋体" w:hAnsi="宋体"/>
          <w:sz w:val="24"/>
        </w:rPr>
        <w:t>不锈钢股份有限公司炼铁厂</w:t>
      </w:r>
    </w:p>
    <w:p>
      <w:pPr>
        <w:snapToGrid w:val="0"/>
        <w:spacing w:line="500" w:lineRule="exact"/>
        <w:ind w:right="960"/>
        <w:jc w:val="center"/>
        <w:rPr>
          <w:rFonts w:ascii="Times New Roman" w:hAnsi="Times New Roman" w:cs="Times New Roman"/>
          <w:color w:val="000000"/>
          <w:kern w:val="0"/>
          <w:sz w:val="28"/>
          <w:szCs w:val="28"/>
        </w:rPr>
        <w:sectPr>
          <w:footerReference r:id="rId4" w:type="default"/>
          <w:pgSz w:w="11907" w:h="16839"/>
          <w:pgMar w:top="1440" w:right="1287" w:bottom="1440" w:left="1797" w:header="907" w:footer="1021" w:gutter="0"/>
          <w:cols w:space="720" w:num="1"/>
          <w:titlePg/>
          <w:docGrid w:type="lines" w:linePitch="312" w:charSpace="0"/>
        </w:sectPr>
      </w:pPr>
      <w:r>
        <w:rPr>
          <w:rFonts w:hint="eastAsia" w:ascii="宋体" w:hAnsi="宋体"/>
          <w:sz w:val="24"/>
        </w:rPr>
        <w:t xml:space="preserve">                                          </w:t>
      </w:r>
      <w:r>
        <w:rPr>
          <w:rFonts w:ascii="宋体" w:hAnsi="宋体"/>
          <w:sz w:val="24"/>
        </w:rPr>
        <w:t>202</w:t>
      </w:r>
      <w:r>
        <w:rPr>
          <w:rFonts w:hint="eastAsia" w:ascii="宋体" w:hAnsi="宋体"/>
          <w:sz w:val="24"/>
        </w:rPr>
        <w:t>1</w:t>
      </w:r>
      <w:r>
        <w:rPr>
          <w:rFonts w:ascii="宋体" w:hAnsi="宋体"/>
          <w:sz w:val="24"/>
        </w:rPr>
        <w:t>年</w:t>
      </w:r>
      <w:r>
        <w:rPr>
          <w:rFonts w:hint="eastAsia" w:ascii="宋体" w:hAnsi="宋体"/>
          <w:sz w:val="24"/>
        </w:rPr>
        <w:t>5</w:t>
      </w:r>
      <w:r>
        <w:rPr>
          <w:rFonts w:ascii="宋体" w:hAnsi="宋体"/>
          <w:sz w:val="24"/>
        </w:rPr>
        <w:t>月</w:t>
      </w:r>
      <w:r>
        <w:rPr>
          <w:rFonts w:hint="eastAsia" w:ascii="宋体" w:hAnsi="宋体"/>
          <w:sz w:val="24"/>
        </w:rPr>
        <w:t>28</w:t>
      </w:r>
      <w:r>
        <w:rPr>
          <w:rFonts w:ascii="宋体" w:hAnsi="宋体"/>
          <w:sz w:val="24"/>
        </w:rPr>
        <w:t>日</w:t>
      </w:r>
    </w:p>
    <w:p>
      <w:pPr>
        <w:snapToGrid w:val="0"/>
        <w:spacing w:line="500" w:lineRule="exact"/>
        <w:jc w:val="center"/>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山西太钢不锈钢股份有限公司硅钢常化酸洗生产线技术改造项目</w:t>
      </w:r>
    </w:p>
    <w:p>
      <w:pPr>
        <w:snapToGrid w:val="0"/>
        <w:spacing w:line="500" w:lineRule="exact"/>
        <w:jc w:val="center"/>
        <w:rPr>
          <w:rFonts w:ascii="Times New Roman" w:hAnsi="Times New Roman" w:cs="Times New Roman"/>
          <w:color w:val="000000"/>
          <w:kern w:val="0"/>
          <w:sz w:val="28"/>
          <w:szCs w:val="28"/>
        </w:rPr>
      </w:pPr>
      <w:r>
        <w:rPr>
          <w:rFonts w:ascii="Times New Roman" w:hAnsi="Times New Roman" w:cs="Times New Roman"/>
          <w:color w:val="000000"/>
          <w:kern w:val="0"/>
          <w:sz w:val="28"/>
          <w:szCs w:val="28"/>
        </w:rPr>
        <w:t>竣工环境保护验收组名单</w:t>
      </w:r>
    </w:p>
    <w:tbl>
      <w:tblPr>
        <w:tblStyle w:val="22"/>
        <w:tblW w:w="91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
      <w:tblGrid>
        <w:gridCol w:w="557"/>
        <w:gridCol w:w="1459"/>
        <w:gridCol w:w="920"/>
        <w:gridCol w:w="2264"/>
        <w:gridCol w:w="1065"/>
        <w:gridCol w:w="1419"/>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622" w:hRule="atLeast"/>
          <w:jc w:val="center"/>
        </w:trPr>
        <w:tc>
          <w:tcPr>
            <w:tcW w:w="557"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序号</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验收组职务</w:t>
            </w:r>
          </w:p>
        </w:tc>
        <w:tc>
          <w:tcPr>
            <w:tcW w:w="920"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姓名</w:t>
            </w:r>
          </w:p>
        </w:tc>
        <w:tc>
          <w:tcPr>
            <w:tcW w:w="2264"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工作单位</w:t>
            </w:r>
          </w:p>
        </w:tc>
        <w:tc>
          <w:tcPr>
            <w:tcW w:w="1065"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职称/职务</w:t>
            </w:r>
          </w:p>
        </w:tc>
        <w:tc>
          <w:tcPr>
            <w:tcW w:w="141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电话</w:t>
            </w:r>
          </w:p>
        </w:tc>
        <w:tc>
          <w:tcPr>
            <w:tcW w:w="1451"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92" w:hRule="atLeast"/>
          <w:jc w:val="center"/>
        </w:trPr>
        <w:tc>
          <w:tcPr>
            <w:tcW w:w="557"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1</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验收负责人</w:t>
            </w:r>
          </w:p>
        </w:tc>
        <w:tc>
          <w:tcPr>
            <w:tcW w:w="920" w:type="dxa"/>
            <w:vAlign w:val="center"/>
          </w:tcPr>
          <w:p>
            <w:pPr>
              <w:adjustRightInd w:val="0"/>
              <w:snapToGrid w:val="0"/>
              <w:jc w:val="center"/>
              <w:rPr>
                <w:rFonts w:ascii="Times New Roman" w:hAnsi="Times New Roman" w:cs="Times New Roman"/>
                <w:color w:val="333333"/>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color w:val="333333"/>
                <w:szCs w:val="21"/>
              </w:rPr>
            </w:pPr>
          </w:p>
        </w:tc>
        <w:tc>
          <w:tcPr>
            <w:tcW w:w="1419" w:type="dxa"/>
            <w:vAlign w:val="center"/>
          </w:tcPr>
          <w:p>
            <w:pPr>
              <w:adjustRightInd w:val="0"/>
              <w:snapToGrid w:val="0"/>
              <w:jc w:val="center"/>
              <w:rPr>
                <w:rFonts w:ascii="Times New Roman" w:hAnsi="Times New Roman" w:cs="Times New Roman"/>
                <w:color w:val="333333"/>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77" w:hRule="atLeast"/>
          <w:jc w:val="center"/>
        </w:trPr>
        <w:tc>
          <w:tcPr>
            <w:tcW w:w="557"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2</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验收单位</w:t>
            </w:r>
          </w:p>
        </w:tc>
        <w:tc>
          <w:tcPr>
            <w:tcW w:w="920" w:type="dxa"/>
            <w:vAlign w:val="center"/>
          </w:tcPr>
          <w:p>
            <w:pPr>
              <w:adjustRightInd w:val="0"/>
              <w:snapToGrid w:val="0"/>
              <w:jc w:val="center"/>
              <w:rPr>
                <w:rFonts w:ascii="Times New Roman" w:hAnsi="Times New Roman" w:cs="Times New Roman"/>
                <w:color w:val="333333"/>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color w:val="333333"/>
                <w:szCs w:val="21"/>
              </w:rPr>
            </w:pPr>
          </w:p>
        </w:tc>
        <w:tc>
          <w:tcPr>
            <w:tcW w:w="1419" w:type="dxa"/>
            <w:vAlign w:val="center"/>
          </w:tcPr>
          <w:p>
            <w:pPr>
              <w:adjustRightInd w:val="0"/>
              <w:snapToGrid w:val="0"/>
              <w:jc w:val="center"/>
              <w:rPr>
                <w:rFonts w:ascii="Times New Roman" w:hAnsi="Times New Roman" w:cs="Times New Roman"/>
                <w:color w:val="333333"/>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47" w:hRule="atLeast"/>
          <w:jc w:val="center"/>
        </w:trPr>
        <w:tc>
          <w:tcPr>
            <w:tcW w:w="557"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3</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验收单位</w:t>
            </w:r>
          </w:p>
        </w:tc>
        <w:tc>
          <w:tcPr>
            <w:tcW w:w="920" w:type="dxa"/>
            <w:vAlign w:val="center"/>
          </w:tcPr>
          <w:p>
            <w:pPr>
              <w:adjustRightInd w:val="0"/>
              <w:snapToGrid w:val="0"/>
              <w:jc w:val="center"/>
              <w:rPr>
                <w:rFonts w:ascii="Times New Roman" w:hAnsi="Times New Roman" w:cs="Times New Roman"/>
                <w:szCs w:val="21"/>
              </w:rPr>
            </w:pPr>
          </w:p>
        </w:tc>
        <w:tc>
          <w:tcPr>
            <w:tcW w:w="2264" w:type="dxa"/>
            <w:vAlign w:val="center"/>
          </w:tcPr>
          <w:p>
            <w:pPr>
              <w:adjustRightInd w:val="0"/>
              <w:snapToGrid w:val="0"/>
              <w:jc w:val="center"/>
              <w:rPr>
                <w:rFonts w:ascii="Times New Roman" w:hAnsi="Times New Roman" w:cs="Times New Roman"/>
                <w:szCs w:val="21"/>
              </w:rPr>
            </w:pPr>
          </w:p>
        </w:tc>
        <w:tc>
          <w:tcPr>
            <w:tcW w:w="1065" w:type="dxa"/>
            <w:vAlign w:val="center"/>
          </w:tcPr>
          <w:p>
            <w:pPr>
              <w:adjustRightInd w:val="0"/>
              <w:snapToGrid w:val="0"/>
              <w:jc w:val="center"/>
              <w:rPr>
                <w:rFonts w:ascii="Times New Roman" w:hAnsi="Times New Roman" w:cs="Times New Roman"/>
                <w:szCs w:val="21"/>
              </w:rPr>
            </w:pPr>
          </w:p>
        </w:tc>
        <w:tc>
          <w:tcPr>
            <w:tcW w:w="1419" w:type="dxa"/>
            <w:vAlign w:val="center"/>
          </w:tcPr>
          <w:p>
            <w:pPr>
              <w:adjustRightInd w:val="0"/>
              <w:snapToGrid w:val="0"/>
              <w:jc w:val="center"/>
              <w:rPr>
                <w:rFonts w:ascii="Times New Roman" w:hAnsi="Times New Roman" w:cs="Times New Roman"/>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02" w:hRule="atLeast"/>
          <w:jc w:val="center"/>
        </w:trPr>
        <w:tc>
          <w:tcPr>
            <w:tcW w:w="557"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4</w:t>
            </w:r>
          </w:p>
        </w:tc>
        <w:tc>
          <w:tcPr>
            <w:tcW w:w="1459" w:type="dxa"/>
            <w:vAlign w:val="center"/>
          </w:tcPr>
          <w:p>
            <w:pPr>
              <w:jc w:val="center"/>
              <w:rPr>
                <w:rFonts w:ascii="Times New Roman" w:hAnsi="Times New Roman" w:cs="Times New Roman"/>
                <w:color w:val="333333"/>
                <w:szCs w:val="21"/>
              </w:rPr>
            </w:pPr>
            <w:r>
              <w:rPr>
                <w:rFonts w:ascii="Times New Roman" w:hAnsi="Times New Roman" w:cs="Times New Roman"/>
                <w:color w:val="333333"/>
                <w:szCs w:val="21"/>
              </w:rPr>
              <w:t>验收专家</w:t>
            </w:r>
          </w:p>
        </w:tc>
        <w:tc>
          <w:tcPr>
            <w:tcW w:w="920" w:type="dxa"/>
            <w:vAlign w:val="center"/>
          </w:tcPr>
          <w:p>
            <w:pPr>
              <w:adjustRightInd w:val="0"/>
              <w:snapToGrid w:val="0"/>
              <w:jc w:val="center"/>
              <w:rPr>
                <w:rFonts w:ascii="Times New Roman" w:hAnsi="Times New Roman" w:cs="Times New Roman"/>
                <w:color w:val="333333"/>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color w:val="333333"/>
                <w:szCs w:val="21"/>
              </w:rPr>
            </w:pPr>
          </w:p>
        </w:tc>
        <w:tc>
          <w:tcPr>
            <w:tcW w:w="1419" w:type="dxa"/>
            <w:vAlign w:val="center"/>
          </w:tcPr>
          <w:p>
            <w:pPr>
              <w:adjustRightInd w:val="0"/>
              <w:snapToGrid w:val="0"/>
              <w:jc w:val="center"/>
              <w:rPr>
                <w:rFonts w:ascii="Times New Roman" w:hAnsi="Times New Roman" w:cs="Times New Roman"/>
                <w:color w:val="333333"/>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47" w:hRule="atLeast"/>
          <w:jc w:val="center"/>
        </w:trPr>
        <w:tc>
          <w:tcPr>
            <w:tcW w:w="557"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5</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验收专家</w:t>
            </w:r>
          </w:p>
        </w:tc>
        <w:tc>
          <w:tcPr>
            <w:tcW w:w="920" w:type="dxa"/>
            <w:vAlign w:val="center"/>
          </w:tcPr>
          <w:p>
            <w:pPr>
              <w:adjustRightInd w:val="0"/>
              <w:snapToGrid w:val="0"/>
              <w:jc w:val="center"/>
              <w:rPr>
                <w:rFonts w:ascii="Times New Roman" w:hAnsi="Times New Roman" w:cs="Times New Roman"/>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szCs w:val="21"/>
              </w:rPr>
            </w:pPr>
          </w:p>
        </w:tc>
        <w:tc>
          <w:tcPr>
            <w:tcW w:w="1419" w:type="dxa"/>
            <w:vAlign w:val="center"/>
          </w:tcPr>
          <w:p>
            <w:pPr>
              <w:adjustRightInd w:val="0"/>
              <w:snapToGrid w:val="0"/>
              <w:jc w:val="center"/>
              <w:rPr>
                <w:rFonts w:ascii="Times New Roman" w:hAnsi="Times New Roman" w:cs="Times New Roman"/>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47" w:hRule="atLeast"/>
          <w:jc w:val="center"/>
        </w:trPr>
        <w:tc>
          <w:tcPr>
            <w:tcW w:w="557"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6</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设计单位</w:t>
            </w:r>
          </w:p>
        </w:tc>
        <w:tc>
          <w:tcPr>
            <w:tcW w:w="920" w:type="dxa"/>
            <w:vAlign w:val="center"/>
          </w:tcPr>
          <w:p>
            <w:pPr>
              <w:adjustRightInd w:val="0"/>
              <w:snapToGrid w:val="0"/>
              <w:jc w:val="center"/>
              <w:rPr>
                <w:rFonts w:ascii="Times New Roman" w:hAnsi="Times New Roman" w:cs="Times New Roman"/>
                <w:color w:val="333333"/>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szCs w:val="21"/>
              </w:rPr>
            </w:pPr>
          </w:p>
        </w:tc>
        <w:tc>
          <w:tcPr>
            <w:tcW w:w="1419" w:type="dxa"/>
            <w:vAlign w:val="center"/>
          </w:tcPr>
          <w:p>
            <w:pPr>
              <w:adjustRightInd w:val="0"/>
              <w:snapToGrid w:val="0"/>
              <w:jc w:val="center"/>
              <w:rPr>
                <w:rFonts w:ascii="Times New Roman" w:hAnsi="Times New Roman" w:cs="Times New Roman"/>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47" w:hRule="atLeast"/>
          <w:jc w:val="center"/>
        </w:trPr>
        <w:tc>
          <w:tcPr>
            <w:tcW w:w="557"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7</w:t>
            </w:r>
          </w:p>
        </w:tc>
        <w:tc>
          <w:tcPr>
            <w:tcW w:w="1459" w:type="dxa"/>
            <w:vAlign w:val="center"/>
          </w:tcPr>
          <w:p>
            <w:pPr>
              <w:adjustRightInd w:val="0"/>
              <w:snapToGrid w:val="0"/>
              <w:jc w:val="center"/>
              <w:rPr>
                <w:rFonts w:ascii="Times New Roman" w:hAnsi="Times New Roman" w:cs="Times New Roman"/>
                <w:color w:val="333333"/>
                <w:szCs w:val="21"/>
              </w:rPr>
            </w:pPr>
            <w:r>
              <w:rPr>
                <w:rFonts w:ascii="Times New Roman" w:hAnsi="Times New Roman" w:cs="Times New Roman"/>
                <w:color w:val="333333"/>
                <w:szCs w:val="21"/>
              </w:rPr>
              <w:t>施工单位</w:t>
            </w:r>
          </w:p>
        </w:tc>
        <w:tc>
          <w:tcPr>
            <w:tcW w:w="920" w:type="dxa"/>
            <w:vAlign w:val="center"/>
          </w:tcPr>
          <w:p>
            <w:pPr>
              <w:adjustRightInd w:val="0"/>
              <w:snapToGrid w:val="0"/>
              <w:jc w:val="center"/>
              <w:rPr>
                <w:rFonts w:ascii="Times New Roman" w:hAnsi="Times New Roman" w:cs="Times New Roman"/>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szCs w:val="21"/>
              </w:rPr>
            </w:pPr>
          </w:p>
        </w:tc>
        <w:tc>
          <w:tcPr>
            <w:tcW w:w="1419" w:type="dxa"/>
            <w:vAlign w:val="center"/>
          </w:tcPr>
          <w:p>
            <w:pPr>
              <w:adjustRightInd w:val="0"/>
              <w:snapToGrid w:val="0"/>
              <w:jc w:val="center"/>
              <w:rPr>
                <w:rFonts w:ascii="Times New Roman" w:hAnsi="Times New Roman" w:cs="Times New Roman"/>
                <w:szCs w:val="21"/>
              </w:rPr>
            </w:pPr>
          </w:p>
        </w:tc>
        <w:tc>
          <w:tcPr>
            <w:tcW w:w="1451" w:type="dxa"/>
            <w:vAlign w:val="center"/>
          </w:tcPr>
          <w:p>
            <w:pPr>
              <w:adjustRightInd w:val="0"/>
              <w:snapToGrid w:val="0"/>
              <w:jc w:val="center"/>
              <w:rPr>
                <w:rFonts w:ascii="Times New Roman" w:hAnsi="Times New Roman" w:cs="Times New Roman"/>
                <w:color w:val="333333"/>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34" w:type="dxa"/>
            <w:right w:w="34" w:type="dxa"/>
          </w:tblCellMar>
        </w:tblPrEx>
        <w:trPr>
          <w:trHeight w:val="747" w:hRule="atLeast"/>
          <w:jc w:val="center"/>
        </w:trPr>
        <w:tc>
          <w:tcPr>
            <w:tcW w:w="557"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8</w:t>
            </w:r>
          </w:p>
        </w:tc>
        <w:tc>
          <w:tcPr>
            <w:tcW w:w="1459" w:type="dxa"/>
            <w:vAlign w:val="center"/>
          </w:tcPr>
          <w:p>
            <w:pPr>
              <w:adjustRightInd w:val="0"/>
              <w:snapToGrid w:val="0"/>
              <w:jc w:val="center"/>
              <w:rPr>
                <w:rFonts w:ascii="Times New Roman" w:hAnsi="Times New Roman" w:cs="Times New Roman"/>
                <w:szCs w:val="21"/>
              </w:rPr>
            </w:pPr>
            <w:r>
              <w:rPr>
                <w:rFonts w:ascii="Times New Roman" w:hAnsi="Times New Roman" w:cs="Times New Roman"/>
                <w:bCs/>
                <w:kern w:val="0"/>
                <w:szCs w:val="21"/>
              </w:rPr>
              <w:t>验收监测报告编制单位</w:t>
            </w:r>
          </w:p>
        </w:tc>
        <w:tc>
          <w:tcPr>
            <w:tcW w:w="920" w:type="dxa"/>
            <w:vAlign w:val="center"/>
          </w:tcPr>
          <w:p>
            <w:pPr>
              <w:adjustRightInd w:val="0"/>
              <w:snapToGrid w:val="0"/>
              <w:jc w:val="center"/>
              <w:rPr>
                <w:rFonts w:ascii="Times New Roman" w:hAnsi="Times New Roman" w:cs="Times New Roman"/>
                <w:szCs w:val="21"/>
              </w:rPr>
            </w:pPr>
          </w:p>
        </w:tc>
        <w:tc>
          <w:tcPr>
            <w:tcW w:w="2264" w:type="dxa"/>
            <w:vAlign w:val="center"/>
          </w:tcPr>
          <w:p>
            <w:pPr>
              <w:adjustRightInd w:val="0"/>
              <w:snapToGrid w:val="0"/>
              <w:jc w:val="center"/>
              <w:rPr>
                <w:rFonts w:ascii="Times New Roman" w:hAnsi="Times New Roman" w:cs="Times New Roman"/>
                <w:color w:val="333333"/>
                <w:szCs w:val="21"/>
              </w:rPr>
            </w:pPr>
          </w:p>
        </w:tc>
        <w:tc>
          <w:tcPr>
            <w:tcW w:w="1065" w:type="dxa"/>
            <w:vAlign w:val="center"/>
          </w:tcPr>
          <w:p>
            <w:pPr>
              <w:adjustRightInd w:val="0"/>
              <w:snapToGrid w:val="0"/>
              <w:jc w:val="center"/>
              <w:rPr>
                <w:rFonts w:ascii="Times New Roman" w:hAnsi="Times New Roman" w:cs="Times New Roman"/>
                <w:szCs w:val="21"/>
              </w:rPr>
            </w:pPr>
          </w:p>
        </w:tc>
        <w:tc>
          <w:tcPr>
            <w:tcW w:w="1419" w:type="dxa"/>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7</w:t>
            </w:r>
          </w:p>
        </w:tc>
        <w:tc>
          <w:tcPr>
            <w:tcW w:w="1451" w:type="dxa"/>
            <w:vAlign w:val="center"/>
          </w:tcPr>
          <w:p>
            <w:pPr>
              <w:adjustRightInd w:val="0"/>
              <w:snapToGrid w:val="0"/>
              <w:jc w:val="center"/>
              <w:rPr>
                <w:rFonts w:ascii="Times New Roman" w:hAnsi="Times New Roman" w:cs="Times New Roman"/>
                <w:color w:val="333333"/>
                <w:szCs w:val="21"/>
              </w:rPr>
            </w:pPr>
          </w:p>
        </w:tc>
      </w:tr>
    </w:tbl>
    <w:p>
      <w:pPr>
        <w:spacing w:line="360" w:lineRule="auto"/>
        <w:jc w:val="center"/>
        <w:rPr>
          <w:rFonts w:ascii="Times New Roman" w:hAnsi="Times New Roman" w:cs="Times New Roman"/>
          <w:b/>
          <w:kern w:val="0"/>
          <w:szCs w:val="21"/>
        </w:rPr>
      </w:pPr>
    </w:p>
    <w:p>
      <w:pPr>
        <w:spacing w:line="360" w:lineRule="auto"/>
        <w:jc w:val="center"/>
        <w:rPr>
          <w:rFonts w:ascii="Times New Roman" w:hAnsi="Times New Roman" w:cs="Times New Roman"/>
          <w:b/>
          <w:kern w:val="0"/>
          <w:szCs w:val="21"/>
        </w:rPr>
      </w:pPr>
    </w:p>
    <w:p>
      <w:pPr>
        <w:pStyle w:val="62"/>
        <w:widowControl/>
        <w:adjustRightInd w:val="0"/>
        <w:snapToGrid w:val="0"/>
        <w:spacing w:line="460" w:lineRule="exact"/>
        <w:ind w:left="420" w:firstLine="0" w:firstLineChars="0"/>
        <w:jc w:val="right"/>
        <w:rPr>
          <w:rFonts w:ascii="Times New Roman" w:hAnsi="Times New Roman" w:cs="Times New Roman"/>
          <w:sz w:val="24"/>
        </w:rPr>
      </w:pPr>
    </w:p>
    <w:p>
      <w:pPr>
        <w:pStyle w:val="62"/>
        <w:widowControl/>
        <w:adjustRightInd w:val="0"/>
        <w:snapToGrid w:val="0"/>
        <w:spacing w:line="460" w:lineRule="exact"/>
        <w:ind w:left="420" w:right="1080" w:firstLine="0" w:firstLineChars="0"/>
        <w:jc w:val="right"/>
        <w:rPr>
          <w:rFonts w:ascii="Times New Roman" w:hAnsi="Times New Roman" w:cs="Times New Roman"/>
          <w:kern w:val="0"/>
          <w:sz w:val="28"/>
          <w:szCs w:val="28"/>
        </w:rPr>
      </w:pPr>
      <w:r>
        <w:rPr>
          <w:rFonts w:ascii="Times New Roman" w:hAnsi="Times New Roman" w:cs="Times New Roman"/>
          <w:sz w:val="28"/>
          <w:szCs w:val="28"/>
        </w:rPr>
        <w:t>20</w:t>
      </w:r>
      <w:r>
        <w:rPr>
          <w:rFonts w:hint="eastAsia" w:ascii="Times New Roman" w:hAnsi="Times New Roman" w:cs="Times New Roman"/>
          <w:sz w:val="28"/>
          <w:szCs w:val="28"/>
        </w:rPr>
        <w:t>21</w:t>
      </w:r>
      <w:r>
        <w:rPr>
          <w:rFonts w:ascii="Times New Roman" w:hAnsi="Times New Roman" w:cs="Times New Roman"/>
          <w:sz w:val="28"/>
          <w:szCs w:val="28"/>
        </w:rPr>
        <w:t>年</w:t>
      </w:r>
      <w:r>
        <w:rPr>
          <w:rFonts w:hint="eastAsia" w:ascii="Times New Roman" w:hAnsi="Times New Roman" w:cs="Times New Roman"/>
          <w:sz w:val="28"/>
          <w:szCs w:val="28"/>
        </w:rPr>
        <w:t>5</w:t>
      </w:r>
      <w:r>
        <w:rPr>
          <w:rFonts w:ascii="Times New Roman" w:hAnsi="Times New Roman" w:cs="Times New Roman"/>
          <w:sz w:val="28"/>
          <w:szCs w:val="28"/>
        </w:rPr>
        <w:t>月</w:t>
      </w:r>
      <w:r>
        <w:rPr>
          <w:rFonts w:hint="eastAsia" w:ascii="Times New Roman" w:hAnsi="Times New Roman" w:cs="Times New Roman"/>
          <w:sz w:val="28"/>
          <w:szCs w:val="28"/>
        </w:rPr>
        <w:t>28</w:t>
      </w:r>
      <w:r>
        <w:rPr>
          <w:rFonts w:ascii="Times New Roman" w:hAnsi="Times New Roman" w:cs="Times New Roman"/>
          <w:sz w:val="28"/>
          <w:szCs w:val="28"/>
        </w:rPr>
        <w:t>日</w:t>
      </w:r>
    </w:p>
    <w:p>
      <w:pPr>
        <w:rPr>
          <w:rFonts w:ascii="Times New Roman" w:hAnsi="Times New Roman" w:cs="Times New Roman"/>
          <w:color w:val="000000"/>
          <w:sz w:val="28"/>
          <w:szCs w:val="28"/>
        </w:rPr>
      </w:pPr>
    </w:p>
    <w:p>
      <w:pPr>
        <w:pStyle w:val="61"/>
        <w:spacing w:before="0" w:beforeAutospacing="0" w:after="0" w:afterAutospacing="0" w:line="520" w:lineRule="exact"/>
        <w:ind w:firstLine="560" w:firstLineChars="200"/>
        <w:jc w:val="both"/>
        <w:rPr>
          <w:rFonts w:ascii="Times New Roman" w:hAnsi="Times New Roman" w:cs="Times New Roman"/>
          <w:sz w:val="28"/>
          <w:szCs w:val="28"/>
        </w:rPr>
      </w:pPr>
    </w:p>
    <w:sectPr>
      <w:pgSz w:w="11907" w:h="16839"/>
      <w:pgMar w:top="1440" w:right="1287" w:bottom="1440" w:left="1797" w:header="907" w:footer="1021"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Arial Unicode MS">
    <w:altName w:val="宋体"/>
    <w:panose1 w:val="020B0604020202020204"/>
    <w:charset w:val="86"/>
    <w:family w:val="auto"/>
    <w:pitch w:val="default"/>
    <w:sig w:usb0="F7FFAFFF" w:usb1="E9DFFFFF" w:usb2="0000003F" w:usb3="00000000" w:csb0="003F01FF" w:csb1="00000000"/>
  </w:font>
  <w:font w:name="PMingLiU">
    <w:panose1 w:val="02020500000000000000"/>
    <w:charset w:val="88"/>
    <w:family w:val="auto"/>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40001" w:csb1="00000000"/>
  </w:font>
  <w:font w:name="µÈÏß Western">
    <w:altName w:val="Times New Roman"/>
    <w:panose1 w:val="00000000000000000000"/>
    <w:charset w:val="00"/>
    <w:family w:val="auto"/>
    <w:pitch w:val="default"/>
    <w:sig w:usb0="00000003"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framePr w:wrap="around" w:vAnchor="text" w:hAnchor="margin" w:xAlign="center" w:y="1"/>
      <w:rPr>
        <w:rStyle w:val="67"/>
        <w:rFonts w:ascii="Times New Roman" w:hAnsi="Times New Roman" w:cs="Times New Roman"/>
      </w:rPr>
    </w:pPr>
    <w:r>
      <w:rPr>
        <w:rFonts w:ascii="Times New Roman" w:hAnsi="Times New Roman" w:cs="Times New Roman"/>
      </w:rPr>
      <w:fldChar w:fldCharType="begin"/>
    </w:r>
    <w:r>
      <w:rPr>
        <w:rStyle w:val="67"/>
        <w:rFonts w:ascii="Times New Roman" w:hAnsi="Times New Roman" w:cs="Times New Roman"/>
      </w:rPr>
      <w:instrText xml:space="preserve">PAGE  </w:instrText>
    </w:r>
    <w:r>
      <w:rPr>
        <w:rFonts w:ascii="Times New Roman" w:hAnsi="Times New Roman" w:cs="Times New Roman"/>
      </w:rPr>
      <w:fldChar w:fldCharType="separate"/>
    </w:r>
    <w:r>
      <w:rPr>
        <w:rStyle w:val="67"/>
        <w:rFonts w:ascii="Times New Roman" w:hAnsi="Times New Roman" w:cs="Times New Roman"/>
      </w:rPr>
      <w:t>6</w:t>
    </w:r>
    <w:r>
      <w:rPr>
        <w:rFonts w:ascii="Times New Roman" w:hAnsi="Times New Roman" w:cs="Times New Roman"/>
      </w:rPr>
      <w:fldChar w:fldCharType="end"/>
    </w:r>
  </w:p>
  <w:p>
    <w:pPr>
      <w:pStyle w:val="1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F363E"/>
    <w:rsid w:val="0000473B"/>
    <w:rsid w:val="0001384F"/>
    <w:rsid w:val="00021A86"/>
    <w:rsid w:val="000326B5"/>
    <w:rsid w:val="00035E40"/>
    <w:rsid w:val="00037630"/>
    <w:rsid w:val="00044CF5"/>
    <w:rsid w:val="00047464"/>
    <w:rsid w:val="00050165"/>
    <w:rsid w:val="000507DF"/>
    <w:rsid w:val="00061F18"/>
    <w:rsid w:val="00066E43"/>
    <w:rsid w:val="00071976"/>
    <w:rsid w:val="000A31D5"/>
    <w:rsid w:val="00107B08"/>
    <w:rsid w:val="00114EC8"/>
    <w:rsid w:val="00126C68"/>
    <w:rsid w:val="0013317C"/>
    <w:rsid w:val="0016411D"/>
    <w:rsid w:val="00173589"/>
    <w:rsid w:val="00180E87"/>
    <w:rsid w:val="0018468E"/>
    <w:rsid w:val="00192B97"/>
    <w:rsid w:val="00194D9F"/>
    <w:rsid w:val="001A2FF8"/>
    <w:rsid w:val="001B515C"/>
    <w:rsid w:val="001C1712"/>
    <w:rsid w:val="001C2896"/>
    <w:rsid w:val="001E2E0B"/>
    <w:rsid w:val="001F4571"/>
    <w:rsid w:val="001F4B69"/>
    <w:rsid w:val="00223A4A"/>
    <w:rsid w:val="00224850"/>
    <w:rsid w:val="00225172"/>
    <w:rsid w:val="002307B3"/>
    <w:rsid w:val="00232B9D"/>
    <w:rsid w:val="00242A19"/>
    <w:rsid w:val="00252851"/>
    <w:rsid w:val="00252BE6"/>
    <w:rsid w:val="0025751C"/>
    <w:rsid w:val="0026055B"/>
    <w:rsid w:val="00277FD4"/>
    <w:rsid w:val="002951D1"/>
    <w:rsid w:val="00297A4E"/>
    <w:rsid w:val="002C65BE"/>
    <w:rsid w:val="002D31E4"/>
    <w:rsid w:val="002F468A"/>
    <w:rsid w:val="00301DEB"/>
    <w:rsid w:val="003229B0"/>
    <w:rsid w:val="003313AF"/>
    <w:rsid w:val="0033781A"/>
    <w:rsid w:val="0036031B"/>
    <w:rsid w:val="003637AD"/>
    <w:rsid w:val="00382FBC"/>
    <w:rsid w:val="00393D20"/>
    <w:rsid w:val="003963DA"/>
    <w:rsid w:val="003B0F4E"/>
    <w:rsid w:val="003C070C"/>
    <w:rsid w:val="003D7671"/>
    <w:rsid w:val="003E551D"/>
    <w:rsid w:val="00403C4D"/>
    <w:rsid w:val="00420368"/>
    <w:rsid w:val="00421B60"/>
    <w:rsid w:val="004257AB"/>
    <w:rsid w:val="00435C2D"/>
    <w:rsid w:val="00445416"/>
    <w:rsid w:val="00463846"/>
    <w:rsid w:val="00476B38"/>
    <w:rsid w:val="004827C6"/>
    <w:rsid w:val="00486FE2"/>
    <w:rsid w:val="004955B1"/>
    <w:rsid w:val="004A018C"/>
    <w:rsid w:val="004A033D"/>
    <w:rsid w:val="004A6E79"/>
    <w:rsid w:val="004C6AEC"/>
    <w:rsid w:val="004E6866"/>
    <w:rsid w:val="004F00C6"/>
    <w:rsid w:val="00506299"/>
    <w:rsid w:val="00515BAD"/>
    <w:rsid w:val="00520C2F"/>
    <w:rsid w:val="00555A91"/>
    <w:rsid w:val="00573AAD"/>
    <w:rsid w:val="00575337"/>
    <w:rsid w:val="00582F6E"/>
    <w:rsid w:val="005A0650"/>
    <w:rsid w:val="005A1018"/>
    <w:rsid w:val="005B4AC1"/>
    <w:rsid w:val="005C5D88"/>
    <w:rsid w:val="005E1E5F"/>
    <w:rsid w:val="005E7BD0"/>
    <w:rsid w:val="005F0FC3"/>
    <w:rsid w:val="005F7BD3"/>
    <w:rsid w:val="00601293"/>
    <w:rsid w:val="0060596E"/>
    <w:rsid w:val="00622827"/>
    <w:rsid w:val="00625FEB"/>
    <w:rsid w:val="00635A1F"/>
    <w:rsid w:val="0065229A"/>
    <w:rsid w:val="00664A2A"/>
    <w:rsid w:val="00666FA2"/>
    <w:rsid w:val="00673C45"/>
    <w:rsid w:val="00676BA7"/>
    <w:rsid w:val="0069793D"/>
    <w:rsid w:val="006C2892"/>
    <w:rsid w:val="006D1387"/>
    <w:rsid w:val="006D2839"/>
    <w:rsid w:val="006D423D"/>
    <w:rsid w:val="0070531B"/>
    <w:rsid w:val="0070540C"/>
    <w:rsid w:val="00714D0F"/>
    <w:rsid w:val="00715301"/>
    <w:rsid w:val="007158E0"/>
    <w:rsid w:val="007304A6"/>
    <w:rsid w:val="00732C43"/>
    <w:rsid w:val="00740926"/>
    <w:rsid w:val="00744DAE"/>
    <w:rsid w:val="007568A1"/>
    <w:rsid w:val="00762BA1"/>
    <w:rsid w:val="00773CF6"/>
    <w:rsid w:val="00792343"/>
    <w:rsid w:val="0079375F"/>
    <w:rsid w:val="00795560"/>
    <w:rsid w:val="0079774C"/>
    <w:rsid w:val="007A34F3"/>
    <w:rsid w:val="007B738A"/>
    <w:rsid w:val="007F40CD"/>
    <w:rsid w:val="0080712E"/>
    <w:rsid w:val="00812D34"/>
    <w:rsid w:val="008414C3"/>
    <w:rsid w:val="00846642"/>
    <w:rsid w:val="00855A93"/>
    <w:rsid w:val="00887000"/>
    <w:rsid w:val="008B181B"/>
    <w:rsid w:val="008F08A8"/>
    <w:rsid w:val="008F363E"/>
    <w:rsid w:val="008F5593"/>
    <w:rsid w:val="0090612F"/>
    <w:rsid w:val="00913015"/>
    <w:rsid w:val="00921EFE"/>
    <w:rsid w:val="00935AF2"/>
    <w:rsid w:val="00940FED"/>
    <w:rsid w:val="00942359"/>
    <w:rsid w:val="0096391E"/>
    <w:rsid w:val="00974BDD"/>
    <w:rsid w:val="0098573A"/>
    <w:rsid w:val="00991DE6"/>
    <w:rsid w:val="009A1934"/>
    <w:rsid w:val="009B63D3"/>
    <w:rsid w:val="009C0E36"/>
    <w:rsid w:val="009C58B3"/>
    <w:rsid w:val="009C6D20"/>
    <w:rsid w:val="009E4E35"/>
    <w:rsid w:val="00A01903"/>
    <w:rsid w:val="00A1265C"/>
    <w:rsid w:val="00A24F29"/>
    <w:rsid w:val="00A2763C"/>
    <w:rsid w:val="00A3789D"/>
    <w:rsid w:val="00A459FA"/>
    <w:rsid w:val="00A96EBE"/>
    <w:rsid w:val="00AA543F"/>
    <w:rsid w:val="00AA70B8"/>
    <w:rsid w:val="00AB2A5C"/>
    <w:rsid w:val="00AC575B"/>
    <w:rsid w:val="00AD2C91"/>
    <w:rsid w:val="00AF03FF"/>
    <w:rsid w:val="00B01554"/>
    <w:rsid w:val="00B17F06"/>
    <w:rsid w:val="00B40039"/>
    <w:rsid w:val="00B54328"/>
    <w:rsid w:val="00B67202"/>
    <w:rsid w:val="00B743C4"/>
    <w:rsid w:val="00B8411C"/>
    <w:rsid w:val="00B8481D"/>
    <w:rsid w:val="00B97094"/>
    <w:rsid w:val="00BA5872"/>
    <w:rsid w:val="00BA7DD5"/>
    <w:rsid w:val="00BC38C2"/>
    <w:rsid w:val="00BC3FC1"/>
    <w:rsid w:val="00BD7A20"/>
    <w:rsid w:val="00BF7BD1"/>
    <w:rsid w:val="00C145EA"/>
    <w:rsid w:val="00C302AB"/>
    <w:rsid w:val="00C568F8"/>
    <w:rsid w:val="00C60226"/>
    <w:rsid w:val="00C70992"/>
    <w:rsid w:val="00C72D2D"/>
    <w:rsid w:val="00C73032"/>
    <w:rsid w:val="00C743E5"/>
    <w:rsid w:val="00C848A6"/>
    <w:rsid w:val="00C91C5C"/>
    <w:rsid w:val="00C9699A"/>
    <w:rsid w:val="00CA1AE4"/>
    <w:rsid w:val="00CC2C51"/>
    <w:rsid w:val="00CC6488"/>
    <w:rsid w:val="00CD3B96"/>
    <w:rsid w:val="00CF6DAF"/>
    <w:rsid w:val="00D01AE1"/>
    <w:rsid w:val="00D066D0"/>
    <w:rsid w:val="00D10DBA"/>
    <w:rsid w:val="00D15448"/>
    <w:rsid w:val="00D331F7"/>
    <w:rsid w:val="00D6096D"/>
    <w:rsid w:val="00D613D8"/>
    <w:rsid w:val="00D70CBD"/>
    <w:rsid w:val="00D7593B"/>
    <w:rsid w:val="00D76058"/>
    <w:rsid w:val="00D813C3"/>
    <w:rsid w:val="00D86662"/>
    <w:rsid w:val="00DB5D8B"/>
    <w:rsid w:val="00DD1E21"/>
    <w:rsid w:val="00DD64D5"/>
    <w:rsid w:val="00E27CCC"/>
    <w:rsid w:val="00E3574A"/>
    <w:rsid w:val="00E650BB"/>
    <w:rsid w:val="00E66B53"/>
    <w:rsid w:val="00EA027F"/>
    <w:rsid w:val="00EA2AB4"/>
    <w:rsid w:val="00EB37D9"/>
    <w:rsid w:val="00EB5458"/>
    <w:rsid w:val="00EC6297"/>
    <w:rsid w:val="00EE0E64"/>
    <w:rsid w:val="00F0270F"/>
    <w:rsid w:val="00F05BF4"/>
    <w:rsid w:val="00F31C63"/>
    <w:rsid w:val="00F324C6"/>
    <w:rsid w:val="00F3764F"/>
    <w:rsid w:val="00F5616E"/>
    <w:rsid w:val="00F66119"/>
    <w:rsid w:val="00F73EBB"/>
    <w:rsid w:val="00F7770D"/>
    <w:rsid w:val="00F80B53"/>
    <w:rsid w:val="00F81748"/>
    <w:rsid w:val="00FC593F"/>
    <w:rsid w:val="00FF3838"/>
    <w:rsid w:val="1C427968"/>
    <w:rsid w:val="2B455AAB"/>
    <w:rsid w:val="5AEE0E0C"/>
    <w:rsid w:val="722E33AE"/>
    <w:rsid w:val="75EE30D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nhideWhenUsed="0" w:uiPriority="99" w:semiHidden="0" w:name="annotation text"/>
    <w:lsdException w:qFormat="1" w:unhideWhenUsed="0" w:uiPriority="0" w:semiHidden="0" w:name="header"/>
    <w:lsdException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nhideWhenUsed="0" w:uiPriority="0" w:semiHidden="0" w:name="Body Text First Indent 2"/>
    <w:lsdException w:uiPriority="0" w:name="Note Heading"/>
    <w:lsdException w:uiPriority="99"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4"/>
      <w:lang w:val="en-US" w:eastAsia="zh-CN" w:bidi="ar-SA"/>
    </w:rPr>
  </w:style>
  <w:style w:type="paragraph" w:styleId="4">
    <w:name w:val="heading 1"/>
    <w:basedOn w:val="1"/>
    <w:next w:val="1"/>
    <w:link w:val="95"/>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87"/>
    <w:uiPriority w:val="0"/>
    <w:pPr>
      <w:widowControl/>
      <w:spacing w:before="260" w:after="260" w:line="2800" w:lineRule="atLeast"/>
      <w:ind w:firstLine="419"/>
      <w:textAlignment w:val="baseline"/>
      <w:outlineLvl w:val="1"/>
    </w:pPr>
    <w:rPr>
      <w:rFonts w:ascii="Arial" w:eastAsia="黑体"/>
      <w:b/>
      <w:color w:val="000000"/>
      <w:sz w:val="31"/>
      <w:u w:val="none" w:color="000000"/>
    </w:rPr>
  </w:style>
  <w:style w:type="paragraph" w:styleId="6">
    <w:name w:val="heading 3"/>
    <w:basedOn w:val="1"/>
    <w:next w:val="1"/>
    <w:uiPriority w:val="0"/>
    <w:pPr>
      <w:keepNext/>
      <w:keepLines/>
      <w:spacing w:before="260" w:after="260" w:line="416" w:lineRule="auto"/>
      <w:outlineLvl w:val="2"/>
    </w:pPr>
    <w:rPr>
      <w:b/>
      <w:bCs/>
      <w:sz w:val="32"/>
      <w:szCs w:val="32"/>
    </w:rPr>
  </w:style>
  <w:style w:type="paragraph" w:styleId="7">
    <w:name w:val="heading 4"/>
    <w:basedOn w:val="1"/>
    <w:next w:val="1"/>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uiPriority w:val="1"/>
  </w:style>
  <w:style w:type="table" w:default="1" w:styleId="22">
    <w:name w:val="Normal Table"/>
    <w:unhideWhenUsed/>
    <w:uiPriority w:val="99"/>
    <w:tblPr>
      <w:tblStyle w:val="22"/>
      <w:tblLayout w:type="fixed"/>
      <w:tblCellMar>
        <w:top w:w="0" w:type="dxa"/>
        <w:left w:w="108" w:type="dxa"/>
        <w:bottom w:w="0" w:type="dxa"/>
        <w:right w:w="108" w:type="dxa"/>
      </w:tblCellMar>
    </w:tblPr>
    <w:tcPr>
      <w:textDirection w:val="lrTb"/>
    </w:tcPr>
  </w:style>
  <w:style w:type="paragraph" w:styleId="2">
    <w:name w:val="Body Text First Indent 2"/>
    <w:basedOn w:val="3"/>
    <w:next w:val="1"/>
    <w:uiPriority w:val="0"/>
    <w:pPr>
      <w:widowControl/>
      <w:adjustRightInd w:val="0"/>
      <w:snapToGrid w:val="0"/>
      <w:spacing w:beforeLines="50"/>
      <w:ind w:firstLine="420"/>
      <w:jc w:val="left"/>
    </w:pPr>
    <w:rPr>
      <w:rFonts w:ascii="Times New Roman" w:cs="Times New Roman"/>
      <w:kern w:val="0"/>
      <w:szCs w:val="21"/>
    </w:rPr>
  </w:style>
  <w:style w:type="paragraph" w:styleId="3">
    <w:name w:val="Body Text Indent"/>
    <w:basedOn w:val="1"/>
    <w:semiHidden/>
    <w:uiPriority w:val="0"/>
    <w:pPr>
      <w:spacing w:after="120"/>
      <w:ind w:left="420" w:leftChars="200"/>
    </w:pPr>
  </w:style>
  <w:style w:type="paragraph" w:styleId="8">
    <w:name w:val="annotation subject"/>
    <w:basedOn w:val="9"/>
    <w:next w:val="9"/>
    <w:link w:val="93"/>
    <w:unhideWhenUsed/>
    <w:uiPriority w:val="99"/>
    <w:rPr>
      <w:b/>
      <w:bCs/>
    </w:rPr>
  </w:style>
  <w:style w:type="paragraph" w:styleId="9">
    <w:name w:val="annotation text"/>
    <w:basedOn w:val="1"/>
    <w:link w:val="77"/>
    <w:uiPriority w:val="99"/>
    <w:pPr>
      <w:jc w:val="left"/>
    </w:pPr>
  </w:style>
  <w:style w:type="paragraph" w:styleId="10">
    <w:name w:val="Normal Indent"/>
    <w:basedOn w:val="1"/>
    <w:link w:val="96"/>
    <w:qFormat/>
    <w:uiPriority w:val="0"/>
    <w:pPr>
      <w:ind w:firstLine="420"/>
    </w:pPr>
    <w:rPr>
      <w:rFonts w:ascii="Times New Roman" w:hAnsi="Times New Roman" w:cs="Times New Roman"/>
    </w:rPr>
  </w:style>
  <w:style w:type="paragraph" w:styleId="11">
    <w:name w:val="Document Map"/>
    <w:basedOn w:val="1"/>
    <w:link w:val="94"/>
    <w:unhideWhenUsed/>
    <w:uiPriority w:val="99"/>
    <w:rPr>
      <w:rFonts w:ascii="宋体"/>
      <w:sz w:val="18"/>
      <w:szCs w:val="18"/>
    </w:rPr>
  </w:style>
  <w:style w:type="paragraph" w:styleId="12">
    <w:name w:val="Body Text"/>
    <w:basedOn w:val="1"/>
    <w:link w:val="78"/>
    <w:uiPriority w:val="0"/>
    <w:pPr>
      <w:spacing w:after="120"/>
    </w:pPr>
  </w:style>
  <w:style w:type="paragraph" w:styleId="13">
    <w:name w:val="Plain Text"/>
    <w:basedOn w:val="1"/>
    <w:link w:val="98"/>
    <w:unhideWhenUsed/>
    <w:qFormat/>
    <w:uiPriority w:val="0"/>
    <w:rPr>
      <w:rFonts w:ascii="宋体" w:hAnsi="Courier New" w:cs="Courier New"/>
      <w:szCs w:val="21"/>
    </w:rPr>
  </w:style>
  <w:style w:type="paragraph" w:styleId="14">
    <w:name w:val="Date"/>
    <w:basedOn w:val="1"/>
    <w:next w:val="1"/>
    <w:link w:val="92"/>
    <w:unhideWhenUsed/>
    <w:qFormat/>
    <w:uiPriority w:val="99"/>
    <w:pPr>
      <w:ind w:left="100" w:leftChars="2500"/>
    </w:pPr>
  </w:style>
  <w:style w:type="paragraph" w:styleId="15">
    <w:name w:val="Balloon Text"/>
    <w:basedOn w:val="1"/>
    <w:uiPriority w:val="0"/>
    <w:rPr>
      <w:sz w:val="18"/>
      <w:szCs w:val="18"/>
    </w:rPr>
  </w:style>
  <w:style w:type="paragraph" w:styleId="16">
    <w:name w:val="footer"/>
    <w:basedOn w:val="1"/>
    <w:uiPriority w:val="0"/>
    <w:pPr>
      <w:tabs>
        <w:tab w:val="center" w:pos="4153"/>
        <w:tab w:val="right" w:pos="8306"/>
      </w:tabs>
      <w:snapToGrid w:val="0"/>
      <w:jc w:val="left"/>
    </w:pPr>
    <w:rPr>
      <w:sz w:val="18"/>
      <w:szCs w:val="18"/>
    </w:rPr>
  </w:style>
  <w:style w:type="paragraph" w:styleId="17">
    <w:name w:val="header"/>
    <w:basedOn w:val="1"/>
    <w:link w:val="83"/>
    <w:qFormat/>
    <w:uiPriority w:val="0"/>
    <w:pPr>
      <w:pBdr>
        <w:bottom w:val="single" w:color="auto" w:sz="6" w:space="1"/>
      </w:pBdr>
      <w:tabs>
        <w:tab w:val="center" w:pos="4153"/>
        <w:tab w:val="right" w:pos="8306"/>
      </w:tabs>
      <w:snapToGrid w:val="0"/>
      <w:jc w:val="center"/>
    </w:pPr>
    <w:rPr>
      <w:sz w:val="18"/>
      <w:szCs w:val="18"/>
    </w:rPr>
  </w:style>
  <w:style w:type="paragraph" w:styleId="18">
    <w:name w:val="toc 2"/>
    <w:basedOn w:val="1"/>
    <w:next w:val="1"/>
    <w:uiPriority w:val="99"/>
    <w:pPr>
      <w:widowControl/>
      <w:ind w:left="420" w:leftChars="200"/>
      <w:jc w:val="left"/>
    </w:pPr>
    <w:rPr>
      <w:rFonts w:cs="Times New Roman"/>
      <w:kern w:val="0"/>
      <w:sz w:val="24"/>
    </w:rPr>
  </w:style>
  <w:style w:type="paragraph" w:styleId="19">
    <w:name w:val="Body Text 2"/>
    <w:basedOn w:val="1"/>
    <w:link w:val="90"/>
    <w:unhideWhenUsed/>
    <w:uiPriority w:val="99"/>
    <w:pPr>
      <w:spacing w:after="120" w:line="480" w:lineRule="auto"/>
    </w:pPr>
    <w:rPr>
      <w:rFonts w:cs="Times New Roman"/>
      <w:szCs w:val="22"/>
    </w:rPr>
  </w:style>
  <w:style w:type="character" w:styleId="21">
    <w:name w:val="annotation reference"/>
    <w:unhideWhenUsed/>
    <w:uiPriority w:val="99"/>
    <w:rPr>
      <w:sz w:val="21"/>
      <w:szCs w:val="21"/>
    </w:rPr>
  </w:style>
  <w:style w:type="table" w:styleId="23">
    <w:name w:val="Table Grid"/>
    <w:basedOn w:val="22"/>
    <w:qFormat/>
    <w:uiPriority w:val="59"/>
    <w:pPr/>
    <w:tblPr>
      <w:tblStyle w:val="2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24">
    <w:name w:val="批注主题1"/>
    <w:basedOn w:val="9"/>
    <w:next w:val="9"/>
    <w:uiPriority w:val="0"/>
    <w:rPr>
      <w:b/>
      <w:bCs/>
    </w:rPr>
  </w:style>
  <w:style w:type="paragraph" w:customStyle="1" w:styleId="25">
    <w:name w:val="正文缩进1"/>
    <w:basedOn w:val="1"/>
    <w:link w:val="76"/>
    <w:qFormat/>
    <w:uiPriority w:val="0"/>
    <w:pPr>
      <w:ind w:firstLine="420" w:firstLineChars="200"/>
    </w:pPr>
  </w:style>
  <w:style w:type="paragraph" w:customStyle="1" w:styleId="26">
    <w:name w:val="文档结构图1"/>
    <w:basedOn w:val="1"/>
    <w:uiPriority w:val="0"/>
    <w:pPr>
      <w:shd w:val="clear" w:color="auto" w:fill="000080"/>
    </w:pPr>
  </w:style>
  <w:style w:type="paragraph" w:customStyle="1" w:styleId="27">
    <w:name w:val="正文文本缩进1"/>
    <w:basedOn w:val="1"/>
    <w:link w:val="80"/>
    <w:qFormat/>
    <w:uiPriority w:val="0"/>
    <w:pPr>
      <w:spacing w:after="120"/>
      <w:ind w:left="420" w:leftChars="200"/>
    </w:pPr>
  </w:style>
  <w:style w:type="paragraph" w:customStyle="1" w:styleId="28">
    <w:name w:val="纯文本1"/>
    <w:basedOn w:val="1"/>
    <w:link w:val="86"/>
    <w:uiPriority w:val="0"/>
    <w:rPr>
      <w:rFonts w:ascii="宋体" w:hAnsi="Courier New"/>
    </w:rPr>
  </w:style>
  <w:style w:type="paragraph" w:customStyle="1" w:styleId="29">
    <w:name w:val="日期1"/>
    <w:basedOn w:val="1"/>
    <w:next w:val="1"/>
    <w:uiPriority w:val="0"/>
    <w:pPr>
      <w:ind w:left="100" w:leftChars="2500"/>
    </w:pPr>
  </w:style>
  <w:style w:type="paragraph" w:customStyle="1" w:styleId="30">
    <w:name w:val="正文文本缩进 21"/>
    <w:basedOn w:val="1"/>
    <w:link w:val="81"/>
    <w:uiPriority w:val="0"/>
    <w:pPr>
      <w:spacing w:after="120" w:line="480" w:lineRule="auto"/>
      <w:ind w:left="420" w:leftChars="200"/>
    </w:pPr>
  </w:style>
  <w:style w:type="paragraph" w:customStyle="1" w:styleId="31">
    <w:name w:val="列表1"/>
    <w:basedOn w:val="1"/>
    <w:uiPriority w:val="0"/>
    <w:pPr>
      <w:autoSpaceDE w:val="0"/>
      <w:autoSpaceDN w:val="0"/>
      <w:adjustRightInd w:val="0"/>
      <w:snapToGrid w:val="0"/>
      <w:spacing w:line="480" w:lineRule="exact"/>
      <w:jc w:val="center"/>
    </w:pPr>
    <w:rPr>
      <w:kern w:val="32"/>
      <w:sz w:val="24"/>
      <w:szCs w:val="20"/>
    </w:rPr>
  </w:style>
  <w:style w:type="paragraph" w:customStyle="1" w:styleId="32">
    <w:name w:val="正文文本缩进 31"/>
    <w:basedOn w:val="1"/>
    <w:link w:val="69"/>
    <w:uiPriority w:val="0"/>
    <w:pPr>
      <w:spacing w:after="120"/>
      <w:ind w:left="420" w:leftChars="200"/>
    </w:pPr>
    <w:rPr>
      <w:sz w:val="16"/>
      <w:szCs w:val="16"/>
    </w:rPr>
  </w:style>
  <w:style w:type="paragraph" w:customStyle="1" w:styleId="33">
    <w:name w:val="正文文本 21"/>
    <w:basedOn w:val="1"/>
    <w:uiPriority w:val="0"/>
    <w:pPr>
      <w:spacing w:after="120" w:line="480" w:lineRule="auto"/>
    </w:pPr>
  </w:style>
  <w:style w:type="paragraph" w:customStyle="1" w:styleId="34">
    <w:name w:val="普通(网站)1"/>
    <w:basedOn w:val="1"/>
    <w:qFormat/>
    <w:uiPriority w:val="0"/>
    <w:pPr>
      <w:widowControl/>
      <w:jc w:val="left"/>
    </w:pPr>
    <w:rPr>
      <w:rFonts w:ascii="Arial" w:hAnsi="Arial" w:cs="Arial"/>
      <w:color w:val="333333"/>
      <w:kern w:val="0"/>
      <w:sz w:val="14"/>
      <w:szCs w:val="14"/>
    </w:rPr>
  </w:style>
  <w:style w:type="paragraph" w:customStyle="1" w:styleId="35">
    <w:name w:val="li表格"/>
    <w:basedOn w:val="1"/>
    <w:next w:val="1"/>
    <w:uiPriority w:val="0"/>
    <w:pPr>
      <w:spacing w:line="360" w:lineRule="exact"/>
      <w:jc w:val="center"/>
    </w:pPr>
    <w:rPr>
      <w:rFonts w:hAnsi="宋体"/>
      <w:b/>
      <w:color w:val="0000FF"/>
      <w:spacing w:val="4"/>
      <w:szCs w:val="21"/>
    </w:rPr>
  </w:style>
  <w:style w:type="paragraph" w:customStyle="1" w:styleId="36">
    <w:name w:val="默认段落字体 Para Char"/>
    <w:basedOn w:val="1"/>
    <w:uiPriority w:val="0"/>
    <w:pPr>
      <w:spacing w:line="360" w:lineRule="auto"/>
      <w:ind w:firstLine="200" w:firstLineChars="200"/>
    </w:pPr>
    <w:rPr>
      <w:szCs w:val="20"/>
    </w:rPr>
  </w:style>
  <w:style w:type="paragraph" w:customStyle="1" w:styleId="37">
    <w:name w:val="正文1"/>
    <w:uiPriority w:val="0"/>
    <w:pPr>
      <w:jc w:val="both"/>
    </w:pPr>
    <w:rPr>
      <w:rFonts w:ascii="Calibri" w:hAnsi="Calibri" w:eastAsia="宋体" w:cs="Calibri"/>
      <w:kern w:val="2"/>
      <w:sz w:val="21"/>
      <w:szCs w:val="21"/>
      <w:lang w:val="en-US" w:eastAsia="zh-CN" w:bidi="ar-SA"/>
    </w:rPr>
  </w:style>
  <w:style w:type="paragraph" w:customStyle="1" w:styleId="38">
    <w:name w:val="3级"/>
    <w:basedOn w:val="6"/>
    <w:qFormat/>
    <w:uiPriority w:val="0"/>
    <w:pPr>
      <w:spacing w:before="0" w:after="0" w:line="500" w:lineRule="exact"/>
    </w:pPr>
    <w:rPr>
      <w:rFonts w:cs="宋体"/>
      <w:sz w:val="28"/>
      <w:szCs w:val="20"/>
    </w:rPr>
  </w:style>
  <w:style w:type="paragraph" w:customStyle="1" w:styleId="39">
    <w:name w:val="样式 标题 4 + Times New Roman 小四 非加粗 段前: 0 磅 段后: 7.8 磅 行距: 多倍行距..."/>
    <w:basedOn w:val="7"/>
    <w:uiPriority w:val="0"/>
    <w:pPr>
      <w:spacing w:before="0" w:after="156" w:line="377" w:lineRule="auto"/>
    </w:pPr>
    <w:rPr>
      <w:rFonts w:ascii="Times New Roman" w:hAnsi="Times New Roman" w:cs="宋体"/>
      <w:b w:val="0"/>
      <w:bCs w:val="0"/>
      <w:sz w:val="24"/>
      <w:szCs w:val="24"/>
    </w:rPr>
  </w:style>
  <w:style w:type="paragraph" w:customStyle="1" w:styleId="40">
    <w:name w:val="正文11"/>
    <w:basedOn w:val="1"/>
    <w:link w:val="84"/>
    <w:uiPriority w:val="0"/>
    <w:pPr>
      <w:spacing w:line="460" w:lineRule="exact"/>
      <w:ind w:firstLine="200" w:firstLineChars="200"/>
    </w:pPr>
    <w:rPr>
      <w:b/>
      <w:color w:val="000000"/>
      <w:sz w:val="24"/>
    </w:rPr>
  </w:style>
  <w:style w:type="paragraph" w:customStyle="1" w:styleId="41">
    <w:name w:val="正文内容"/>
    <w:link w:val="70"/>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42">
    <w:name w:val="列出段落1"/>
    <w:basedOn w:val="1"/>
    <w:uiPriority w:val="0"/>
    <w:pPr>
      <w:ind w:firstLine="420" w:firstLineChars="200"/>
    </w:pPr>
    <w:rPr>
      <w:szCs w:val="20"/>
    </w:rPr>
  </w:style>
  <w:style w:type="paragraph" w:customStyle="1" w:styleId="43">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4">
    <w:name w:val="MSG_EN_FONT_STYLE_NAME_TEMPLATE_ROLE_NUMBER MSG_EN_FONT_STYLE_NAME_BY_ROLE_TEXT 2"/>
    <w:basedOn w:val="1"/>
    <w:link w:val="73"/>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5">
    <w:name w:val="表格内容5号"/>
    <w:link w:val="75"/>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6">
    <w:name w:val="表内容1-1"/>
    <w:basedOn w:val="1"/>
    <w:uiPriority w:val="0"/>
    <w:pPr>
      <w:jc w:val="center"/>
      <w:textAlignment w:val="baseline"/>
    </w:pPr>
    <w:rPr>
      <w:rFonts w:ascii="Times New Roman" w:hAnsi="Times New Roman"/>
      <w:kern w:val="0"/>
      <w:szCs w:val="21"/>
    </w:rPr>
  </w:style>
  <w:style w:type="paragraph" w:customStyle="1" w:styleId="47">
    <w:name w:val="表格文字1"/>
    <w:basedOn w:val="1"/>
    <w:uiPriority w:val="0"/>
    <w:pPr>
      <w:tabs>
        <w:tab w:val="left" w:pos="1080"/>
      </w:tabs>
      <w:snapToGrid w:val="0"/>
      <w:spacing w:line="240" w:lineRule="exact"/>
      <w:jc w:val="center"/>
    </w:pPr>
    <w:rPr>
      <w:rFonts w:hAnsi="宋体"/>
      <w:spacing w:val="-2"/>
      <w:kern w:val="32"/>
      <w:szCs w:val="21"/>
    </w:rPr>
  </w:style>
  <w:style w:type="paragraph" w:customStyle="1" w:styleId="48">
    <w:name w:val="表格文字"/>
    <w:basedOn w:val="1"/>
    <w:next w:val="1"/>
    <w:link w:val="72"/>
    <w:uiPriority w:val="0"/>
    <w:pPr>
      <w:spacing w:line="280" w:lineRule="exact"/>
      <w:jc w:val="center"/>
    </w:pPr>
    <w:rPr>
      <w:rFonts w:ascii="Arial" w:hAnsi="Arial" w:eastAsia="宋体-方正超大字符集" w:cs="Arial"/>
    </w:rPr>
  </w:style>
  <w:style w:type="paragraph" w:customStyle="1" w:styleId="49">
    <w:name w:val="表格文字-五号-左对齐"/>
    <w:basedOn w:val="1"/>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50">
    <w:name w:val="陈正文"/>
    <w:basedOn w:val="1"/>
    <w:next w:val="1"/>
    <w:link w:val="79"/>
    <w:uiPriority w:val="0"/>
    <w:pPr>
      <w:ind w:left="178" w:leftChars="85" w:firstLine="405" w:firstLineChars="193"/>
    </w:pPr>
    <w:rPr>
      <w:rFonts w:ascii="Arial" w:hAnsi="Arial" w:cs="宋体"/>
      <w:color w:val="000000"/>
      <w:szCs w:val="21"/>
    </w:rPr>
  </w:style>
  <w:style w:type="paragraph" w:customStyle="1" w:styleId="51">
    <w:name w:val="彩霞-正文"/>
    <w:basedOn w:val="1"/>
    <w:link w:val="82"/>
    <w:uiPriority w:val="0"/>
    <w:pPr>
      <w:spacing w:line="360" w:lineRule="auto"/>
      <w:ind w:firstLine="200" w:firstLineChars="200"/>
    </w:pPr>
    <w:rPr>
      <w:rFonts w:cs="宋体"/>
      <w:sz w:val="24"/>
      <w:szCs w:val="28"/>
      <w:lang w:val="zh-CN"/>
    </w:rPr>
  </w:style>
  <w:style w:type="paragraph" w:customStyle="1" w:styleId="52">
    <w:name w:val="样式 首行缩进:  2 字符"/>
    <w:basedOn w:val="1"/>
    <w:uiPriority w:val="0"/>
    <w:pPr>
      <w:spacing w:line="520" w:lineRule="exact"/>
      <w:ind w:firstLine="200" w:firstLineChars="200"/>
    </w:pPr>
    <w:rPr>
      <w:sz w:val="24"/>
    </w:rPr>
  </w:style>
  <w:style w:type="paragraph" w:customStyle="1" w:styleId="53">
    <w:name w:val="Char"/>
    <w:basedOn w:val="1"/>
    <w:next w:val="1"/>
    <w:uiPriority w:val="0"/>
    <w:pPr>
      <w:spacing w:line="360" w:lineRule="auto"/>
      <w:ind w:firstLine="200" w:firstLineChars="200"/>
    </w:pPr>
    <w:rPr>
      <w:rFonts w:ascii="宋体" w:hAnsi="宋体" w:cs="宋体"/>
      <w:sz w:val="24"/>
    </w:rPr>
  </w:style>
  <w:style w:type="paragraph" w:customStyle="1" w:styleId="54">
    <w:name w:val="4"/>
    <w:basedOn w:val="1"/>
    <w:next w:val="1"/>
    <w:link w:val="71"/>
    <w:uiPriority w:val="0"/>
    <w:pPr>
      <w:spacing w:line="500" w:lineRule="exact"/>
      <w:outlineLvl w:val="3"/>
    </w:pPr>
    <w:rPr>
      <w:rFonts w:ascii="Arial" w:hAnsi="Arial" w:eastAsia="黑体"/>
      <w:b/>
      <w:sz w:val="24"/>
    </w:rPr>
  </w:style>
  <w:style w:type="paragraph" w:customStyle="1" w:styleId="55">
    <w:name w:val="Char Char Char Char"/>
    <w:basedOn w:val="1"/>
    <w:uiPriority w:val="0"/>
    <w:pPr>
      <w:snapToGrid w:val="0"/>
      <w:spacing w:line="360" w:lineRule="auto"/>
      <w:ind w:firstLine="529" w:firstLineChars="200"/>
    </w:pPr>
    <w:rPr>
      <w:rFonts w:ascii="宋体" w:hAnsi="宋体"/>
      <w:b/>
      <w:sz w:val="24"/>
    </w:rPr>
  </w:style>
  <w:style w:type="paragraph" w:customStyle="1" w:styleId="56">
    <w:name w:val="Char Char Char Char Char Char Char Char Char Char Char Char Char Char Char Char Char Char1 Char Char Char Char Char Char Char Char Char Char Char Char1 Char Char Char"/>
    <w:basedOn w:val="1"/>
    <w:next w:val="1"/>
    <w:uiPriority w:val="0"/>
    <w:pPr>
      <w:snapToGrid w:val="0"/>
      <w:spacing w:line="360" w:lineRule="auto"/>
      <w:ind w:firstLine="200" w:firstLineChars="200"/>
      <w:jc w:val="left"/>
    </w:pPr>
    <w:rPr>
      <w:rFonts w:ascii="宋体" w:hAnsi="宋体" w:cs="宋体"/>
      <w:sz w:val="24"/>
    </w:rPr>
  </w:style>
  <w:style w:type="paragraph" w:customStyle="1" w:styleId="57">
    <w:name w:val="表格文字-五号"/>
    <w:basedOn w:val="1"/>
    <w:next w:val="1"/>
    <w:uiPriority w:val="0"/>
    <w:pPr>
      <w:widowControl/>
      <w:tabs>
        <w:tab w:val="left" w:pos="2340"/>
      </w:tabs>
      <w:adjustRightInd w:val="0"/>
      <w:snapToGrid w:val="0"/>
      <w:jc w:val="center"/>
    </w:pPr>
    <w:rPr>
      <w:color w:val="000000"/>
      <w:kern w:val="0"/>
      <w:sz w:val="20"/>
    </w:rPr>
  </w:style>
  <w:style w:type="paragraph" w:customStyle="1" w:styleId="58">
    <w:name w:val="Char Char Char Char Char Char Char"/>
    <w:basedOn w:val="1"/>
    <w:uiPriority w:val="0"/>
    <w:pPr>
      <w:spacing w:line="360" w:lineRule="auto"/>
      <w:ind w:firstLine="200" w:firstLineChars="200"/>
    </w:pPr>
    <w:rPr>
      <w:rFonts w:ascii="宋体" w:hAnsi="宋体" w:cs="宋体"/>
      <w:sz w:val="24"/>
    </w:rPr>
  </w:style>
  <w:style w:type="paragraph" w:customStyle="1" w:styleId="59">
    <w:name w:val="列出段落2"/>
    <w:basedOn w:val="1"/>
    <w:uiPriority w:val="0"/>
    <w:pPr>
      <w:ind w:firstLine="420" w:firstLineChars="200"/>
    </w:pPr>
    <w:rPr>
      <w:szCs w:val="22"/>
    </w:rPr>
  </w:style>
  <w:style w:type="paragraph" w:customStyle="1" w:styleId="60">
    <w:name w:val="表中"/>
    <w:basedOn w:val="1"/>
    <w:link w:val="85"/>
    <w:uiPriority w:val="0"/>
    <w:pPr>
      <w:spacing w:line="300" w:lineRule="exact"/>
      <w:jc w:val="center"/>
    </w:pPr>
    <w:rPr>
      <w:szCs w:val="21"/>
    </w:rPr>
  </w:style>
  <w:style w:type="paragraph" w:customStyle="1" w:styleId="61">
    <w:name w:val="普通(网站)2"/>
    <w:basedOn w:val="1"/>
    <w:qFormat/>
    <w:uiPriority w:val="0"/>
    <w:pPr>
      <w:widowControl/>
      <w:spacing w:before="100" w:beforeAutospacing="1" w:after="100" w:afterAutospacing="1"/>
      <w:jc w:val="left"/>
    </w:pPr>
    <w:rPr>
      <w:rFonts w:ascii="宋体" w:hAnsi="宋体" w:cs="宋体"/>
      <w:kern w:val="0"/>
      <w:sz w:val="24"/>
    </w:rPr>
  </w:style>
  <w:style w:type="paragraph" w:customStyle="1" w:styleId="62">
    <w:name w:val="List Paragraph"/>
    <w:basedOn w:val="1"/>
    <w:qFormat/>
    <w:uiPriority w:val="34"/>
    <w:pPr>
      <w:ind w:firstLine="420" w:firstLineChars="200"/>
    </w:pPr>
  </w:style>
  <w:style w:type="paragraph" w:customStyle="1" w:styleId="63">
    <w:name w:val="普通(网站)3"/>
    <w:basedOn w:val="1"/>
    <w:uiPriority w:val="0"/>
    <w:pPr>
      <w:widowControl/>
      <w:spacing w:before="100" w:beforeAutospacing="1" w:after="100" w:afterAutospacing="1"/>
      <w:jc w:val="left"/>
    </w:pPr>
    <w:rPr>
      <w:rFonts w:ascii="宋体" w:hAnsi="宋体" w:cs="宋体"/>
      <w:kern w:val="0"/>
      <w:sz w:val="24"/>
    </w:rPr>
  </w:style>
  <w:style w:type="paragraph" w:customStyle="1" w:styleId="64">
    <w:name w:val="正文文本缩进 22"/>
    <w:basedOn w:val="1"/>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65">
    <w:name w:val="表文字"/>
    <w:basedOn w:val="1"/>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paragraph" w:customStyle="1" w:styleId="66">
    <w:name w:val="表文"/>
    <w:basedOn w:val="1"/>
    <w:uiPriority w:val="0"/>
    <w:pPr>
      <w:widowControl/>
      <w:adjustRightInd w:val="0"/>
      <w:snapToGrid w:val="0"/>
      <w:spacing w:beforeLines="30" w:afterLines="30"/>
      <w:jc w:val="center"/>
    </w:pPr>
    <w:rPr>
      <w:rFonts w:ascii="Times New Roman" w:cs="Times New Roman"/>
      <w:kern w:val="0"/>
    </w:rPr>
  </w:style>
  <w:style w:type="character" w:customStyle="1" w:styleId="67">
    <w:name w:val="页码1"/>
    <w:basedOn w:val="20"/>
    <w:uiPriority w:val="0"/>
    <w:rPr/>
  </w:style>
  <w:style w:type="character" w:customStyle="1" w:styleId="68">
    <w:name w:val="批注引用1"/>
    <w:uiPriority w:val="0"/>
    <w:rPr>
      <w:sz w:val="21"/>
      <w:szCs w:val="21"/>
    </w:rPr>
  </w:style>
  <w:style w:type="character" w:customStyle="1" w:styleId="69">
    <w:name w:val="正文文本缩进 3 Char Char Char"/>
    <w:link w:val="32"/>
    <w:semiHidden/>
    <w:uiPriority w:val="0"/>
    <w:rPr>
      <w:kern w:val="2"/>
      <w:sz w:val="16"/>
      <w:szCs w:val="16"/>
    </w:rPr>
  </w:style>
  <w:style w:type="character" w:customStyle="1" w:styleId="70">
    <w:name w:val="正文内容 Char Char"/>
    <w:link w:val="41"/>
    <w:semiHidden/>
    <w:uiPriority w:val="0"/>
    <w:rPr>
      <w:kern w:val="2"/>
      <w:sz w:val="24"/>
      <w:szCs w:val="24"/>
      <w:lang w:val="en-US" w:eastAsia="zh-CN" w:bidi="ar-SA"/>
    </w:rPr>
  </w:style>
  <w:style w:type="character" w:customStyle="1" w:styleId="71">
    <w:name w:val="4 Char Char"/>
    <w:link w:val="54"/>
    <w:semiHidden/>
    <w:uiPriority w:val="0"/>
    <w:rPr>
      <w:rFonts w:ascii="Arial" w:hAnsi="Arial" w:eastAsia="黑体"/>
      <w:b/>
      <w:kern w:val="2"/>
      <w:sz w:val="24"/>
      <w:szCs w:val="24"/>
      <w:lang w:val="en-US" w:eastAsia="zh-CN" w:bidi="ar-SA"/>
    </w:rPr>
  </w:style>
  <w:style w:type="character" w:customStyle="1" w:styleId="72">
    <w:name w:val="表格文字 Char Char"/>
    <w:link w:val="48"/>
    <w:semiHidden/>
    <w:uiPriority w:val="0"/>
    <w:rPr>
      <w:rFonts w:ascii="Arial" w:hAnsi="Arial" w:eastAsia="宋体-方正超大字符集" w:cs="Arial"/>
      <w:sz w:val="21"/>
      <w:szCs w:val="24"/>
    </w:rPr>
  </w:style>
  <w:style w:type="character" w:customStyle="1" w:styleId="73">
    <w:name w:val="MSG_EN_FONT_STYLE_NAME_TEMPLATE_ROLE_NUMBER MSG_EN_FONT_STYLE_NAME_BY_ROLE_TEXT 2_"/>
    <w:link w:val="44"/>
    <w:semiHidden/>
    <w:uiPriority w:val="0"/>
    <w:rPr>
      <w:rFonts w:ascii="PMingLiU" w:hAnsi="PMingLiU" w:eastAsia="PMingLiU"/>
      <w:spacing w:val="20"/>
      <w:sz w:val="26"/>
      <w:szCs w:val="26"/>
      <w:shd w:val="clear" w:color="auto" w:fill="FFFFFF"/>
      <w:lang w:bidi="ar-SA"/>
    </w:rPr>
  </w:style>
  <w:style w:type="character" w:customStyle="1" w:styleId="74">
    <w:name w:val="newsitemtext1"/>
    <w:uiPriority w:val="0"/>
    <w:rPr>
      <w:color w:val="000000"/>
      <w:sz w:val="17"/>
      <w:szCs w:val="17"/>
    </w:rPr>
  </w:style>
  <w:style w:type="character" w:customStyle="1" w:styleId="75">
    <w:name w:val="表格内容5号 Char Char"/>
    <w:link w:val="45"/>
    <w:semiHidden/>
    <w:uiPriority w:val="0"/>
    <w:rPr>
      <w:kern w:val="2"/>
      <w:sz w:val="21"/>
      <w:szCs w:val="24"/>
      <w:lang w:val="en-US" w:eastAsia="zh-CN" w:bidi="ar-SA"/>
    </w:rPr>
  </w:style>
  <w:style w:type="character" w:customStyle="1" w:styleId="76">
    <w:name w:val="正文缩进 Char Char Char"/>
    <w:link w:val="25"/>
    <w:uiPriority w:val="0"/>
    <w:rPr>
      <w:kern w:val="2"/>
      <w:sz w:val="21"/>
      <w:szCs w:val="24"/>
    </w:rPr>
  </w:style>
  <w:style w:type="character" w:customStyle="1" w:styleId="77">
    <w:name w:val="批注文字 Char1"/>
    <w:link w:val="9"/>
    <w:semiHidden/>
    <w:uiPriority w:val="0"/>
    <w:rPr>
      <w:kern w:val="2"/>
      <w:sz w:val="21"/>
    </w:rPr>
  </w:style>
  <w:style w:type="character" w:customStyle="1" w:styleId="78">
    <w:name w:val="正文文本 Char"/>
    <w:link w:val="12"/>
    <w:semiHidden/>
    <w:uiPriority w:val="0"/>
    <w:rPr>
      <w:kern w:val="2"/>
      <w:sz w:val="21"/>
      <w:szCs w:val="24"/>
    </w:rPr>
  </w:style>
  <w:style w:type="character" w:customStyle="1" w:styleId="79">
    <w:name w:val="陈正文 Char Char"/>
    <w:link w:val="50"/>
    <w:semiHidden/>
    <w:uiPriority w:val="0"/>
    <w:rPr>
      <w:rFonts w:ascii="Arial" w:hAnsi="Arial" w:eastAsia="宋体" w:cs="宋体"/>
      <w:color w:val="000000"/>
      <w:kern w:val="2"/>
      <w:sz w:val="21"/>
      <w:szCs w:val="21"/>
      <w:lang w:val="en-US" w:eastAsia="zh-CN" w:bidi="ar-SA"/>
    </w:rPr>
  </w:style>
  <w:style w:type="character" w:customStyle="1" w:styleId="80">
    <w:name w:val="正文文本缩进 Char Char Char"/>
    <w:link w:val="27"/>
    <w:semiHidden/>
    <w:uiPriority w:val="0"/>
    <w:rPr>
      <w:kern w:val="2"/>
      <w:sz w:val="21"/>
      <w:szCs w:val="24"/>
    </w:rPr>
  </w:style>
  <w:style w:type="character" w:customStyle="1" w:styleId="81">
    <w:name w:val="正文文本缩进 2 Char Char Char"/>
    <w:link w:val="30"/>
    <w:semiHidden/>
    <w:uiPriority w:val="0"/>
    <w:rPr>
      <w:kern w:val="2"/>
      <w:sz w:val="21"/>
      <w:szCs w:val="24"/>
    </w:rPr>
  </w:style>
  <w:style w:type="character" w:customStyle="1" w:styleId="82">
    <w:name w:val="彩霞-正文 Char Char"/>
    <w:link w:val="51"/>
    <w:semiHidden/>
    <w:uiPriority w:val="0"/>
    <w:rPr>
      <w:rFonts w:cs="宋体"/>
      <w:sz w:val="24"/>
      <w:szCs w:val="28"/>
      <w:lang w:val="zh-CN"/>
    </w:rPr>
  </w:style>
  <w:style w:type="character" w:customStyle="1" w:styleId="83">
    <w:name w:val="页眉 Char"/>
    <w:link w:val="17"/>
    <w:semiHidden/>
    <w:uiPriority w:val="0"/>
    <w:rPr>
      <w:kern w:val="2"/>
      <w:sz w:val="18"/>
      <w:szCs w:val="18"/>
    </w:rPr>
  </w:style>
  <w:style w:type="character" w:customStyle="1" w:styleId="84">
    <w:name w:val="正文1 Char Char"/>
    <w:link w:val="40"/>
    <w:semiHidden/>
    <w:uiPriority w:val="0"/>
    <w:rPr>
      <w:b/>
      <w:color w:val="000000"/>
      <w:kern w:val="2"/>
      <w:sz w:val="24"/>
    </w:rPr>
  </w:style>
  <w:style w:type="character" w:customStyle="1" w:styleId="85">
    <w:name w:val="表中 Char Char"/>
    <w:link w:val="60"/>
    <w:semiHidden/>
    <w:uiPriority w:val="0"/>
    <w:rPr>
      <w:rFonts w:ascii="Calibri" w:hAnsi="Calibri"/>
      <w:kern w:val="2"/>
      <w:sz w:val="21"/>
      <w:szCs w:val="21"/>
    </w:rPr>
  </w:style>
  <w:style w:type="character" w:customStyle="1" w:styleId="86">
    <w:name w:val="纯文本 Char Char Char"/>
    <w:link w:val="28"/>
    <w:semiHidden/>
    <w:uiPriority w:val="0"/>
    <w:rPr>
      <w:rFonts w:ascii="宋体" w:hAnsi="Courier New" w:eastAsia="宋体"/>
      <w:kern w:val="2"/>
      <w:sz w:val="21"/>
      <w:lang w:val="en-US" w:eastAsia="zh-CN" w:bidi="ar-SA"/>
    </w:rPr>
  </w:style>
  <w:style w:type="character" w:customStyle="1" w:styleId="87">
    <w:name w:val="标题 2 Char"/>
    <w:link w:val="5"/>
    <w:semiHidden/>
    <w:uiPriority w:val="0"/>
    <w:rPr>
      <w:rFonts w:ascii="Arial" w:eastAsia="黑体"/>
      <w:b/>
      <w:color w:val="000000"/>
      <w:sz w:val="31"/>
      <w:u w:val="none" w:color="000000"/>
      <w:lang w:val="en-US" w:eastAsia="zh-CN" w:bidi="ar-SA"/>
    </w:rPr>
  </w:style>
  <w:style w:type="character" w:customStyle="1" w:styleId="88">
    <w:name w:val="MSG_EN_FONT_STYLE_NAME_TEMPLATE_ROLE_NUMBER MSG_EN_FONT_STYLE_NAME_BY_ROLE_TEXT 2 + MSG_EN_FONT_STYLE_MODIFER_NAME Courier New"/>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character" w:customStyle="1" w:styleId="89">
    <w:name w:val="正文文本 2 字符"/>
    <w:semiHidden/>
    <w:uiPriority w:val="99"/>
    <w:rPr>
      <w:kern w:val="2"/>
      <w:sz w:val="21"/>
      <w:szCs w:val="24"/>
    </w:rPr>
  </w:style>
  <w:style w:type="character" w:customStyle="1" w:styleId="90">
    <w:name w:val="正文文本 2 Char"/>
    <w:link w:val="19"/>
    <w:semiHidden/>
    <w:uiPriority w:val="99"/>
    <w:rPr>
      <w:rFonts w:cs="Times New Roman"/>
      <w:kern w:val="2"/>
      <w:sz w:val="21"/>
      <w:szCs w:val="22"/>
    </w:rPr>
  </w:style>
  <w:style w:type="character" w:customStyle="1" w:styleId="91">
    <w:name w:val="批注文字 Char"/>
    <w:semiHidden/>
    <w:uiPriority w:val="99"/>
    <w:rPr>
      <w:kern w:val="2"/>
      <w:sz w:val="21"/>
      <w:szCs w:val="22"/>
    </w:rPr>
  </w:style>
  <w:style w:type="character" w:customStyle="1" w:styleId="92">
    <w:name w:val="日期 Char"/>
    <w:link w:val="14"/>
    <w:semiHidden/>
    <w:uiPriority w:val="99"/>
    <w:rPr>
      <w:kern w:val="2"/>
      <w:sz w:val="21"/>
      <w:szCs w:val="24"/>
    </w:rPr>
  </w:style>
  <w:style w:type="character" w:customStyle="1" w:styleId="93">
    <w:name w:val="批注主题 Char"/>
    <w:basedOn w:val="77"/>
    <w:link w:val="8"/>
    <w:semiHidden/>
    <w:uiPriority w:val="99"/>
    <w:rPr>
      <w:b/>
      <w:bCs/>
      <w:kern w:val="2"/>
      <w:sz w:val="21"/>
      <w:szCs w:val="24"/>
    </w:rPr>
  </w:style>
  <w:style w:type="character" w:customStyle="1" w:styleId="94">
    <w:name w:val="文档结构图 Char"/>
    <w:basedOn w:val="20"/>
    <w:link w:val="11"/>
    <w:semiHidden/>
    <w:uiPriority w:val="99"/>
    <w:rPr>
      <w:rFonts w:ascii="宋体"/>
      <w:kern w:val="2"/>
      <w:sz w:val="18"/>
      <w:szCs w:val="18"/>
    </w:rPr>
  </w:style>
  <w:style w:type="character" w:customStyle="1" w:styleId="95">
    <w:name w:val="标题 1 Char"/>
    <w:basedOn w:val="20"/>
    <w:link w:val="4"/>
    <w:uiPriority w:val="9"/>
    <w:rPr>
      <w:b/>
      <w:bCs/>
      <w:kern w:val="44"/>
      <w:sz w:val="44"/>
      <w:szCs w:val="44"/>
    </w:rPr>
  </w:style>
  <w:style w:type="character" w:customStyle="1" w:styleId="96">
    <w:name w:val="正文缩进 Char"/>
    <w:link w:val="10"/>
    <w:locked/>
    <w:uiPriority w:val="0"/>
    <w:rPr>
      <w:rFonts w:ascii="Times New Roman" w:hAnsi="Times New Roman" w:cs="Times New Roman"/>
      <w:kern w:val="2"/>
      <w:sz w:val="21"/>
      <w:szCs w:val="24"/>
    </w:rPr>
  </w:style>
  <w:style w:type="character" w:customStyle="1" w:styleId="97">
    <w:name w:val="fontstyle01"/>
    <w:uiPriority w:val="0"/>
    <w:rPr>
      <w:rFonts w:ascii="宋体" w:hAnsi="宋体" w:eastAsia="宋体" w:cs="宋体"/>
      <w:color w:val="000000"/>
      <w:sz w:val="24"/>
      <w:szCs w:val="24"/>
    </w:rPr>
  </w:style>
  <w:style w:type="character" w:customStyle="1" w:styleId="98">
    <w:name w:val="纯文本 Char"/>
    <w:basedOn w:val="20"/>
    <w:link w:val="13"/>
    <w:semiHidden/>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7</Pages>
  <Words>703</Words>
  <Characters>4008</Characters>
  <Lines>33</Lines>
  <Paragraphs>9</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TG</cp:lastModifiedBy>
  <cp:lastPrinted>2018-07-13T17:29:00Z</cp:lastPrinted>
  <dcterms:modified xsi:type="dcterms:W3CDTF">2021-07-01T02:21:13Z</dcterms:modified>
  <dc:title>ygd</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