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jc w:val="center"/>
        <w:rPr>
          <w:rFonts w:ascii="Microsoft New Tai Lue" w:hAnsi="Microsoft New Tai Lue" w:cs="Microsoft New Tai Lue"/>
          <w:b/>
          <w:sz w:val="32"/>
          <w:szCs w:val="32"/>
        </w:rPr>
      </w:pPr>
      <w:r>
        <w:rPr>
          <w:rFonts w:ascii="Microsoft New Tai Lue" w:hAnsi="Microsoft New Tai Lue" w:eastAsia="宋体" w:cs="Microsoft New Tai Lue"/>
          <w:b/>
          <w:sz w:val="32"/>
          <w:szCs w:val="32"/>
        </w:rPr>
        <w:t>山西太钢不锈钢股份有限公司加工厂渣场环境综合治理工程</w:t>
      </w:r>
    </w:p>
    <w:p>
      <w:pPr>
        <w:spacing w:line="460" w:lineRule="exact"/>
        <w:jc w:val="center"/>
        <w:rPr>
          <w:rFonts w:ascii="Microsoft New Tai Lue" w:hAnsi="Microsoft New Tai Lue" w:cs="Microsoft New Tai Lue"/>
          <w:b/>
          <w:sz w:val="32"/>
          <w:szCs w:val="32"/>
        </w:rPr>
      </w:pPr>
      <w:r>
        <w:rPr>
          <w:rFonts w:ascii="Microsoft New Tai Lue" w:hAnsi="Microsoft New Tai Lue" w:cs="Microsoft New Tai Lue"/>
          <w:b/>
          <w:sz w:val="32"/>
          <w:szCs w:val="32"/>
        </w:rPr>
        <w:t>竣工环境保护验收组意见</w:t>
      </w:r>
    </w:p>
    <w:p>
      <w:pPr>
        <w:spacing w:line="460" w:lineRule="exact"/>
        <w:rPr>
          <w:rFonts w:ascii="Microsoft New Tai Lue" w:hAnsi="Microsoft New Tai Lue" w:cs="Microsoft New Tai Lue"/>
          <w:sz w:val="24"/>
          <w:szCs w:val="24"/>
        </w:rPr>
      </w:pPr>
    </w:p>
    <w:p>
      <w:pPr>
        <w:spacing w:line="460" w:lineRule="exact"/>
        <w:jc w:val="left"/>
        <w:rPr>
          <w:rFonts w:ascii="Microsoft New Tai Lue" w:hAnsi="Microsoft New Tai Lue" w:cs="Microsoft New Tai Lue"/>
          <w:sz w:val="24"/>
          <w:szCs w:val="24"/>
        </w:rPr>
      </w:pPr>
      <w:r>
        <w:rPr>
          <w:rFonts w:hint="eastAsia" w:ascii="Microsoft New Tai Lue" w:hAnsi="Microsoft New Tai Lue" w:cs="Microsoft New Tai Lue"/>
          <w:b/>
          <w:sz w:val="24"/>
          <w:szCs w:val="24"/>
        </w:rPr>
        <w:t xml:space="preserve">     </w:t>
      </w:r>
      <w:r>
        <w:rPr>
          <w:rFonts w:hint="eastAsia" w:ascii="Microsoft New Tai Lue" w:hAnsi="Microsoft New Tai Lue" w:cs="Microsoft New Tai Lue"/>
          <w:sz w:val="24"/>
          <w:szCs w:val="24"/>
        </w:rPr>
        <w:t xml:space="preserve"> </w:t>
      </w:r>
      <w:r>
        <w:rPr>
          <w:rFonts w:ascii="Microsoft New Tai Lue" w:hAnsi="Microsoft New Tai Lue" w:cs="Microsoft New Tai Lue"/>
          <w:sz w:val="24"/>
          <w:szCs w:val="24"/>
        </w:rPr>
        <w:t>根据《建设项目竣工环境保护验收暂行办法》</w:t>
      </w:r>
      <w:r>
        <w:rPr>
          <w:rFonts w:hint="eastAsia" w:ascii="Microsoft New Tai Lue" w:hAnsi="Microsoft New Tai Lue" w:cs="Microsoft New Tai Lue"/>
          <w:sz w:val="24"/>
          <w:szCs w:val="24"/>
        </w:rPr>
        <w:t>等</w:t>
      </w:r>
      <w:r>
        <w:rPr>
          <w:rFonts w:ascii="Microsoft New Tai Lue" w:hAnsi="Microsoft New Tai Lue" w:cs="Microsoft New Tai Lue"/>
          <w:sz w:val="24"/>
          <w:szCs w:val="24"/>
        </w:rPr>
        <w:t>相关要求，20</w:t>
      </w:r>
      <w:r>
        <w:rPr>
          <w:rFonts w:hint="eastAsia" w:ascii="Microsoft New Tai Lue" w:hAnsi="Microsoft New Tai Lue" w:cs="Microsoft New Tai Lue"/>
          <w:sz w:val="24"/>
          <w:szCs w:val="24"/>
          <w:lang w:val="en-US" w:eastAsia="zh-CN"/>
        </w:rPr>
        <w:t>20</w:t>
      </w:r>
      <w:r>
        <w:rPr>
          <w:rFonts w:ascii="Microsoft New Tai Lue" w:hAnsi="Microsoft New Tai Lue" w:cs="Microsoft New Tai Lue"/>
          <w:sz w:val="24"/>
          <w:szCs w:val="24"/>
        </w:rPr>
        <w:t>年</w:t>
      </w:r>
      <w:r>
        <w:rPr>
          <w:rFonts w:hint="eastAsia" w:ascii="Microsoft New Tai Lue" w:hAnsi="Microsoft New Tai Lue" w:cs="Microsoft New Tai Lue"/>
          <w:sz w:val="24"/>
          <w:szCs w:val="24"/>
          <w:highlight w:val="none"/>
          <w:lang w:val="en-US" w:eastAsia="zh-CN"/>
        </w:rPr>
        <w:t>4</w:t>
      </w:r>
      <w:r>
        <w:rPr>
          <w:rFonts w:ascii="Microsoft New Tai Lue" w:hAnsi="Microsoft New Tai Lue" w:cs="Microsoft New Tai Lue"/>
          <w:sz w:val="24"/>
          <w:szCs w:val="24"/>
          <w:highlight w:val="none"/>
        </w:rPr>
        <w:t>月</w:t>
      </w:r>
      <w:r>
        <w:rPr>
          <w:rFonts w:hint="eastAsia" w:ascii="Microsoft New Tai Lue" w:hAnsi="Microsoft New Tai Lue" w:cs="Microsoft New Tai Lue"/>
          <w:sz w:val="24"/>
          <w:szCs w:val="24"/>
          <w:highlight w:val="none"/>
          <w:lang w:val="en-US" w:eastAsia="zh-CN"/>
        </w:rPr>
        <w:t>27</w:t>
      </w:r>
      <w:r>
        <w:rPr>
          <w:rFonts w:ascii="Microsoft New Tai Lue" w:hAnsi="Microsoft New Tai Lue" w:cs="Microsoft New Tai Lue"/>
          <w:sz w:val="24"/>
          <w:szCs w:val="24"/>
          <w:highlight w:val="none"/>
        </w:rPr>
        <w:t>日</w:t>
      </w:r>
      <w:r>
        <w:rPr>
          <w:rFonts w:ascii="Microsoft New Tai Lue" w:hAnsi="Microsoft New Tai Lue" w:cs="Microsoft New Tai Lue"/>
          <w:sz w:val="24"/>
          <w:szCs w:val="24"/>
        </w:rPr>
        <w:t>，</w:t>
      </w:r>
      <w:r>
        <w:rPr>
          <w:rFonts w:ascii="Microsoft New Tai Lue" w:hAnsi="Microsoft New Tai Lue" w:eastAsia="宋体" w:cs="Microsoft New Tai Lue"/>
          <w:sz w:val="24"/>
          <w:szCs w:val="24"/>
        </w:rPr>
        <w:t>山西太钢不锈钢股份有限公司</w:t>
      </w:r>
      <w:r>
        <w:rPr>
          <w:rFonts w:ascii="Microsoft New Tai Lue" w:hAnsi="Microsoft New Tai Lue" w:cs="Microsoft New Tai Lue"/>
          <w:sz w:val="24"/>
          <w:szCs w:val="24"/>
        </w:rPr>
        <w:t>组织召开</w:t>
      </w:r>
      <w:r>
        <w:rPr>
          <w:rFonts w:ascii="Microsoft New Tai Lue" w:hAnsi="Microsoft New Tai Lue" w:eastAsia="宋体" w:cs="Microsoft New Tai Lue"/>
          <w:sz w:val="24"/>
          <w:szCs w:val="24"/>
        </w:rPr>
        <w:t>了</w:t>
      </w:r>
      <w:r>
        <w:rPr>
          <w:rFonts w:ascii="Microsoft New Tai Lue" w:hAnsi="Microsoft New Tai Lue" w:cs="Microsoft New Tai Lue"/>
          <w:sz w:val="24"/>
          <w:szCs w:val="24"/>
        </w:rPr>
        <w:t>《山西太钢不锈钢股份有限公司加工厂渣场环境综合治理工程》</w:t>
      </w:r>
      <w:r>
        <w:rPr>
          <w:rFonts w:ascii="Microsoft New Tai Lue" w:hAnsi="Microsoft New Tai Lue" w:eastAsia="宋体" w:cs="Microsoft New Tai Lue"/>
          <w:sz w:val="24"/>
          <w:szCs w:val="24"/>
        </w:rPr>
        <w:t>竣工</w:t>
      </w:r>
      <w:r>
        <w:rPr>
          <w:rFonts w:ascii="Microsoft New Tai Lue" w:hAnsi="Microsoft New Tai Lue" w:cs="Microsoft New Tai Lue"/>
          <w:sz w:val="24"/>
          <w:szCs w:val="24"/>
        </w:rPr>
        <w:t>环境保护验收会，参加会议的有</w:t>
      </w:r>
      <w:r>
        <w:rPr>
          <w:rFonts w:hint="eastAsia" w:ascii="Microsoft New Tai Lue" w:hAnsi="Microsoft New Tai Lue" w:cs="Microsoft New Tai Lue"/>
          <w:sz w:val="24"/>
          <w:szCs w:val="24"/>
          <w:lang w:val="en-US" w:eastAsia="zh-CN"/>
        </w:rPr>
        <w:t>验收</w:t>
      </w:r>
      <w:r>
        <w:rPr>
          <w:rFonts w:ascii="Microsoft New Tai Lue" w:hAnsi="Microsoft New Tai Lue" w:cs="Microsoft New Tai Lue"/>
          <w:sz w:val="24"/>
          <w:szCs w:val="24"/>
        </w:rPr>
        <w:t>监测单位山西泓澈环境监测有限公司及环保专家。现场检查了项目环保设施建设及运行情况，建设单位对项目情况做了简要汇报，监测单位对竣工环保验收监测报告内容进行了详细汇报，经过讨论形成验收意见如下：</w:t>
      </w:r>
    </w:p>
    <w:p>
      <w:pPr>
        <w:pStyle w:val="16"/>
        <w:spacing w:line="480" w:lineRule="exact"/>
        <w:ind w:left="420" w:leftChars="200" w:firstLine="0" w:firstLineChars="0"/>
        <w:rPr>
          <w:rFonts w:ascii="Microsoft New Tai Lue" w:hAnsi="Microsoft New Tai Lue" w:cs="Microsoft New Tai Lue"/>
          <w:sz w:val="24"/>
          <w:szCs w:val="24"/>
        </w:rPr>
      </w:pPr>
      <w:r>
        <w:rPr>
          <w:rFonts w:ascii="Microsoft New Tai Lue" w:hAnsi="Microsoft New Tai Lue" w:cs="Microsoft New Tai Lue"/>
          <w:sz w:val="24"/>
          <w:szCs w:val="24"/>
        </w:rPr>
        <w:t>一、工程建设基本情况</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ascii="Microsoft New Tai Lue" w:hAnsi="Microsoft New Tai Lue" w:eastAsia="宋体" w:cs="Microsoft New Tai Lue"/>
          <w:sz w:val="24"/>
          <w:szCs w:val="24"/>
        </w:rPr>
      </w:pPr>
      <w:r>
        <w:rPr>
          <w:rFonts w:ascii="Microsoft New Tai Lue" w:hAnsi="Microsoft New Tai Lue" w:eastAsia="宋体" w:cs="Microsoft New Tai Lue"/>
          <w:sz w:val="24"/>
          <w:szCs w:val="24"/>
        </w:rPr>
        <w:t>项目名称：山西太钢不锈钢股份有限公司加工厂渣场环境综合治理工程</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ascii="Microsoft New Tai Lue" w:hAnsi="Microsoft New Tai Lue" w:eastAsia="宋体" w:cs="Microsoft New Tai Lue"/>
          <w:sz w:val="24"/>
          <w:szCs w:val="24"/>
        </w:rPr>
      </w:pPr>
      <w:r>
        <w:rPr>
          <w:rFonts w:ascii="Microsoft New Tai Lue" w:hAnsi="Microsoft New Tai Lue" w:eastAsia="宋体" w:cs="Microsoft New Tai Lue"/>
          <w:sz w:val="24"/>
          <w:szCs w:val="24"/>
        </w:rPr>
        <w:t>投资总额：14016万元</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ascii="Microsoft New Tai Lue" w:hAnsi="Microsoft New Tai Lue" w:eastAsia="宋体" w:cs="Microsoft New Tai Lue"/>
          <w:sz w:val="24"/>
          <w:szCs w:val="24"/>
        </w:rPr>
      </w:pPr>
      <w:r>
        <w:rPr>
          <w:rFonts w:ascii="Microsoft New Tai Lue" w:hAnsi="Microsoft New Tai Lue" w:eastAsia="宋体" w:cs="Microsoft New Tai Lue"/>
          <w:sz w:val="24"/>
          <w:szCs w:val="24"/>
        </w:rPr>
        <w:t>环保投资：</w:t>
      </w:r>
      <w:r>
        <w:rPr>
          <w:rFonts w:hint="eastAsia" w:ascii="Microsoft New Tai Lue" w:hAnsi="Microsoft New Tai Lue" w:eastAsia="宋体" w:cs="Microsoft New Tai Lue"/>
          <w:sz w:val="24"/>
          <w:szCs w:val="24"/>
          <w:lang w:val="en-US" w:eastAsia="zh-CN"/>
        </w:rPr>
        <w:t>14016</w:t>
      </w:r>
      <w:r>
        <w:rPr>
          <w:rFonts w:ascii="Microsoft New Tai Lue" w:hAnsi="Microsoft New Tai Lue" w:eastAsia="宋体" w:cs="Microsoft New Tai Lue"/>
          <w:sz w:val="24"/>
          <w:szCs w:val="24"/>
        </w:rPr>
        <w:t>万元</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ascii="Microsoft New Tai Lue" w:hAnsi="Microsoft New Tai Lue" w:eastAsia="宋体" w:cs="Microsoft New Tai Lue"/>
          <w:sz w:val="24"/>
          <w:szCs w:val="24"/>
        </w:rPr>
      </w:pPr>
      <w:r>
        <w:rPr>
          <w:rFonts w:ascii="Microsoft New Tai Lue" w:hAnsi="Microsoft New Tai Lue" w:eastAsia="宋体" w:cs="Microsoft New Tai Lue"/>
          <w:sz w:val="24"/>
          <w:szCs w:val="24"/>
        </w:rPr>
        <w:t>建设地点：山西太钢不锈钢股份有限公司厂区内：7#8#线地址为太钢修建公司第三金属结构厂处；4#、5#、6#不锈钢热焖车间及周边</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ascii="Microsoft New Tai Lue" w:hAnsi="Microsoft New Tai Lue" w:eastAsia="宋体" w:cs="Microsoft New Tai Lue"/>
          <w:sz w:val="24"/>
          <w:szCs w:val="24"/>
        </w:rPr>
      </w:pPr>
      <w:r>
        <w:rPr>
          <w:rFonts w:ascii="Microsoft New Tai Lue" w:hAnsi="Microsoft New Tai Lue" w:eastAsia="宋体" w:cs="Microsoft New Tai Lue"/>
          <w:sz w:val="24"/>
          <w:szCs w:val="24"/>
        </w:rPr>
        <w:t>2017年</w:t>
      </w:r>
      <w:r>
        <w:rPr>
          <w:rFonts w:hint="eastAsia" w:ascii="Microsoft New Tai Lue" w:hAnsi="Microsoft New Tai Lue" w:eastAsia="宋体" w:cs="Microsoft New Tai Lue"/>
          <w:sz w:val="24"/>
          <w:szCs w:val="24"/>
          <w:lang w:val="en-US" w:eastAsia="zh-CN"/>
        </w:rPr>
        <w:t>4</w:t>
      </w:r>
      <w:r>
        <w:rPr>
          <w:rFonts w:ascii="Microsoft New Tai Lue" w:hAnsi="Microsoft New Tai Lue" w:eastAsia="宋体" w:cs="Microsoft New Tai Lue"/>
          <w:sz w:val="24"/>
          <w:szCs w:val="24"/>
        </w:rPr>
        <w:t>月，山西清泽阳光环保科技有限公司</w:t>
      </w:r>
      <w:r>
        <w:rPr>
          <w:rFonts w:hint="eastAsia" w:ascii="Microsoft New Tai Lue" w:hAnsi="Microsoft New Tai Lue" w:eastAsia="宋体" w:cs="Microsoft New Tai Lue"/>
          <w:sz w:val="24"/>
          <w:szCs w:val="24"/>
        </w:rPr>
        <w:t>编制了</w:t>
      </w:r>
      <w:r>
        <w:rPr>
          <w:rFonts w:ascii="Microsoft New Tai Lue" w:hAnsi="Microsoft New Tai Lue" w:eastAsia="宋体" w:cs="Microsoft New Tai Lue"/>
          <w:sz w:val="24"/>
          <w:szCs w:val="24"/>
        </w:rPr>
        <w:t>《山西太钢不锈钢股份有限公司加工厂渣场环境综合治理工程项目环境影响报告表》</w:t>
      </w:r>
      <w:r>
        <w:rPr>
          <w:rFonts w:hint="eastAsia" w:ascii="Microsoft New Tai Lue" w:hAnsi="Microsoft New Tai Lue" w:eastAsia="宋体" w:cs="Microsoft New Tai Lue"/>
          <w:sz w:val="24"/>
          <w:szCs w:val="24"/>
          <w:lang w:eastAsia="zh-CN"/>
        </w:rPr>
        <w:t>；</w:t>
      </w:r>
      <w:r>
        <w:rPr>
          <w:rFonts w:ascii="Microsoft New Tai Lue" w:hAnsi="Microsoft New Tai Lue" w:eastAsia="宋体" w:cs="Microsoft New Tai Lue"/>
          <w:sz w:val="24"/>
          <w:szCs w:val="24"/>
        </w:rPr>
        <w:t>201</w:t>
      </w:r>
      <w:r>
        <w:rPr>
          <w:rFonts w:hint="eastAsia" w:ascii="Microsoft New Tai Lue" w:hAnsi="Microsoft New Tai Lue" w:eastAsia="宋体" w:cs="Microsoft New Tai Lue"/>
          <w:sz w:val="24"/>
          <w:szCs w:val="24"/>
        </w:rPr>
        <w:t>7</w:t>
      </w:r>
      <w:r>
        <w:rPr>
          <w:rFonts w:ascii="Microsoft New Tai Lue" w:hAnsi="Microsoft New Tai Lue" w:eastAsia="宋体" w:cs="Microsoft New Tai Lue"/>
          <w:sz w:val="24"/>
          <w:szCs w:val="24"/>
        </w:rPr>
        <w:t>年</w:t>
      </w:r>
      <w:r>
        <w:rPr>
          <w:rFonts w:hint="eastAsia" w:ascii="Microsoft New Tai Lue" w:hAnsi="Microsoft New Tai Lue" w:eastAsia="宋体" w:cs="Microsoft New Tai Lue"/>
          <w:sz w:val="24"/>
          <w:szCs w:val="24"/>
        </w:rPr>
        <w:t>06</w:t>
      </w:r>
      <w:r>
        <w:rPr>
          <w:rFonts w:ascii="Microsoft New Tai Lue" w:hAnsi="Microsoft New Tai Lue" w:eastAsia="宋体" w:cs="Microsoft New Tai Lue"/>
          <w:sz w:val="24"/>
          <w:szCs w:val="24"/>
        </w:rPr>
        <w:t>月27日</w:t>
      </w:r>
      <w:r>
        <w:rPr>
          <w:rFonts w:hint="eastAsia" w:ascii="Microsoft New Tai Lue" w:hAnsi="Microsoft New Tai Lue" w:eastAsia="宋体" w:cs="Microsoft New Tai Lue"/>
          <w:sz w:val="24"/>
          <w:szCs w:val="24"/>
          <w:lang w:eastAsia="zh-CN"/>
        </w:rPr>
        <w:t>，</w:t>
      </w:r>
      <w:r>
        <w:rPr>
          <w:rFonts w:ascii="Microsoft New Tai Lue" w:hAnsi="Microsoft New Tai Lue" w:eastAsia="宋体" w:cs="Microsoft New Tai Lue"/>
          <w:sz w:val="24"/>
          <w:szCs w:val="24"/>
        </w:rPr>
        <w:t>太原市环境保护局尖草坪分局</w:t>
      </w:r>
      <w:r>
        <w:rPr>
          <w:rFonts w:hint="eastAsia" w:ascii="Microsoft New Tai Lue" w:hAnsi="Microsoft New Tai Lue" w:eastAsia="宋体" w:cs="Microsoft New Tai Lue"/>
          <w:sz w:val="24"/>
          <w:szCs w:val="24"/>
          <w:lang w:val="en-US" w:eastAsia="zh-CN"/>
        </w:rPr>
        <w:t>以</w:t>
      </w:r>
      <w:r>
        <w:rPr>
          <w:rFonts w:ascii="Microsoft New Tai Lue" w:hAnsi="Microsoft New Tai Lue" w:eastAsia="宋体" w:cs="Microsoft New Tai Lue"/>
          <w:sz w:val="24"/>
          <w:szCs w:val="24"/>
        </w:rPr>
        <w:t>并环尖审批〔201</w:t>
      </w:r>
      <w:r>
        <w:rPr>
          <w:rFonts w:hint="eastAsia" w:ascii="Microsoft New Tai Lue" w:hAnsi="Microsoft New Tai Lue" w:eastAsia="宋体" w:cs="Microsoft New Tai Lue"/>
          <w:sz w:val="24"/>
          <w:szCs w:val="24"/>
        </w:rPr>
        <w:t>7</w:t>
      </w:r>
      <w:r>
        <w:rPr>
          <w:rFonts w:ascii="Microsoft New Tai Lue" w:hAnsi="Microsoft New Tai Lue" w:eastAsia="宋体" w:cs="Microsoft New Tai Lue"/>
          <w:sz w:val="24"/>
          <w:szCs w:val="24"/>
        </w:rPr>
        <w:t>〕第</w:t>
      </w:r>
      <w:r>
        <w:rPr>
          <w:rFonts w:hint="eastAsia" w:ascii="Microsoft New Tai Lue" w:hAnsi="Microsoft New Tai Lue" w:eastAsia="宋体" w:cs="Microsoft New Tai Lue"/>
          <w:sz w:val="24"/>
          <w:szCs w:val="24"/>
        </w:rPr>
        <w:t>15</w:t>
      </w:r>
      <w:r>
        <w:rPr>
          <w:rFonts w:ascii="Microsoft New Tai Lue" w:hAnsi="Microsoft New Tai Lue" w:eastAsia="宋体" w:cs="Microsoft New Tai Lue"/>
          <w:sz w:val="24"/>
          <w:szCs w:val="24"/>
        </w:rPr>
        <w:t>号</w:t>
      </w:r>
      <w:r>
        <w:rPr>
          <w:rFonts w:hint="eastAsia" w:ascii="Microsoft New Tai Lue" w:hAnsi="Microsoft New Tai Lue" w:eastAsia="宋体" w:cs="Microsoft New Tai Lue"/>
          <w:sz w:val="24"/>
          <w:szCs w:val="24"/>
          <w:lang w:val="en-US" w:eastAsia="zh-CN"/>
        </w:rPr>
        <w:t>文</w:t>
      </w:r>
      <w:r>
        <w:rPr>
          <w:rFonts w:ascii="Microsoft New Tai Lue" w:hAnsi="Microsoft New Tai Lue" w:eastAsia="宋体" w:cs="Microsoft New Tai Lue"/>
          <w:sz w:val="24"/>
          <w:szCs w:val="24"/>
        </w:rPr>
        <w:t>批复报告表</w:t>
      </w:r>
      <w:r>
        <w:rPr>
          <w:rFonts w:hint="eastAsia" w:ascii="Microsoft New Tai Lue" w:hAnsi="Microsoft New Tai Lue" w:eastAsia="宋体" w:cs="Microsoft New Tai Lue"/>
          <w:sz w:val="24"/>
          <w:szCs w:val="24"/>
        </w:rPr>
        <w:t>。</w:t>
      </w:r>
      <w:r>
        <w:rPr>
          <w:rFonts w:ascii="Microsoft New Tai Lue" w:hAnsi="Microsoft New Tai Lue" w:eastAsia="宋体" w:cs="Microsoft New Tai Lue"/>
          <w:sz w:val="24"/>
          <w:szCs w:val="24"/>
        </w:rPr>
        <w:t>项目于2017年</w:t>
      </w:r>
      <w:r>
        <w:rPr>
          <w:rFonts w:hint="eastAsia" w:ascii="Microsoft New Tai Lue" w:hAnsi="Microsoft New Tai Lue" w:eastAsia="宋体" w:cs="Microsoft New Tai Lue"/>
          <w:sz w:val="24"/>
          <w:szCs w:val="24"/>
          <w:lang w:val="en-US" w:eastAsia="zh-CN"/>
        </w:rPr>
        <w:t>6</w:t>
      </w:r>
      <w:r>
        <w:rPr>
          <w:rFonts w:ascii="Microsoft New Tai Lue" w:hAnsi="Microsoft New Tai Lue" w:eastAsia="宋体" w:cs="Microsoft New Tai Lue"/>
          <w:sz w:val="24"/>
          <w:szCs w:val="24"/>
        </w:rPr>
        <w:t>月开始建设，201</w:t>
      </w:r>
      <w:r>
        <w:rPr>
          <w:rFonts w:hint="eastAsia" w:ascii="Microsoft New Tai Lue" w:hAnsi="Microsoft New Tai Lue" w:eastAsia="宋体" w:cs="Microsoft New Tai Lue"/>
          <w:sz w:val="24"/>
          <w:szCs w:val="24"/>
          <w:lang w:val="en-US" w:eastAsia="zh-CN"/>
        </w:rPr>
        <w:t>7</w:t>
      </w:r>
      <w:r>
        <w:rPr>
          <w:rFonts w:ascii="Microsoft New Tai Lue" w:hAnsi="Microsoft New Tai Lue" w:eastAsia="宋体" w:cs="Microsoft New Tai Lue"/>
          <w:sz w:val="24"/>
          <w:szCs w:val="24"/>
        </w:rPr>
        <w:t>年</w:t>
      </w:r>
      <w:r>
        <w:rPr>
          <w:rFonts w:hint="eastAsia" w:ascii="Microsoft New Tai Lue" w:hAnsi="Microsoft New Tai Lue" w:eastAsia="宋体" w:cs="Microsoft New Tai Lue"/>
          <w:sz w:val="24"/>
          <w:szCs w:val="24"/>
          <w:lang w:val="en-US" w:eastAsia="zh-CN"/>
        </w:rPr>
        <w:t>11</w:t>
      </w:r>
      <w:r>
        <w:rPr>
          <w:rFonts w:ascii="Microsoft New Tai Lue" w:hAnsi="Microsoft New Tai Lue" w:eastAsia="宋体" w:cs="Microsoft New Tai Lue"/>
          <w:sz w:val="24"/>
          <w:szCs w:val="24"/>
        </w:rPr>
        <w:t>月基本建设完成。</w:t>
      </w:r>
    </w:p>
    <w:p>
      <w:pPr>
        <w:pStyle w:val="16"/>
        <w:spacing w:line="420" w:lineRule="exact"/>
        <w:ind w:left="420" w:leftChars="200" w:firstLine="0" w:firstLineChars="0"/>
        <w:rPr>
          <w:rFonts w:ascii="Microsoft New Tai Lue" w:hAnsi="Microsoft New Tai Lue" w:cs="Microsoft New Tai Lue"/>
          <w:sz w:val="24"/>
          <w:szCs w:val="24"/>
        </w:rPr>
      </w:pPr>
      <w:r>
        <w:rPr>
          <w:rFonts w:ascii="Microsoft New Tai Lue" w:hAnsi="Microsoft New Tai Lue" w:cs="Microsoft New Tai Lue"/>
          <w:sz w:val="24"/>
          <w:szCs w:val="24"/>
        </w:rPr>
        <w:t>二、</w:t>
      </w:r>
      <w:r>
        <w:rPr>
          <w:rFonts w:hint="eastAsia" w:ascii="Microsoft New Tai Lue" w:hAnsi="Microsoft New Tai Lue" w:cs="Microsoft New Tai Lue"/>
          <w:sz w:val="24"/>
          <w:szCs w:val="24"/>
        </w:rPr>
        <w:t>项目主要建设情况</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ascii="Microsoft New Tai Lue" w:hAnsi="Microsoft New Tai Lue" w:eastAsia="宋体" w:cs="Microsoft New Tai Lue"/>
          <w:sz w:val="24"/>
          <w:szCs w:val="24"/>
        </w:rPr>
      </w:pPr>
      <w:r>
        <w:rPr>
          <w:rFonts w:hint="eastAsia" w:ascii="Microsoft New Tai Lue" w:hAnsi="Microsoft New Tai Lue" w:eastAsia="宋体" w:cs="Microsoft New Tai Lue"/>
          <w:sz w:val="24"/>
          <w:szCs w:val="24"/>
        </w:rPr>
        <w:t>项目主要建设情况</w:t>
      </w:r>
      <w:r>
        <w:rPr>
          <w:rFonts w:ascii="Microsoft New Tai Lue" w:hAnsi="Microsoft New Tai Lue" w:eastAsia="宋体" w:cs="Microsoft New Tai Lue"/>
          <w:sz w:val="24"/>
          <w:szCs w:val="24"/>
        </w:rPr>
        <w:t>见表1。</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ascii="Times New Roman" w:hAnsi="Times New Roman"/>
          <w:b/>
          <w:bCs/>
          <w:sz w:val="24"/>
        </w:rPr>
      </w:pPr>
      <w:r>
        <w:rPr>
          <w:rFonts w:hint="eastAsia" w:ascii="Microsoft New Tai Lue" w:hAnsi="Microsoft New Tai Lue" w:eastAsia="宋体" w:cs="Microsoft New Tai Lue"/>
          <w:sz w:val="24"/>
          <w:szCs w:val="24"/>
          <w:lang w:val="en-US" w:eastAsia="zh-CN"/>
        </w:rPr>
        <w:t>环保设施</w:t>
      </w:r>
      <w:r>
        <w:rPr>
          <w:rFonts w:hint="eastAsia" w:ascii="Microsoft New Tai Lue" w:hAnsi="Microsoft New Tai Lue" w:eastAsia="宋体" w:cs="Microsoft New Tai Lue"/>
          <w:sz w:val="24"/>
          <w:szCs w:val="24"/>
        </w:rPr>
        <w:t>建设情况</w:t>
      </w:r>
      <w:r>
        <w:rPr>
          <w:rFonts w:hint="eastAsia" w:ascii="Microsoft New Tai Lue" w:hAnsi="Microsoft New Tai Lue" w:eastAsia="宋体" w:cs="Microsoft New Tai Lue"/>
          <w:sz w:val="24"/>
          <w:szCs w:val="24"/>
          <w:lang w:val="en-US" w:eastAsia="zh-CN"/>
        </w:rPr>
        <w:t>见表</w:t>
      </w:r>
      <w:r>
        <w:rPr>
          <w:rFonts w:hint="eastAsia" w:ascii="Microsoft New Tai Lue" w:hAnsi="Microsoft New Tai Lue" w:cs="Microsoft New Tai Lue"/>
          <w:sz w:val="24"/>
          <w:szCs w:val="24"/>
          <w:lang w:val="en-US" w:eastAsia="zh-CN"/>
        </w:rPr>
        <w:t>2</w:t>
      </w:r>
      <w:r>
        <w:rPr>
          <w:rFonts w:hint="eastAsia"/>
          <w:lang w:val="en-US" w:eastAsia="zh-CN"/>
        </w:rPr>
        <w:t>。</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ascii="Microsoft New Tai Lue" w:hAnsi="Microsoft New Tai Lue" w:eastAsia="宋体" w:cs="Microsoft New Tai Lue"/>
          <w:sz w:val="24"/>
          <w:szCs w:val="24"/>
        </w:rPr>
      </w:pPr>
      <w:r>
        <w:rPr>
          <w:rFonts w:ascii="Microsoft New Tai Lue" w:hAnsi="Microsoft New Tai Lue" w:eastAsia="宋体" w:cs="Microsoft New Tai Lue"/>
          <w:sz w:val="24"/>
          <w:szCs w:val="24"/>
        </w:rPr>
        <w:t>项目</w:t>
      </w:r>
      <w:r>
        <w:rPr>
          <w:rFonts w:hint="eastAsia" w:ascii="Microsoft New Tai Lue" w:hAnsi="Microsoft New Tai Lue" w:eastAsia="宋体" w:cs="Microsoft New Tai Lue"/>
          <w:sz w:val="24"/>
          <w:szCs w:val="24"/>
          <w:lang w:val="en-US" w:eastAsia="zh-CN"/>
        </w:rPr>
        <w:t>主要</w:t>
      </w:r>
      <w:r>
        <w:rPr>
          <w:rFonts w:ascii="Microsoft New Tai Lue" w:hAnsi="Microsoft New Tai Lue" w:eastAsia="宋体" w:cs="Microsoft New Tai Lue"/>
          <w:sz w:val="24"/>
          <w:szCs w:val="24"/>
        </w:rPr>
        <w:t>设备清单见表</w:t>
      </w:r>
      <w:r>
        <w:rPr>
          <w:rFonts w:hint="eastAsia" w:ascii="Microsoft New Tai Lue" w:hAnsi="Microsoft New Tai Lue" w:cs="Microsoft New Tai Lue"/>
          <w:sz w:val="24"/>
          <w:szCs w:val="24"/>
          <w:lang w:val="en-US" w:eastAsia="zh-CN"/>
        </w:rPr>
        <w:t>3</w:t>
      </w:r>
      <w:r>
        <w:rPr>
          <w:rFonts w:ascii="Microsoft New Tai Lue" w:hAnsi="Microsoft New Tai Lue" w:eastAsia="宋体" w:cs="Microsoft New Tai Lue"/>
          <w:sz w:val="24"/>
          <w:szCs w:val="24"/>
        </w:rPr>
        <w:t>。</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ascii="Microsoft New Tai Lue" w:hAnsi="Microsoft New Tai Lue" w:eastAsia="宋体" w:cs="Microsoft New Tai Lue"/>
          <w:sz w:val="24"/>
          <w:szCs w:val="24"/>
        </w:rPr>
      </w:pPr>
      <w:r>
        <w:rPr>
          <w:rFonts w:hint="eastAsia" w:ascii="Microsoft New Tai Lue" w:hAnsi="Microsoft New Tai Lue" w:eastAsia="宋体" w:cs="Microsoft New Tai Lue"/>
          <w:sz w:val="24"/>
          <w:szCs w:val="24"/>
          <w:lang w:eastAsia="zh-CN"/>
        </w:rPr>
        <w:t>依托工程钢渣分离处理线工艺设备</w:t>
      </w:r>
      <w:r>
        <w:rPr>
          <w:rFonts w:ascii="Microsoft New Tai Lue" w:hAnsi="Microsoft New Tai Lue" w:eastAsia="宋体" w:cs="Microsoft New Tai Lue"/>
          <w:sz w:val="24"/>
          <w:szCs w:val="24"/>
        </w:rPr>
        <w:t>见表</w:t>
      </w:r>
      <w:r>
        <w:rPr>
          <w:rFonts w:hint="eastAsia" w:ascii="Microsoft New Tai Lue" w:hAnsi="Microsoft New Tai Lue" w:cs="Microsoft New Tai Lue"/>
          <w:sz w:val="24"/>
          <w:szCs w:val="24"/>
          <w:lang w:val="en-US" w:eastAsia="zh-CN"/>
        </w:rPr>
        <w:t>4</w:t>
      </w:r>
      <w:r>
        <w:rPr>
          <w:rFonts w:ascii="Microsoft New Tai Lue" w:hAnsi="Microsoft New Tai Lue" w:eastAsia="宋体" w:cs="Microsoft New Tai Lue"/>
          <w:sz w:val="24"/>
          <w:szCs w:val="24"/>
        </w:rPr>
        <w:t>。</w:t>
      </w:r>
    </w:p>
    <w:p>
      <w:pPr>
        <w:spacing w:line="360" w:lineRule="auto"/>
        <w:jc w:val="center"/>
        <w:rPr>
          <w:rFonts w:ascii="Times New Roman" w:hAnsi="Times New Roman"/>
          <w:b/>
          <w:bCs/>
          <w:sz w:val="24"/>
        </w:rPr>
      </w:pPr>
    </w:p>
    <w:p>
      <w:pPr>
        <w:spacing w:line="360" w:lineRule="auto"/>
        <w:jc w:val="center"/>
        <w:rPr>
          <w:rFonts w:ascii="Times New Roman" w:hAnsi="Times New Roman"/>
          <w:b/>
          <w:bCs/>
          <w:sz w:val="24"/>
        </w:rPr>
      </w:pPr>
    </w:p>
    <w:p>
      <w:pPr>
        <w:spacing w:line="360" w:lineRule="auto"/>
        <w:jc w:val="center"/>
        <w:rPr>
          <w:rFonts w:ascii="Times New Roman" w:hAnsi="Times New Roman"/>
          <w:b/>
          <w:bCs/>
          <w:sz w:val="24"/>
        </w:rPr>
      </w:pPr>
    </w:p>
    <w:p>
      <w:pPr>
        <w:spacing w:line="360" w:lineRule="auto"/>
        <w:jc w:val="center"/>
        <w:rPr>
          <w:rFonts w:ascii="Times New Roman" w:hAnsi="Times New Roman"/>
          <w:b/>
          <w:bCs/>
          <w:sz w:val="24"/>
        </w:rPr>
      </w:pPr>
    </w:p>
    <w:p>
      <w:pPr>
        <w:spacing w:line="360" w:lineRule="auto"/>
        <w:jc w:val="center"/>
        <w:rPr>
          <w:rFonts w:ascii="Times New Roman" w:hAnsi="Times New Roman"/>
          <w:b/>
          <w:bCs/>
          <w:sz w:val="24"/>
        </w:rPr>
      </w:pPr>
    </w:p>
    <w:p>
      <w:pPr>
        <w:spacing w:line="360" w:lineRule="auto"/>
        <w:jc w:val="center"/>
        <w:rPr>
          <w:rFonts w:ascii="Times New Roman" w:hAnsi="Times New Roman" w:eastAsiaTheme="minorEastAsia"/>
          <w:b/>
          <w:bCs/>
          <w:sz w:val="24"/>
        </w:rPr>
      </w:pPr>
      <w:r>
        <w:rPr>
          <w:rFonts w:ascii="Times New Roman" w:hAnsi="Times New Roman"/>
          <w:b/>
          <w:bCs/>
          <w:sz w:val="24"/>
        </w:rPr>
        <w:t xml:space="preserve">表1  </w:t>
      </w:r>
      <w:r>
        <w:rPr>
          <w:rFonts w:hint="eastAsia" w:ascii="Times New Roman" w:hAnsi="Times New Roman"/>
          <w:b/>
          <w:bCs/>
          <w:sz w:val="24"/>
          <w:lang w:eastAsia="zh-CN"/>
        </w:rPr>
        <w:t>项目</w:t>
      </w:r>
      <w:r>
        <w:rPr>
          <w:rFonts w:hint="eastAsia" w:ascii="Times New Roman" w:hAnsi="Times New Roman" w:eastAsiaTheme="minorEastAsia"/>
          <w:b/>
          <w:bCs/>
          <w:sz w:val="24"/>
          <w:lang w:val="en-US" w:eastAsia="zh-CN"/>
        </w:rPr>
        <w:t>主要建设</w:t>
      </w:r>
      <w:r>
        <w:rPr>
          <w:rFonts w:ascii="Times New Roman" w:hAnsi="Times New Roman" w:eastAsiaTheme="minorEastAsia"/>
          <w:b/>
          <w:bCs/>
          <w:sz w:val="24"/>
        </w:rPr>
        <w:t>内容一览表</w:t>
      </w:r>
    </w:p>
    <w:tbl>
      <w:tblPr>
        <w:tblStyle w:val="9"/>
        <w:tblW w:w="531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7"/>
        <w:gridCol w:w="566"/>
        <w:gridCol w:w="681"/>
        <w:gridCol w:w="2296"/>
        <w:gridCol w:w="3092"/>
        <w:gridCol w:w="27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830" w:type="pct"/>
            <w:gridSpan w:val="3"/>
            <w:tcMar>
              <w:left w:w="28" w:type="dxa"/>
              <w:right w:w="28" w:type="dxa"/>
            </w:tcMar>
            <w:vAlign w:val="center"/>
          </w:tcPr>
          <w:p>
            <w:pPr>
              <w:jc w:val="center"/>
              <w:rPr>
                <w:rFonts w:ascii="Times New Roman" w:hAnsi="Times New Roman"/>
                <w:b/>
                <w:bCs/>
              </w:rPr>
            </w:pPr>
            <w:r>
              <w:rPr>
                <w:rFonts w:ascii="Times New Roman" w:hAnsi="Times New Roman"/>
                <w:b/>
                <w:bCs/>
              </w:rPr>
              <w:t>项目组成</w:t>
            </w:r>
          </w:p>
        </w:tc>
        <w:tc>
          <w:tcPr>
            <w:tcW w:w="1173" w:type="pct"/>
            <w:tcMar>
              <w:left w:w="28" w:type="dxa"/>
              <w:right w:w="28" w:type="dxa"/>
            </w:tcMar>
            <w:vAlign w:val="center"/>
          </w:tcPr>
          <w:p>
            <w:pPr>
              <w:pStyle w:val="20"/>
              <w:snapToGrid w:val="0"/>
              <w:spacing w:line="300" w:lineRule="exact"/>
              <w:jc w:val="center"/>
              <w:rPr>
                <w:rFonts w:ascii="Times New Roman" w:hAnsi="Times New Roman" w:cs="Times New Roman"/>
                <w:b/>
                <w:spacing w:val="6"/>
              </w:rPr>
            </w:pPr>
            <w:r>
              <w:rPr>
                <w:rFonts w:ascii="Times New Roman" w:hAnsi="Times New Roman" w:cs="Times New Roman"/>
                <w:b/>
                <w:spacing w:val="6"/>
              </w:rPr>
              <w:t>原有工程</w:t>
            </w:r>
          </w:p>
        </w:tc>
        <w:tc>
          <w:tcPr>
            <w:tcW w:w="1580" w:type="pct"/>
            <w:vAlign w:val="center"/>
          </w:tcPr>
          <w:p>
            <w:pPr>
              <w:pStyle w:val="20"/>
              <w:snapToGrid w:val="0"/>
              <w:spacing w:line="300" w:lineRule="exact"/>
              <w:jc w:val="center"/>
              <w:rPr>
                <w:rFonts w:ascii="Times New Roman" w:hAnsi="Times New Roman" w:cs="Times New Roman"/>
                <w:b/>
                <w:spacing w:val="6"/>
              </w:rPr>
            </w:pPr>
            <w:r>
              <w:rPr>
                <w:rFonts w:hint="eastAsia" w:ascii="Times New Roman" w:hAnsi="Times New Roman" w:cs="Times New Roman"/>
                <w:b/>
                <w:spacing w:val="6"/>
              </w:rPr>
              <w:t>环评要求</w:t>
            </w:r>
            <w:r>
              <w:rPr>
                <w:rFonts w:ascii="Times New Roman" w:hAnsi="Times New Roman" w:cs="Times New Roman"/>
                <w:b/>
                <w:spacing w:val="6"/>
              </w:rPr>
              <w:t>本次改扩建工程</w:t>
            </w:r>
            <w:r>
              <w:rPr>
                <w:rFonts w:hint="eastAsia" w:ascii="Times New Roman" w:hAnsi="Times New Roman" w:cs="Times New Roman"/>
                <w:b/>
                <w:spacing w:val="6"/>
              </w:rPr>
              <w:t>建设内容</w:t>
            </w:r>
          </w:p>
        </w:tc>
        <w:tc>
          <w:tcPr>
            <w:tcW w:w="1414" w:type="pct"/>
            <w:vAlign w:val="center"/>
          </w:tcPr>
          <w:p>
            <w:pPr>
              <w:jc w:val="center"/>
              <w:rPr>
                <w:rFonts w:ascii="Times New Roman" w:hAnsi="Times New Roman"/>
                <w:b/>
                <w:bCs/>
              </w:rPr>
            </w:pPr>
            <w:r>
              <w:rPr>
                <w:rFonts w:hint="eastAsia" w:ascii="Times New Roman" w:hAnsi="Times New Roman"/>
                <w:b/>
                <w:bCs/>
                <w:lang w:eastAsia="zh-CN"/>
              </w:rPr>
              <w:t>本次工程</w:t>
            </w:r>
            <w:r>
              <w:rPr>
                <w:rFonts w:ascii="Times New Roman" w:hAnsi="Times New Roman"/>
                <w:b/>
                <w:bCs/>
              </w:rPr>
              <w:t>实际建设内容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0" w:hRule="atLeast"/>
          <w:jc w:val="center"/>
        </w:trPr>
        <w:tc>
          <w:tcPr>
            <w:tcW w:w="193" w:type="pct"/>
            <w:vMerge w:val="restart"/>
            <w:tcMar>
              <w:left w:w="28" w:type="dxa"/>
              <w:right w:w="28" w:type="dxa"/>
            </w:tcMar>
            <w:vAlign w:val="center"/>
          </w:tcPr>
          <w:p>
            <w:pPr>
              <w:tabs>
                <w:tab w:val="left" w:pos="0"/>
              </w:tabs>
              <w:jc w:val="center"/>
              <w:outlineLvl w:val="0"/>
              <w:rPr>
                <w:rFonts w:ascii="Times New Roman" w:hAnsi="Times New Roman"/>
              </w:rPr>
            </w:pPr>
            <w:r>
              <w:rPr>
                <w:rFonts w:ascii="Times New Roman" w:hAnsi="Times New Roman"/>
              </w:rPr>
              <w:t>主体工程</w:t>
            </w:r>
          </w:p>
          <w:p>
            <w:pPr>
              <w:tabs>
                <w:tab w:val="left" w:pos="0"/>
              </w:tabs>
              <w:jc w:val="center"/>
              <w:outlineLvl w:val="0"/>
              <w:rPr>
                <w:rFonts w:ascii="Times New Roman" w:hAnsi="Times New Roman"/>
                <w:szCs w:val="21"/>
              </w:rPr>
            </w:pPr>
          </w:p>
        </w:tc>
        <w:tc>
          <w:tcPr>
            <w:tcW w:w="289" w:type="pct"/>
            <w:vMerge w:val="restart"/>
            <w:tcMar>
              <w:left w:w="28" w:type="dxa"/>
              <w:right w:w="28" w:type="dxa"/>
            </w:tcMar>
            <w:vAlign w:val="center"/>
          </w:tcPr>
          <w:p>
            <w:pPr>
              <w:tabs>
                <w:tab w:val="left" w:pos="0"/>
              </w:tabs>
              <w:jc w:val="center"/>
              <w:outlineLvl w:val="0"/>
              <w:rPr>
                <w:rFonts w:ascii="Times New Roman" w:hAnsi="Times New Roman"/>
              </w:rPr>
            </w:pPr>
            <w:r>
              <w:rPr>
                <w:rFonts w:hint="eastAsia" w:ascii="Times New Roman" w:hAnsi="Times New Roman"/>
                <w:color w:val="000000"/>
                <w:szCs w:val="21"/>
                <w:lang w:val="en-US" w:eastAsia="zh-CN"/>
              </w:rPr>
              <w:t>7</w:t>
            </w:r>
            <w:r>
              <w:rPr>
                <w:rFonts w:ascii="Times New Roman" w:hAnsi="Times New Roman"/>
                <w:color w:val="000000"/>
                <w:szCs w:val="21"/>
              </w:rPr>
              <w:t>#、8#不锈钢渣热焖处理线</w:t>
            </w:r>
          </w:p>
        </w:tc>
        <w:tc>
          <w:tcPr>
            <w:tcW w:w="348" w:type="pct"/>
            <w:tcMar>
              <w:left w:w="28" w:type="dxa"/>
              <w:right w:w="28" w:type="dxa"/>
            </w:tcMar>
            <w:vAlign w:val="center"/>
          </w:tcPr>
          <w:p>
            <w:pPr>
              <w:tabs>
                <w:tab w:val="left" w:pos="0"/>
              </w:tabs>
              <w:jc w:val="center"/>
              <w:outlineLvl w:val="0"/>
              <w:rPr>
                <w:rFonts w:ascii="Times New Roman" w:hAnsi="Times New Roman"/>
              </w:rPr>
            </w:pPr>
            <w:r>
              <w:rPr>
                <w:rFonts w:ascii="Times New Roman" w:hAnsi="Times New Roman"/>
                <w:color w:val="000000"/>
                <w:szCs w:val="21"/>
              </w:rPr>
              <w:t>7#、8#不锈钢渣热焖处理线</w:t>
            </w:r>
          </w:p>
        </w:tc>
        <w:tc>
          <w:tcPr>
            <w:tcW w:w="1173" w:type="pct"/>
            <w:tcMar>
              <w:left w:w="28" w:type="dxa"/>
              <w:right w:w="28" w:type="dxa"/>
            </w:tcMar>
            <w:vAlign w:val="center"/>
          </w:tcPr>
          <w:p>
            <w:pPr>
              <w:tabs>
                <w:tab w:val="left" w:pos="0"/>
              </w:tabs>
              <w:jc w:val="center"/>
              <w:outlineLvl w:val="0"/>
              <w:rPr>
                <w:rFonts w:ascii="Times New Roman" w:hAnsi="Times New Roman"/>
              </w:rPr>
            </w:pPr>
            <w:r>
              <w:rPr>
                <w:rFonts w:ascii="Times New Roman" w:hAnsi="Times New Roman"/>
              </w:rPr>
              <w:t>---</w:t>
            </w:r>
          </w:p>
        </w:tc>
        <w:tc>
          <w:tcPr>
            <w:tcW w:w="1580" w:type="pct"/>
            <w:vAlign w:val="center"/>
          </w:tcPr>
          <w:p>
            <w:pPr>
              <w:tabs>
                <w:tab w:val="left" w:pos="0"/>
              </w:tabs>
              <w:jc w:val="left"/>
              <w:outlineLvl w:val="0"/>
              <w:rPr>
                <w:rFonts w:ascii="Times New Roman" w:hAnsi="Times New Roman"/>
              </w:rPr>
            </w:pPr>
            <w:r>
              <w:rPr>
                <w:rFonts w:ascii="Times New Roman" w:hAnsi="Times New Roman"/>
                <w:color w:val="000000"/>
                <w:szCs w:val="21"/>
              </w:rPr>
              <w:t>新建7#、8#车间体积为99×30×140 m</w:t>
            </w:r>
            <w:r>
              <w:rPr>
                <w:rFonts w:ascii="Times New Roman" w:hAnsi="Times New Roman"/>
                <w:color w:val="000000"/>
                <w:szCs w:val="21"/>
                <w:vertAlign w:val="superscript"/>
              </w:rPr>
              <w:t>3</w:t>
            </w:r>
            <w:r>
              <w:rPr>
                <w:rFonts w:ascii="Times New Roman" w:hAnsi="Times New Roman"/>
                <w:color w:val="000000"/>
                <w:szCs w:val="21"/>
              </w:rPr>
              <w:t>，车间内新增7#、8#渣罐铁路运输线，改造现有渣罐车架18个，购买新渣罐24个；车间内新建不锈钢渣热焖池20个，热焖池内壁长7m×7.5m×3.2m；池底、池壁铺设钢坯保护；3罐/池，可装渣90t；年处理能力65万t/a；配套新增车间屋顶罩、热焖池除尘设施2套，移动罩除尘设施2套</w:t>
            </w:r>
            <w:r>
              <w:rPr>
                <w:rFonts w:hint="eastAsia" w:ascii="Times New Roman" w:hAnsi="Times New Roman"/>
                <w:color w:val="000000"/>
                <w:szCs w:val="21"/>
              </w:rPr>
              <w:t>。</w:t>
            </w:r>
          </w:p>
        </w:tc>
        <w:tc>
          <w:tcPr>
            <w:tcW w:w="1414" w:type="pct"/>
            <w:vAlign w:val="center"/>
          </w:tcPr>
          <w:p>
            <w:pPr>
              <w:tabs>
                <w:tab w:val="left" w:pos="0"/>
              </w:tabs>
              <w:jc w:val="left"/>
              <w:outlineLvl w:val="0"/>
              <w:rPr>
                <w:rFonts w:ascii="Times New Roman" w:hAnsi="Times New Roman"/>
              </w:rPr>
            </w:pPr>
            <w:r>
              <w:rPr>
                <w:rFonts w:ascii="Times New Roman" w:hAnsi="Times New Roman"/>
                <w:color w:val="000000"/>
                <w:szCs w:val="21"/>
              </w:rPr>
              <w:t>建设的7#、8#车间体积为99×30×140 m</w:t>
            </w:r>
            <w:r>
              <w:rPr>
                <w:rFonts w:ascii="Times New Roman" w:hAnsi="Times New Roman"/>
                <w:color w:val="000000"/>
                <w:szCs w:val="21"/>
                <w:vertAlign w:val="superscript"/>
              </w:rPr>
              <w:t>3</w:t>
            </w:r>
            <w:r>
              <w:rPr>
                <w:rFonts w:ascii="Times New Roman" w:hAnsi="Times New Roman"/>
                <w:color w:val="000000"/>
                <w:szCs w:val="21"/>
              </w:rPr>
              <w:t>，车间内</w:t>
            </w:r>
            <w:r>
              <w:rPr>
                <w:rFonts w:hint="eastAsia" w:ascii="Times New Roman" w:hAnsi="Times New Roman"/>
                <w:color w:val="000000"/>
                <w:szCs w:val="21"/>
              </w:rPr>
              <w:t>已建设</w:t>
            </w:r>
            <w:r>
              <w:rPr>
                <w:rFonts w:ascii="Times New Roman" w:hAnsi="Times New Roman"/>
                <w:color w:val="000000"/>
                <w:szCs w:val="21"/>
              </w:rPr>
              <w:t>7#、8#渣罐铁路运输线，</w:t>
            </w:r>
            <w:r>
              <w:rPr>
                <w:rFonts w:hint="eastAsia" w:ascii="Times New Roman" w:hAnsi="Times New Roman"/>
                <w:color w:val="000000"/>
                <w:szCs w:val="21"/>
              </w:rPr>
              <w:t>使用</w:t>
            </w:r>
            <w:r>
              <w:rPr>
                <w:rFonts w:ascii="Times New Roman" w:hAnsi="Times New Roman"/>
                <w:color w:val="000000"/>
                <w:szCs w:val="21"/>
              </w:rPr>
              <w:t>新渣罐24个；车间建</w:t>
            </w:r>
            <w:r>
              <w:rPr>
                <w:rFonts w:hint="eastAsia" w:ascii="Times New Roman" w:hAnsi="Times New Roman"/>
                <w:color w:val="000000"/>
                <w:szCs w:val="21"/>
                <w:lang w:eastAsia="zh-CN"/>
              </w:rPr>
              <w:t>有</w:t>
            </w:r>
            <w:r>
              <w:rPr>
                <w:rFonts w:ascii="Times New Roman" w:hAnsi="Times New Roman"/>
                <w:color w:val="000000"/>
                <w:szCs w:val="21"/>
              </w:rPr>
              <w:t>不锈钢渣热焖池20个，热焖池内壁长7m×7.5m×3.2m；池底、池壁铺设钢坯保护；3罐/池，可装渣90t；年处理能力65万t/a；</w:t>
            </w:r>
            <w:r>
              <w:rPr>
                <w:rFonts w:hint="eastAsia" w:ascii="Times New Roman" w:hAnsi="Times New Roman"/>
                <w:color w:val="000000"/>
                <w:szCs w:val="21"/>
                <w:lang w:val="en-US" w:eastAsia="zh-CN"/>
              </w:rPr>
              <w:t>7#、8#线配有车间屋顶罩、热焖池除尘设施2套，</w:t>
            </w:r>
            <w:r>
              <w:rPr>
                <w:rFonts w:ascii="Times New Roman" w:hAnsi="Times New Roman"/>
                <w:color w:val="000000"/>
                <w:szCs w:val="21"/>
              </w:rPr>
              <w:t>移动罩除尘设施2套</w:t>
            </w:r>
            <w:r>
              <w:rPr>
                <w:rFonts w:hint="eastAsia" w:ascii="Times New Roman" w:hAnsi="Times New Roman"/>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193" w:type="pct"/>
            <w:vMerge w:val="continue"/>
            <w:tcMar>
              <w:left w:w="28" w:type="dxa"/>
              <w:right w:w="28" w:type="dxa"/>
            </w:tcMar>
            <w:vAlign w:val="center"/>
          </w:tcPr>
          <w:p>
            <w:pPr>
              <w:jc w:val="center"/>
              <w:outlineLvl w:val="0"/>
              <w:rPr>
                <w:rFonts w:ascii="Times New Roman" w:hAnsi="Times New Roman"/>
              </w:rPr>
            </w:pPr>
          </w:p>
        </w:tc>
        <w:tc>
          <w:tcPr>
            <w:tcW w:w="289" w:type="pct"/>
            <w:vMerge w:val="continue"/>
            <w:tcMar>
              <w:left w:w="28" w:type="dxa"/>
              <w:right w:w="28" w:type="dxa"/>
            </w:tcMar>
            <w:vAlign w:val="center"/>
          </w:tcPr>
          <w:p>
            <w:pPr>
              <w:jc w:val="center"/>
              <w:outlineLvl w:val="0"/>
              <w:rPr>
                <w:rFonts w:ascii="Times New Roman" w:hAnsi="Times New Roman"/>
              </w:rPr>
            </w:pPr>
          </w:p>
        </w:tc>
        <w:tc>
          <w:tcPr>
            <w:tcW w:w="348" w:type="pct"/>
            <w:tcMar>
              <w:left w:w="28" w:type="dxa"/>
              <w:right w:w="28" w:type="dxa"/>
            </w:tcMar>
            <w:vAlign w:val="center"/>
          </w:tcPr>
          <w:p>
            <w:pPr>
              <w:tabs>
                <w:tab w:val="left" w:pos="0"/>
              </w:tabs>
              <w:jc w:val="center"/>
              <w:outlineLvl w:val="0"/>
              <w:rPr>
                <w:rFonts w:ascii="Times New Roman" w:hAnsi="Times New Roman"/>
              </w:rPr>
            </w:pPr>
            <w:r>
              <w:rPr>
                <w:rFonts w:ascii="Times New Roman" w:hAnsi="Times New Roman"/>
                <w:color w:val="000000"/>
                <w:szCs w:val="21"/>
              </w:rPr>
              <w:t>新建钢渣拌料厂房</w:t>
            </w:r>
          </w:p>
        </w:tc>
        <w:tc>
          <w:tcPr>
            <w:tcW w:w="1173" w:type="pct"/>
            <w:tcMar>
              <w:left w:w="28" w:type="dxa"/>
              <w:right w:w="28" w:type="dxa"/>
            </w:tcMar>
            <w:vAlign w:val="center"/>
          </w:tcPr>
          <w:p>
            <w:pPr>
              <w:tabs>
                <w:tab w:val="left" w:pos="0"/>
              </w:tabs>
              <w:jc w:val="center"/>
              <w:outlineLvl w:val="0"/>
              <w:rPr>
                <w:rFonts w:ascii="Times New Roman" w:hAnsi="Times New Roman"/>
              </w:rPr>
            </w:pPr>
            <w:r>
              <w:rPr>
                <w:rFonts w:ascii="Times New Roman" w:hAnsi="Times New Roman"/>
              </w:rPr>
              <w:t>---</w:t>
            </w:r>
          </w:p>
        </w:tc>
        <w:tc>
          <w:tcPr>
            <w:tcW w:w="1580" w:type="pct"/>
            <w:vAlign w:val="center"/>
          </w:tcPr>
          <w:p>
            <w:pPr>
              <w:tabs>
                <w:tab w:val="left" w:pos="0"/>
              </w:tabs>
              <w:jc w:val="left"/>
              <w:outlineLvl w:val="0"/>
              <w:rPr>
                <w:rFonts w:ascii="Times New Roman" w:hAnsi="Times New Roman"/>
              </w:rPr>
            </w:pPr>
            <w:r>
              <w:rPr>
                <w:rFonts w:ascii="Times New Roman" w:hAnsi="Times New Roman"/>
                <w:color w:val="000000"/>
                <w:szCs w:val="21"/>
                <w:highlight w:val="none"/>
              </w:rPr>
              <w:t>新建钢渣拌料轻钢结构厂房，用于不同状态温度的钢渣混匀作业，跨距18米、长99米，高12米；同时拌料间配套除尘设施1套；</w:t>
            </w:r>
          </w:p>
        </w:tc>
        <w:tc>
          <w:tcPr>
            <w:tcW w:w="1414" w:type="pct"/>
            <w:vAlign w:val="center"/>
          </w:tcPr>
          <w:p>
            <w:pPr>
              <w:tabs>
                <w:tab w:val="left" w:pos="0"/>
              </w:tabs>
              <w:jc w:val="left"/>
              <w:outlineLvl w:val="0"/>
              <w:rPr>
                <w:rFonts w:ascii="Times New Roman" w:hAnsi="Times New Roman"/>
              </w:rPr>
            </w:pPr>
            <w:r>
              <w:rPr>
                <w:rFonts w:hint="eastAsia" w:ascii="Times New Roman" w:hAnsi="Times New Roman"/>
                <w:color w:val="000000"/>
                <w:szCs w:val="21"/>
                <w:highlight w:val="none"/>
              </w:rPr>
              <w:t>已建设</w:t>
            </w:r>
            <w:r>
              <w:rPr>
                <w:rFonts w:ascii="Times New Roman" w:hAnsi="Times New Roman"/>
                <w:color w:val="000000"/>
                <w:szCs w:val="21"/>
                <w:highlight w:val="none"/>
              </w:rPr>
              <w:t>钢渣拌料轻钢结构厂房；同时拌料间</w:t>
            </w:r>
            <w:r>
              <w:rPr>
                <w:rFonts w:hint="eastAsia" w:ascii="Times New Roman" w:hAnsi="Times New Roman"/>
                <w:color w:val="000000"/>
                <w:szCs w:val="21"/>
                <w:highlight w:val="none"/>
              </w:rPr>
              <w:t>已</w:t>
            </w:r>
            <w:r>
              <w:rPr>
                <w:rFonts w:ascii="Times New Roman" w:hAnsi="Times New Roman"/>
                <w:color w:val="000000"/>
                <w:szCs w:val="21"/>
                <w:highlight w:val="none"/>
              </w:rPr>
              <w:t>配套除尘设施1套；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6" w:hRule="atLeast"/>
          <w:jc w:val="center"/>
        </w:trPr>
        <w:tc>
          <w:tcPr>
            <w:tcW w:w="193" w:type="pct"/>
            <w:vMerge w:val="continue"/>
            <w:tcMar>
              <w:left w:w="28" w:type="dxa"/>
              <w:right w:w="28" w:type="dxa"/>
            </w:tcMar>
            <w:vAlign w:val="center"/>
          </w:tcPr>
          <w:p>
            <w:pPr>
              <w:jc w:val="center"/>
              <w:outlineLvl w:val="0"/>
              <w:rPr>
                <w:rFonts w:ascii="Times New Roman" w:hAnsi="Times New Roman"/>
              </w:rPr>
            </w:pPr>
          </w:p>
        </w:tc>
        <w:tc>
          <w:tcPr>
            <w:tcW w:w="289" w:type="pct"/>
            <w:vMerge w:val="restart"/>
            <w:tcMar>
              <w:left w:w="28" w:type="dxa"/>
              <w:right w:w="28" w:type="dxa"/>
            </w:tcMar>
            <w:vAlign w:val="center"/>
          </w:tcPr>
          <w:p>
            <w:pPr>
              <w:tabs>
                <w:tab w:val="left" w:pos="0"/>
              </w:tabs>
              <w:jc w:val="center"/>
              <w:outlineLvl w:val="0"/>
              <w:rPr>
                <w:rFonts w:ascii="Times New Roman" w:hAnsi="Times New Roman"/>
                <w:color w:val="000000"/>
                <w:szCs w:val="21"/>
              </w:rPr>
            </w:pPr>
            <w:r>
              <w:rPr>
                <w:rFonts w:ascii="Times New Roman" w:hAnsi="Times New Roman"/>
                <w:color w:val="000000"/>
                <w:szCs w:val="21"/>
              </w:rPr>
              <w:t>4#、5#、</w:t>
            </w:r>
          </w:p>
          <w:p>
            <w:pPr>
              <w:tabs>
                <w:tab w:val="left" w:pos="0"/>
              </w:tabs>
              <w:jc w:val="center"/>
              <w:outlineLvl w:val="0"/>
              <w:rPr>
                <w:rFonts w:ascii="Times New Roman" w:hAnsi="Times New Roman"/>
              </w:rPr>
            </w:pPr>
            <w:r>
              <w:rPr>
                <w:rFonts w:ascii="Times New Roman" w:hAnsi="Times New Roman"/>
                <w:color w:val="000000"/>
                <w:szCs w:val="21"/>
              </w:rPr>
              <w:t>6#钢渣处理线</w:t>
            </w:r>
          </w:p>
        </w:tc>
        <w:tc>
          <w:tcPr>
            <w:tcW w:w="348" w:type="pct"/>
            <w:tcMar>
              <w:left w:w="28" w:type="dxa"/>
              <w:right w:w="28" w:type="dxa"/>
            </w:tcMar>
            <w:vAlign w:val="center"/>
          </w:tcPr>
          <w:p>
            <w:pPr>
              <w:tabs>
                <w:tab w:val="left" w:pos="0"/>
              </w:tabs>
              <w:jc w:val="center"/>
              <w:outlineLvl w:val="0"/>
              <w:rPr>
                <w:rFonts w:ascii="Times New Roman" w:hAnsi="Times New Roman"/>
              </w:rPr>
            </w:pPr>
            <w:r>
              <w:rPr>
                <w:rFonts w:ascii="Times New Roman" w:hAnsi="Times New Roman"/>
                <w:color w:val="000000"/>
                <w:szCs w:val="21"/>
              </w:rPr>
              <w:t>5#、6#不锈钢渣热焖处理线</w:t>
            </w:r>
          </w:p>
        </w:tc>
        <w:tc>
          <w:tcPr>
            <w:tcW w:w="1173" w:type="pct"/>
            <w:tcMar>
              <w:left w:w="28" w:type="dxa"/>
              <w:right w:w="28" w:type="dxa"/>
            </w:tcMar>
            <w:vAlign w:val="center"/>
          </w:tcPr>
          <w:p>
            <w:pPr>
              <w:tabs>
                <w:tab w:val="left" w:pos="0"/>
              </w:tabs>
              <w:jc w:val="center"/>
              <w:outlineLvl w:val="0"/>
              <w:rPr>
                <w:rFonts w:ascii="Times New Roman" w:hAnsi="Times New Roman"/>
              </w:rPr>
            </w:pPr>
            <w:r>
              <w:rPr>
                <w:rFonts w:ascii="Times New Roman" w:hAnsi="Times New Roman"/>
                <w:color w:val="000000"/>
                <w:szCs w:val="21"/>
              </w:rPr>
              <w:t>5#车间体积为181×33×16 m</w:t>
            </w:r>
            <w:r>
              <w:rPr>
                <w:rFonts w:ascii="Times New Roman" w:hAnsi="Times New Roman"/>
                <w:color w:val="000000"/>
                <w:szCs w:val="21"/>
                <w:vertAlign w:val="superscript"/>
              </w:rPr>
              <w:t>3</w:t>
            </w:r>
            <w:r>
              <w:rPr>
                <w:rFonts w:ascii="Times New Roman" w:hAnsi="Times New Roman"/>
                <w:color w:val="000000"/>
                <w:szCs w:val="21"/>
              </w:rPr>
              <w:t>，车间内不锈钢渣热焖池8个，</w:t>
            </w:r>
            <w:r>
              <w:rPr>
                <w:rFonts w:hint="eastAsia" w:ascii="Times New Roman" w:hAnsi="Times New Roman"/>
                <w:color w:val="000000"/>
                <w:szCs w:val="21"/>
                <w:lang w:val="en-US" w:eastAsia="zh-CN"/>
              </w:rPr>
              <w:t>4#5#</w:t>
            </w:r>
            <w:r>
              <w:rPr>
                <w:rFonts w:ascii="Times New Roman" w:hAnsi="Times New Roman"/>
                <w:color w:val="000000"/>
                <w:szCs w:val="21"/>
              </w:rPr>
              <w:t>设计年处理不锈钢渣100万t/a。5罐/池（100t/池）；6#车间体积为105×30×16 m</w:t>
            </w:r>
            <w:r>
              <w:rPr>
                <w:rFonts w:ascii="Times New Roman" w:hAnsi="Times New Roman"/>
                <w:color w:val="000000"/>
                <w:szCs w:val="21"/>
                <w:vertAlign w:val="superscript"/>
              </w:rPr>
              <w:t>3</w:t>
            </w:r>
            <w:r>
              <w:rPr>
                <w:rFonts w:ascii="Times New Roman" w:hAnsi="Times New Roman"/>
                <w:color w:val="000000"/>
                <w:szCs w:val="21"/>
              </w:rPr>
              <w:t>，车间内不锈钢渣热焖池8个，设计年处理不锈钢渣54万t/a。5罐/池（100t/池）。</w:t>
            </w:r>
          </w:p>
        </w:tc>
        <w:tc>
          <w:tcPr>
            <w:tcW w:w="1580" w:type="pct"/>
            <w:vAlign w:val="center"/>
          </w:tcPr>
          <w:p>
            <w:pPr>
              <w:jc w:val="center"/>
              <w:rPr>
                <w:rFonts w:ascii="Times New Roman" w:hAnsi="Times New Roman"/>
              </w:rPr>
            </w:pPr>
          </w:p>
          <w:p>
            <w:pPr>
              <w:jc w:val="left"/>
              <w:rPr>
                <w:rFonts w:ascii="Times New Roman" w:hAnsi="Times New Roman"/>
              </w:rPr>
            </w:pPr>
            <w:r>
              <w:rPr>
                <w:rFonts w:ascii="Times New Roman" w:hAnsi="Times New Roman"/>
              </w:rPr>
              <w:t>改造将现有5#、6#热焖工艺5罐/池改为3罐/池，即每池处理90t，将5#、6#线各减少1个热焖池，用于布置清罐装置，热焖池尺寸保持现状：5#、6#线为8m×7.5m×3.2m（深）。5#、6#共用配套新增车间屋顶罩除尘设施1套，5#、6#增加移动罩除尘设施2套。</w:t>
            </w:r>
          </w:p>
        </w:tc>
        <w:tc>
          <w:tcPr>
            <w:tcW w:w="1414" w:type="pct"/>
            <w:vAlign w:val="center"/>
          </w:tcPr>
          <w:p>
            <w:pPr>
              <w:tabs>
                <w:tab w:val="left" w:pos="0"/>
              </w:tabs>
              <w:spacing w:line="240" w:lineRule="atLeast"/>
              <w:jc w:val="center"/>
              <w:outlineLvl w:val="0"/>
              <w:rPr>
                <w:rFonts w:ascii="Times New Roman" w:hAnsi="Times New Roman"/>
                <w:color w:val="000000"/>
                <w:szCs w:val="21"/>
              </w:rPr>
            </w:pPr>
          </w:p>
          <w:p>
            <w:pPr>
              <w:tabs>
                <w:tab w:val="left" w:pos="0"/>
              </w:tabs>
              <w:spacing w:line="240" w:lineRule="atLeast"/>
              <w:jc w:val="left"/>
              <w:outlineLvl w:val="0"/>
              <w:rPr>
                <w:rFonts w:ascii="Times New Roman" w:hAnsi="Times New Roman"/>
              </w:rPr>
            </w:pPr>
            <w:r>
              <w:rPr>
                <w:rFonts w:ascii="Times New Roman" w:hAnsi="Times New Roman"/>
                <w:color w:val="000000"/>
                <w:szCs w:val="21"/>
              </w:rPr>
              <w:t>5#、6#热焖工艺为3罐/池，每池处理90t，5#、6#线现</w:t>
            </w:r>
            <w:r>
              <w:rPr>
                <w:rFonts w:hint="eastAsia" w:ascii="Times New Roman" w:hAnsi="Times New Roman"/>
                <w:color w:val="000000"/>
                <w:szCs w:val="21"/>
              </w:rPr>
              <w:t>各</w:t>
            </w:r>
            <w:r>
              <w:rPr>
                <w:rFonts w:ascii="Times New Roman" w:hAnsi="Times New Roman"/>
                <w:color w:val="000000"/>
                <w:szCs w:val="21"/>
              </w:rPr>
              <w:t>有7个热焖池，</w:t>
            </w:r>
            <w:r>
              <w:rPr>
                <w:rFonts w:hint="eastAsia" w:ascii="Times New Roman" w:hAnsi="Times New Roman"/>
                <w:color w:val="000000"/>
                <w:szCs w:val="21"/>
                <w:lang w:eastAsia="zh-CN"/>
              </w:rPr>
              <w:t>增加了</w:t>
            </w:r>
            <w:r>
              <w:rPr>
                <w:rFonts w:ascii="Times New Roman" w:hAnsi="Times New Roman"/>
                <w:color w:val="000000"/>
                <w:szCs w:val="21"/>
              </w:rPr>
              <w:t>清罐装置，5#、6#线为8m×7.5m×3.2m（深）。5#</w:t>
            </w:r>
            <w:r>
              <w:rPr>
                <w:rFonts w:hint="eastAsia" w:ascii="Times New Roman" w:hAnsi="Times New Roman"/>
                <w:color w:val="000000"/>
                <w:szCs w:val="21"/>
                <w:lang w:eastAsia="zh-CN"/>
              </w:rPr>
              <w:t>、</w:t>
            </w:r>
            <w:r>
              <w:rPr>
                <w:rFonts w:ascii="Times New Roman" w:hAnsi="Times New Roman"/>
                <w:color w:val="000000"/>
                <w:szCs w:val="21"/>
              </w:rPr>
              <w:t>6#</w:t>
            </w:r>
            <w:r>
              <w:rPr>
                <w:rFonts w:hint="eastAsia" w:ascii="Times New Roman" w:hAnsi="Times New Roman"/>
                <w:color w:val="000000"/>
                <w:szCs w:val="21"/>
              </w:rPr>
              <w:t>已建设</w:t>
            </w:r>
            <w:r>
              <w:rPr>
                <w:rFonts w:ascii="Times New Roman" w:hAnsi="Times New Roman"/>
                <w:color w:val="000000"/>
                <w:szCs w:val="21"/>
              </w:rPr>
              <w:t>配套车间屋顶罩除尘设施1套</w:t>
            </w:r>
            <w:r>
              <w:rPr>
                <w:rFonts w:hint="eastAsia" w:ascii="Times New Roman" w:hAnsi="Times New Roman"/>
                <w:color w:val="000000"/>
                <w:szCs w:val="21"/>
              </w:rPr>
              <w:t>和</w:t>
            </w:r>
            <w:r>
              <w:rPr>
                <w:rFonts w:ascii="Times New Roman" w:hAnsi="Times New Roman"/>
                <w:color w:val="000000"/>
                <w:szCs w:val="21"/>
              </w:rPr>
              <w:t>移动罩除尘设施2套。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8" w:hRule="atLeast"/>
          <w:jc w:val="center"/>
        </w:trPr>
        <w:tc>
          <w:tcPr>
            <w:tcW w:w="193" w:type="pct"/>
            <w:vMerge w:val="continue"/>
            <w:tcMar>
              <w:left w:w="28" w:type="dxa"/>
              <w:right w:w="28" w:type="dxa"/>
            </w:tcMar>
            <w:vAlign w:val="center"/>
          </w:tcPr>
          <w:p>
            <w:pPr>
              <w:tabs>
                <w:tab w:val="left" w:pos="0"/>
              </w:tabs>
              <w:jc w:val="center"/>
              <w:outlineLvl w:val="0"/>
              <w:rPr>
                <w:rFonts w:ascii="Times New Roman" w:hAnsi="Times New Roman"/>
                <w:szCs w:val="21"/>
              </w:rPr>
            </w:pPr>
          </w:p>
        </w:tc>
        <w:tc>
          <w:tcPr>
            <w:tcW w:w="289" w:type="pct"/>
            <w:vMerge w:val="continue"/>
            <w:tcMar>
              <w:left w:w="28" w:type="dxa"/>
              <w:right w:w="28" w:type="dxa"/>
            </w:tcMar>
            <w:vAlign w:val="center"/>
          </w:tcPr>
          <w:p>
            <w:pPr>
              <w:tabs>
                <w:tab w:val="left" w:pos="0"/>
              </w:tabs>
              <w:jc w:val="center"/>
              <w:outlineLvl w:val="0"/>
              <w:rPr>
                <w:rFonts w:ascii="Times New Roman" w:hAnsi="Times New Roman"/>
              </w:rPr>
            </w:pPr>
          </w:p>
        </w:tc>
        <w:tc>
          <w:tcPr>
            <w:tcW w:w="348" w:type="pct"/>
            <w:vAlign w:val="center"/>
          </w:tcPr>
          <w:p>
            <w:pPr>
              <w:tabs>
                <w:tab w:val="left" w:pos="0"/>
              </w:tabs>
              <w:jc w:val="center"/>
              <w:outlineLvl w:val="0"/>
              <w:rPr>
                <w:rFonts w:ascii="Times New Roman" w:hAnsi="Times New Roman"/>
                <w:color w:val="000000"/>
                <w:szCs w:val="21"/>
              </w:rPr>
            </w:pPr>
            <w:r>
              <w:rPr>
                <w:rFonts w:ascii="Times New Roman" w:hAnsi="Times New Roman"/>
                <w:color w:val="000000"/>
                <w:szCs w:val="21"/>
              </w:rPr>
              <w:t>4#不锈钢渣热焖处理线</w:t>
            </w:r>
          </w:p>
        </w:tc>
        <w:tc>
          <w:tcPr>
            <w:tcW w:w="1173" w:type="pct"/>
            <w:tcMar>
              <w:left w:w="28" w:type="dxa"/>
              <w:right w:w="28" w:type="dxa"/>
            </w:tcMar>
            <w:vAlign w:val="center"/>
          </w:tcPr>
          <w:p>
            <w:pPr>
              <w:tabs>
                <w:tab w:val="left" w:pos="0"/>
              </w:tabs>
              <w:jc w:val="left"/>
              <w:outlineLvl w:val="0"/>
              <w:rPr>
                <w:rFonts w:ascii="Times New Roman" w:hAnsi="Times New Roman"/>
              </w:rPr>
            </w:pPr>
            <w:r>
              <w:rPr>
                <w:rFonts w:ascii="Times New Roman" w:hAnsi="Times New Roman"/>
                <w:color w:val="000000"/>
                <w:szCs w:val="21"/>
              </w:rPr>
              <w:t>4#车间体积181×33×5970m</w:t>
            </w:r>
            <w:r>
              <w:rPr>
                <w:rFonts w:ascii="Times New Roman" w:hAnsi="Times New Roman"/>
                <w:color w:val="000000"/>
                <w:szCs w:val="21"/>
                <w:vertAlign w:val="superscript"/>
              </w:rPr>
              <w:t>3</w:t>
            </w:r>
            <w:r>
              <w:rPr>
                <w:rFonts w:ascii="Times New Roman" w:hAnsi="Times New Roman"/>
                <w:color w:val="000000"/>
                <w:szCs w:val="21"/>
              </w:rPr>
              <w:t>，车间内不锈钢渣热焖池9个，</w:t>
            </w:r>
            <w:r>
              <w:rPr>
                <w:rFonts w:hint="eastAsia" w:ascii="Times New Roman" w:hAnsi="Times New Roman"/>
                <w:color w:val="000000"/>
                <w:szCs w:val="21"/>
                <w:lang w:val="en-US" w:eastAsia="zh-CN"/>
              </w:rPr>
              <w:t>4#5#</w:t>
            </w:r>
            <w:r>
              <w:rPr>
                <w:rFonts w:ascii="Times New Roman" w:hAnsi="Times New Roman"/>
                <w:color w:val="000000"/>
                <w:szCs w:val="21"/>
              </w:rPr>
              <w:t>设计年处理不锈钢渣100万t/a。5罐/池（100t/池），主要处理二钢南区及一钢不锈钢渣。</w:t>
            </w:r>
          </w:p>
        </w:tc>
        <w:tc>
          <w:tcPr>
            <w:tcW w:w="1580" w:type="pct"/>
            <w:vAlign w:val="center"/>
          </w:tcPr>
          <w:p>
            <w:pPr>
              <w:tabs>
                <w:tab w:val="left" w:pos="0"/>
              </w:tabs>
              <w:jc w:val="center"/>
              <w:outlineLvl w:val="0"/>
              <w:rPr>
                <w:rFonts w:ascii="Times New Roman" w:hAnsi="Times New Roman"/>
              </w:rPr>
            </w:pPr>
          </w:p>
          <w:p>
            <w:pPr>
              <w:tabs>
                <w:tab w:val="left" w:pos="0"/>
              </w:tabs>
              <w:jc w:val="left"/>
              <w:outlineLvl w:val="0"/>
              <w:rPr>
                <w:rFonts w:ascii="Times New Roman" w:hAnsi="Times New Roman"/>
              </w:rPr>
            </w:pPr>
            <w:r>
              <w:rPr>
                <w:rFonts w:ascii="Times New Roman" w:hAnsi="Times New Roman"/>
              </w:rPr>
              <w:t>4#线采用11m</w:t>
            </w:r>
            <w:r>
              <w:rPr>
                <w:rFonts w:ascii="Times New Roman" w:hAnsi="Times New Roman"/>
                <w:vertAlign w:val="superscript"/>
              </w:rPr>
              <w:t>3</w:t>
            </w:r>
            <w:r>
              <w:rPr>
                <w:rFonts w:ascii="Times New Roman" w:hAnsi="Times New Roman"/>
              </w:rPr>
              <w:t>渣罐，每罐装渣20t，4#线为8m×5.5m×3.2m（深）。仍保持5罐/池（100t/池）。4#共用配套新增车间屋顶罩除尘设施一套，4#增加移动罩除尘设施一套。</w:t>
            </w:r>
          </w:p>
        </w:tc>
        <w:tc>
          <w:tcPr>
            <w:tcW w:w="1414" w:type="pct"/>
            <w:vAlign w:val="center"/>
          </w:tcPr>
          <w:p>
            <w:pPr>
              <w:jc w:val="center"/>
              <w:rPr>
                <w:rFonts w:ascii="Times New Roman" w:hAnsi="Times New Roman"/>
              </w:rPr>
            </w:pPr>
          </w:p>
          <w:p>
            <w:pPr>
              <w:jc w:val="left"/>
              <w:rPr>
                <w:rFonts w:ascii="Times New Roman" w:hAnsi="Times New Roman"/>
              </w:rPr>
            </w:pPr>
            <w:r>
              <w:rPr>
                <w:rFonts w:ascii="Times New Roman" w:hAnsi="Times New Roman"/>
              </w:rPr>
              <w:t>4#线保持5罐/池（100t/池），渣罐体积为11m</w:t>
            </w:r>
            <w:r>
              <w:rPr>
                <w:rFonts w:ascii="Times New Roman" w:hAnsi="Times New Roman"/>
                <w:vertAlign w:val="superscript"/>
              </w:rPr>
              <w:t>3</w:t>
            </w:r>
            <w:r>
              <w:rPr>
                <w:rFonts w:ascii="Times New Roman" w:hAnsi="Times New Roman"/>
              </w:rPr>
              <w:t>，每罐装渣20t，4#线为8m×5.5m×3.2m（深）。</w:t>
            </w:r>
            <w:r>
              <w:rPr>
                <w:rFonts w:hint="eastAsia" w:ascii="Times New Roman" w:hAnsi="Times New Roman"/>
              </w:rPr>
              <w:t>已建设</w:t>
            </w:r>
            <w:r>
              <w:rPr>
                <w:rFonts w:ascii="Times New Roman" w:hAnsi="Times New Roman"/>
              </w:rPr>
              <w:t>配套车间屋顶罩除尘设施1套</w:t>
            </w:r>
            <w:r>
              <w:rPr>
                <w:rFonts w:hint="eastAsia" w:ascii="Times New Roman" w:hAnsi="Times New Roman"/>
              </w:rPr>
              <w:t>和</w:t>
            </w:r>
            <w:r>
              <w:rPr>
                <w:rFonts w:ascii="Times New Roman" w:hAnsi="Times New Roman"/>
              </w:rPr>
              <w:t>移动罩除尘设施1套。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3" w:type="pct"/>
            <w:vMerge w:val="continue"/>
            <w:tcMar>
              <w:left w:w="28" w:type="dxa"/>
              <w:right w:w="28" w:type="dxa"/>
            </w:tcMar>
            <w:vAlign w:val="center"/>
          </w:tcPr>
          <w:p>
            <w:pPr>
              <w:tabs>
                <w:tab w:val="left" w:pos="0"/>
              </w:tabs>
              <w:jc w:val="center"/>
              <w:outlineLvl w:val="0"/>
              <w:rPr>
                <w:rFonts w:ascii="Times New Roman" w:hAnsi="Times New Roman"/>
                <w:szCs w:val="21"/>
              </w:rPr>
            </w:pPr>
          </w:p>
        </w:tc>
        <w:tc>
          <w:tcPr>
            <w:tcW w:w="289" w:type="pct"/>
            <w:vMerge w:val="continue"/>
            <w:tcMar>
              <w:left w:w="28" w:type="dxa"/>
              <w:right w:w="28" w:type="dxa"/>
            </w:tcMar>
            <w:vAlign w:val="center"/>
          </w:tcPr>
          <w:p>
            <w:pPr>
              <w:tabs>
                <w:tab w:val="left" w:pos="0"/>
              </w:tabs>
              <w:jc w:val="center"/>
              <w:outlineLvl w:val="0"/>
              <w:rPr>
                <w:rFonts w:ascii="Times New Roman" w:hAnsi="Times New Roman"/>
              </w:rPr>
            </w:pPr>
          </w:p>
        </w:tc>
        <w:tc>
          <w:tcPr>
            <w:tcW w:w="348" w:type="pct"/>
            <w:vAlign w:val="center"/>
          </w:tcPr>
          <w:p>
            <w:pPr>
              <w:tabs>
                <w:tab w:val="left" w:pos="0"/>
              </w:tabs>
              <w:jc w:val="center"/>
              <w:outlineLvl w:val="0"/>
              <w:rPr>
                <w:rFonts w:ascii="Times New Roman" w:hAnsi="Times New Roman"/>
                <w:color w:val="000000"/>
                <w:szCs w:val="21"/>
              </w:rPr>
            </w:pPr>
            <w:r>
              <w:rPr>
                <w:rFonts w:ascii="Times New Roman" w:hAnsi="Times New Roman"/>
                <w:color w:val="000000"/>
                <w:szCs w:val="21"/>
              </w:rPr>
              <w:t>新建钢渣拌料厂房</w:t>
            </w:r>
          </w:p>
        </w:tc>
        <w:tc>
          <w:tcPr>
            <w:tcW w:w="1173" w:type="pct"/>
            <w:tcMar>
              <w:left w:w="28" w:type="dxa"/>
              <w:right w:w="28" w:type="dxa"/>
            </w:tcMar>
            <w:vAlign w:val="center"/>
          </w:tcPr>
          <w:p>
            <w:pPr>
              <w:tabs>
                <w:tab w:val="left" w:pos="0"/>
              </w:tabs>
              <w:jc w:val="center"/>
              <w:outlineLvl w:val="0"/>
              <w:rPr>
                <w:rFonts w:ascii="Times New Roman" w:hAnsi="Times New Roman"/>
              </w:rPr>
            </w:pPr>
            <w:r>
              <w:rPr>
                <w:rFonts w:ascii="Times New Roman" w:hAnsi="Times New Roman"/>
              </w:rPr>
              <w:t>---</w:t>
            </w:r>
          </w:p>
        </w:tc>
        <w:tc>
          <w:tcPr>
            <w:tcW w:w="1580" w:type="pct"/>
            <w:vAlign w:val="center"/>
          </w:tcPr>
          <w:p>
            <w:pPr>
              <w:jc w:val="left"/>
              <w:rPr>
                <w:rFonts w:ascii="Times New Roman" w:hAnsi="Times New Roman"/>
              </w:rPr>
            </w:pPr>
            <w:r>
              <w:rPr>
                <w:rFonts w:ascii="Times New Roman" w:hAnsi="Times New Roman"/>
                <w:color w:val="000000"/>
                <w:szCs w:val="21"/>
                <w:highlight w:val="none"/>
              </w:rPr>
              <w:t>新建钢渣拌料轻钢结构厂房，用于不同状态温度的钢渣混匀作业，跨距18米、长99米，高12米；同时拌料间配套除尘设施1套；</w:t>
            </w:r>
          </w:p>
        </w:tc>
        <w:tc>
          <w:tcPr>
            <w:tcW w:w="1414" w:type="pct"/>
            <w:vAlign w:val="center"/>
          </w:tcPr>
          <w:p>
            <w:pPr>
              <w:jc w:val="left"/>
              <w:rPr>
                <w:rFonts w:ascii="Times New Roman" w:hAnsi="Times New Roman"/>
              </w:rPr>
            </w:pPr>
            <w:r>
              <w:rPr>
                <w:rFonts w:ascii="Times New Roman" w:hAnsi="Times New Roman"/>
                <w:color w:val="000000" w:themeColor="text1"/>
                <w:highlight w:val="none"/>
                <w14:textFill>
                  <w14:solidFill>
                    <w14:schemeClr w14:val="tx1"/>
                  </w14:solidFill>
                </w14:textFill>
              </w:rPr>
              <w:t>建成跨距18米、长99米，高12米的轻钢结构厂房，同时配有配套除尘设施1套；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193" w:type="pct"/>
            <w:vMerge w:val="restart"/>
            <w:tcMar>
              <w:left w:w="28" w:type="dxa"/>
              <w:right w:w="28" w:type="dxa"/>
            </w:tcMar>
            <w:vAlign w:val="center"/>
          </w:tcPr>
          <w:p>
            <w:pPr>
              <w:tabs>
                <w:tab w:val="left" w:pos="0"/>
              </w:tabs>
              <w:jc w:val="center"/>
              <w:outlineLvl w:val="0"/>
              <w:rPr>
                <w:rFonts w:ascii="Times New Roman" w:hAnsi="Times New Roman"/>
              </w:rPr>
            </w:pPr>
            <w:r>
              <w:rPr>
                <w:rFonts w:hint="eastAsia" w:ascii="Times New Roman" w:hAnsi="Times New Roman"/>
                <w:spacing w:val="6"/>
                <w:lang w:eastAsia="zh-CN"/>
              </w:rPr>
              <w:t>公用</w:t>
            </w:r>
            <w:r>
              <w:rPr>
                <w:rFonts w:ascii="Times New Roman" w:hAnsi="Times New Roman"/>
                <w:spacing w:val="6"/>
              </w:rPr>
              <w:t>工程</w:t>
            </w:r>
          </w:p>
        </w:tc>
        <w:tc>
          <w:tcPr>
            <w:tcW w:w="637" w:type="pct"/>
            <w:gridSpan w:val="2"/>
            <w:tcMar>
              <w:left w:w="28" w:type="dxa"/>
              <w:right w:w="28" w:type="dxa"/>
            </w:tcMar>
            <w:vAlign w:val="center"/>
          </w:tcPr>
          <w:p>
            <w:pPr>
              <w:jc w:val="center"/>
              <w:outlineLvl w:val="2"/>
              <w:rPr>
                <w:rFonts w:ascii="Times New Roman" w:hAnsi="Times New Roman"/>
              </w:rPr>
            </w:pPr>
            <w:r>
              <w:rPr>
                <w:rFonts w:ascii="Times New Roman" w:hAnsi="Times New Roman"/>
                <w:color w:val="000000"/>
                <w:szCs w:val="21"/>
              </w:rPr>
              <w:t>供水</w:t>
            </w:r>
          </w:p>
        </w:tc>
        <w:tc>
          <w:tcPr>
            <w:tcW w:w="1173" w:type="pct"/>
            <w:vAlign w:val="center"/>
          </w:tcPr>
          <w:p>
            <w:pPr>
              <w:ind w:left="420" w:leftChars="0" w:hanging="420" w:hangingChars="200"/>
              <w:jc w:val="center"/>
              <w:outlineLvl w:val="0"/>
              <w:rPr>
                <w:rFonts w:ascii="Times New Roman" w:hAnsi="Times New Roman"/>
                <w:b/>
                <w:bCs/>
                <w:szCs w:val="21"/>
              </w:rPr>
            </w:pPr>
            <w:r>
              <w:rPr>
                <w:rFonts w:ascii="Times New Roman" w:hAnsi="Times New Roman"/>
                <w:color w:val="000000"/>
                <w:szCs w:val="21"/>
              </w:rPr>
              <w:t>太钢给水管网</w:t>
            </w:r>
          </w:p>
        </w:tc>
        <w:tc>
          <w:tcPr>
            <w:tcW w:w="1580" w:type="pct"/>
            <w:vAlign w:val="center"/>
          </w:tcPr>
          <w:p>
            <w:pPr>
              <w:jc w:val="center"/>
              <w:rPr>
                <w:rFonts w:ascii="Times New Roman" w:hAnsi="Times New Roman"/>
              </w:rPr>
            </w:pPr>
            <w:r>
              <w:rPr>
                <w:rFonts w:ascii="Times New Roman" w:hAnsi="Times New Roman"/>
              </w:rPr>
              <w:t>/</w:t>
            </w:r>
          </w:p>
        </w:tc>
        <w:tc>
          <w:tcPr>
            <w:tcW w:w="1414" w:type="pct"/>
            <w:vAlign w:val="center"/>
          </w:tcPr>
          <w:p>
            <w:pPr>
              <w:jc w:val="center"/>
              <w:outlineLvl w:val="0"/>
              <w:rPr>
                <w:rFonts w:ascii="Times New Roman" w:hAnsi="Times New Roman"/>
              </w:rPr>
            </w:pPr>
            <w:r>
              <w:rPr>
                <w:rFonts w:ascii="Times New Roman" w:hAnsi="Times New Roman"/>
              </w:rPr>
              <w:t>利用原有工程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193" w:type="pct"/>
            <w:vMerge w:val="continue"/>
            <w:tcMar>
              <w:left w:w="28" w:type="dxa"/>
              <w:right w:w="28" w:type="dxa"/>
            </w:tcMar>
            <w:vAlign w:val="center"/>
          </w:tcPr>
          <w:p>
            <w:pPr>
              <w:tabs>
                <w:tab w:val="left" w:pos="0"/>
              </w:tabs>
              <w:jc w:val="center"/>
              <w:outlineLvl w:val="0"/>
              <w:rPr>
                <w:rFonts w:ascii="Times New Roman" w:hAnsi="Times New Roman"/>
              </w:rPr>
            </w:pPr>
          </w:p>
        </w:tc>
        <w:tc>
          <w:tcPr>
            <w:tcW w:w="637" w:type="pct"/>
            <w:gridSpan w:val="2"/>
            <w:tcMar>
              <w:left w:w="28" w:type="dxa"/>
              <w:right w:w="28" w:type="dxa"/>
            </w:tcMar>
            <w:vAlign w:val="center"/>
          </w:tcPr>
          <w:p>
            <w:pPr>
              <w:jc w:val="center"/>
              <w:outlineLvl w:val="2"/>
              <w:rPr>
                <w:rFonts w:ascii="Times New Roman" w:hAnsi="Times New Roman"/>
              </w:rPr>
            </w:pPr>
            <w:r>
              <w:rPr>
                <w:rFonts w:ascii="Times New Roman" w:hAnsi="Times New Roman"/>
                <w:color w:val="000000"/>
                <w:szCs w:val="21"/>
              </w:rPr>
              <w:t>供电</w:t>
            </w:r>
          </w:p>
        </w:tc>
        <w:tc>
          <w:tcPr>
            <w:tcW w:w="1173" w:type="pct"/>
            <w:vAlign w:val="center"/>
          </w:tcPr>
          <w:p>
            <w:pPr>
              <w:jc w:val="center"/>
              <w:outlineLvl w:val="0"/>
              <w:rPr>
                <w:rFonts w:ascii="Times New Roman" w:hAnsi="Times New Roman"/>
                <w:bCs/>
                <w:szCs w:val="21"/>
              </w:rPr>
            </w:pPr>
            <w:r>
              <w:rPr>
                <w:rFonts w:ascii="Times New Roman" w:hAnsi="Times New Roman"/>
                <w:color w:val="000000"/>
                <w:szCs w:val="21"/>
              </w:rPr>
              <w:t>10kV配电室</w:t>
            </w:r>
          </w:p>
        </w:tc>
        <w:tc>
          <w:tcPr>
            <w:tcW w:w="1580" w:type="pct"/>
            <w:vAlign w:val="center"/>
          </w:tcPr>
          <w:p>
            <w:pPr>
              <w:jc w:val="center"/>
              <w:rPr>
                <w:rFonts w:ascii="Times New Roman" w:hAnsi="Times New Roman"/>
              </w:rPr>
            </w:pPr>
            <w:r>
              <w:rPr>
                <w:rFonts w:ascii="Times New Roman" w:hAnsi="Times New Roman"/>
              </w:rPr>
              <w:t>/</w:t>
            </w:r>
          </w:p>
        </w:tc>
        <w:tc>
          <w:tcPr>
            <w:tcW w:w="1414" w:type="pct"/>
            <w:vAlign w:val="center"/>
          </w:tcPr>
          <w:p>
            <w:pPr>
              <w:jc w:val="center"/>
              <w:outlineLvl w:val="0"/>
              <w:rPr>
                <w:rFonts w:ascii="Times New Roman" w:hAnsi="Times New Roman"/>
                <w:bCs/>
                <w:szCs w:val="21"/>
              </w:rPr>
            </w:pPr>
            <w:r>
              <w:rPr>
                <w:rFonts w:ascii="Times New Roman" w:hAnsi="Times New Roman"/>
              </w:rPr>
              <w:t>利用原有工程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193" w:type="pct"/>
            <w:vMerge w:val="continue"/>
            <w:tcMar>
              <w:left w:w="28" w:type="dxa"/>
              <w:right w:w="28" w:type="dxa"/>
            </w:tcMar>
            <w:vAlign w:val="center"/>
          </w:tcPr>
          <w:p>
            <w:pPr>
              <w:tabs>
                <w:tab w:val="left" w:pos="0"/>
              </w:tabs>
              <w:jc w:val="center"/>
              <w:outlineLvl w:val="0"/>
              <w:rPr>
                <w:rFonts w:ascii="Times New Roman" w:hAnsi="Times New Roman"/>
              </w:rPr>
            </w:pPr>
          </w:p>
        </w:tc>
        <w:tc>
          <w:tcPr>
            <w:tcW w:w="637" w:type="pct"/>
            <w:gridSpan w:val="2"/>
            <w:tcMar>
              <w:left w:w="28" w:type="dxa"/>
              <w:right w:w="28" w:type="dxa"/>
            </w:tcMar>
            <w:vAlign w:val="center"/>
          </w:tcPr>
          <w:p>
            <w:pPr>
              <w:tabs>
                <w:tab w:val="left" w:pos="0"/>
              </w:tabs>
              <w:jc w:val="center"/>
              <w:rPr>
                <w:rFonts w:ascii="Times New Roman" w:hAnsi="Times New Roman"/>
              </w:rPr>
            </w:pPr>
            <w:r>
              <w:rPr>
                <w:rFonts w:ascii="Times New Roman" w:hAnsi="Times New Roman"/>
              </w:rPr>
              <w:t>供热</w:t>
            </w:r>
          </w:p>
        </w:tc>
        <w:tc>
          <w:tcPr>
            <w:tcW w:w="1173" w:type="pct"/>
            <w:vAlign w:val="center"/>
          </w:tcPr>
          <w:p>
            <w:pPr>
              <w:jc w:val="center"/>
              <w:outlineLvl w:val="0"/>
              <w:rPr>
                <w:rFonts w:ascii="Times New Roman" w:hAnsi="Times New Roman"/>
              </w:rPr>
            </w:pPr>
            <w:r>
              <w:rPr>
                <w:rFonts w:ascii="Times New Roman" w:hAnsi="Times New Roman"/>
                <w:color w:val="000000"/>
                <w:szCs w:val="21"/>
              </w:rPr>
              <w:t>依托加工厂内现有供热系统</w:t>
            </w:r>
          </w:p>
        </w:tc>
        <w:tc>
          <w:tcPr>
            <w:tcW w:w="1580" w:type="pct"/>
            <w:vAlign w:val="center"/>
          </w:tcPr>
          <w:p>
            <w:pPr>
              <w:tabs>
                <w:tab w:val="left" w:pos="0"/>
              </w:tabs>
              <w:jc w:val="center"/>
              <w:rPr>
                <w:rFonts w:ascii="Times New Roman" w:hAnsi="Times New Roman"/>
              </w:rPr>
            </w:pPr>
            <w:r>
              <w:rPr>
                <w:rFonts w:ascii="Times New Roman" w:hAnsi="Times New Roman"/>
              </w:rPr>
              <w:t>/</w:t>
            </w:r>
          </w:p>
        </w:tc>
        <w:tc>
          <w:tcPr>
            <w:tcW w:w="1414" w:type="pct"/>
            <w:vAlign w:val="center"/>
          </w:tcPr>
          <w:p>
            <w:pPr>
              <w:jc w:val="center"/>
              <w:outlineLvl w:val="0"/>
              <w:rPr>
                <w:rFonts w:ascii="Times New Roman" w:hAnsi="Times New Roman"/>
              </w:rPr>
            </w:pPr>
            <w:r>
              <w:rPr>
                <w:rFonts w:ascii="Times New Roman" w:hAnsi="Times New Roman"/>
              </w:rPr>
              <w:t>利用原有工程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8" w:hRule="atLeast"/>
          <w:jc w:val="center"/>
        </w:trPr>
        <w:tc>
          <w:tcPr>
            <w:tcW w:w="193" w:type="pct"/>
            <w:vMerge w:val="continue"/>
            <w:tcMar>
              <w:left w:w="28" w:type="dxa"/>
              <w:right w:w="28" w:type="dxa"/>
            </w:tcMar>
            <w:vAlign w:val="center"/>
          </w:tcPr>
          <w:p>
            <w:pPr>
              <w:tabs>
                <w:tab w:val="left" w:pos="0"/>
              </w:tabs>
              <w:jc w:val="center"/>
              <w:outlineLvl w:val="0"/>
              <w:rPr>
                <w:rFonts w:ascii="Times New Roman" w:hAnsi="Times New Roman"/>
              </w:rPr>
            </w:pPr>
          </w:p>
        </w:tc>
        <w:tc>
          <w:tcPr>
            <w:tcW w:w="637" w:type="pct"/>
            <w:gridSpan w:val="2"/>
            <w:tcMar>
              <w:left w:w="28" w:type="dxa"/>
              <w:right w:w="28" w:type="dxa"/>
            </w:tcMar>
            <w:vAlign w:val="center"/>
          </w:tcPr>
          <w:p>
            <w:pPr>
              <w:jc w:val="center"/>
              <w:outlineLvl w:val="2"/>
              <w:rPr>
                <w:rFonts w:ascii="Times New Roman" w:hAnsi="Times New Roman"/>
              </w:rPr>
            </w:pPr>
            <w:r>
              <w:rPr>
                <w:rFonts w:ascii="Times New Roman" w:hAnsi="Times New Roman"/>
                <w:color w:val="000000"/>
                <w:szCs w:val="21"/>
              </w:rPr>
              <w:t>排水</w:t>
            </w:r>
          </w:p>
        </w:tc>
        <w:tc>
          <w:tcPr>
            <w:tcW w:w="1173" w:type="pct"/>
            <w:vAlign w:val="center"/>
          </w:tcPr>
          <w:p>
            <w:pPr>
              <w:jc w:val="center"/>
              <w:outlineLvl w:val="2"/>
              <w:rPr>
                <w:rFonts w:ascii="Times New Roman" w:hAnsi="Times New Roman"/>
                <w:szCs w:val="21"/>
              </w:rPr>
            </w:pPr>
            <w:r>
              <w:rPr>
                <w:rFonts w:ascii="Times New Roman" w:hAnsi="Times New Roman"/>
                <w:color w:val="000000"/>
                <w:szCs w:val="21"/>
              </w:rPr>
              <w:t>热焖池冷却用水沉淀分离后循环使用；生活污水依托太钢厂区现有生活污水排水管网，最终进入太钢赵庄生活污水处理厂处理后回用，不外排</w:t>
            </w:r>
          </w:p>
        </w:tc>
        <w:tc>
          <w:tcPr>
            <w:tcW w:w="1580" w:type="pct"/>
            <w:vAlign w:val="center"/>
          </w:tcPr>
          <w:p>
            <w:pPr>
              <w:jc w:val="center"/>
              <w:rPr>
                <w:rFonts w:ascii="Times New Roman" w:hAnsi="Times New Roman"/>
              </w:rPr>
            </w:pPr>
            <w:r>
              <w:rPr>
                <w:rFonts w:ascii="Times New Roman" w:hAnsi="Times New Roman"/>
              </w:rPr>
              <w:t>/</w:t>
            </w:r>
          </w:p>
          <w:p>
            <w:pPr>
              <w:jc w:val="center"/>
              <w:rPr>
                <w:rFonts w:ascii="Times New Roman" w:hAnsi="Times New Roman"/>
              </w:rPr>
            </w:pPr>
          </w:p>
        </w:tc>
        <w:tc>
          <w:tcPr>
            <w:tcW w:w="1414" w:type="pct"/>
            <w:vAlign w:val="center"/>
          </w:tcPr>
          <w:p>
            <w:pPr>
              <w:jc w:val="center"/>
              <w:outlineLvl w:val="0"/>
              <w:rPr>
                <w:rFonts w:ascii="Times New Roman" w:hAnsi="Times New Roman"/>
              </w:rPr>
            </w:pPr>
            <w:r>
              <w:rPr>
                <w:rFonts w:ascii="Times New Roman" w:hAnsi="Times New Roman"/>
              </w:rPr>
              <w:t>利用原有工程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3" w:type="pct"/>
            <w:vMerge w:val="restart"/>
            <w:tcMar>
              <w:left w:w="28" w:type="dxa"/>
              <w:right w:w="28" w:type="dxa"/>
            </w:tcMar>
            <w:vAlign w:val="center"/>
          </w:tcPr>
          <w:p>
            <w:pPr>
              <w:tabs>
                <w:tab w:val="left" w:pos="0"/>
              </w:tabs>
              <w:jc w:val="center"/>
              <w:outlineLvl w:val="0"/>
              <w:rPr>
                <w:rFonts w:ascii="Times New Roman" w:hAnsi="Times New Roman"/>
              </w:rPr>
            </w:pPr>
            <w:r>
              <w:rPr>
                <w:rFonts w:hint="eastAsia" w:ascii="Times New Roman" w:hAnsi="Times New Roman"/>
                <w:lang w:eastAsia="zh-CN"/>
              </w:rPr>
              <w:t>依托</w:t>
            </w:r>
            <w:r>
              <w:rPr>
                <w:rFonts w:ascii="Times New Roman" w:hAnsi="Times New Roman"/>
              </w:rPr>
              <w:t>工程</w:t>
            </w:r>
          </w:p>
        </w:tc>
        <w:tc>
          <w:tcPr>
            <w:tcW w:w="1810" w:type="pct"/>
            <w:gridSpan w:val="3"/>
            <w:tcMar>
              <w:left w:w="28" w:type="dxa"/>
              <w:right w:w="28" w:type="dxa"/>
            </w:tcMar>
            <w:vAlign w:val="center"/>
          </w:tcPr>
          <w:p>
            <w:pPr>
              <w:jc w:val="center"/>
              <w:outlineLvl w:val="0"/>
              <w:rPr>
                <w:rFonts w:hint="eastAsia" w:ascii="Times New Roman" w:hAnsi="Times New Roman" w:eastAsia="宋体" w:cs="Times New Roman"/>
                <w:kern w:val="2"/>
                <w:sz w:val="21"/>
                <w:szCs w:val="24"/>
                <w:lang w:val="en-US" w:eastAsia="zh-CN" w:bidi="ar-SA"/>
              </w:rPr>
            </w:pPr>
            <w:r>
              <w:rPr>
                <w:rFonts w:ascii="Times New Roman" w:hAnsi="Times New Roman"/>
              </w:rPr>
              <w:t>污水处理厂</w:t>
            </w:r>
          </w:p>
        </w:tc>
        <w:tc>
          <w:tcPr>
            <w:tcW w:w="1580" w:type="pct"/>
            <w:vAlign w:val="center"/>
          </w:tcPr>
          <w:p>
            <w:pPr>
              <w:jc w:val="center"/>
              <w:outlineLvl w:val="0"/>
              <w:rPr>
                <w:rFonts w:ascii="Times New Roman" w:hAnsi="Times New Roman" w:eastAsia="宋体" w:cs="Times New Roman"/>
                <w:kern w:val="2"/>
                <w:sz w:val="21"/>
                <w:szCs w:val="24"/>
                <w:lang w:val="en-US" w:eastAsia="zh-CN" w:bidi="ar-SA"/>
              </w:rPr>
            </w:pPr>
            <w:r>
              <w:rPr>
                <w:rFonts w:ascii="Times New Roman" w:hAnsi="Times New Roman"/>
              </w:rPr>
              <w:t>本项目产生的生活污水排往太钢赵庄生活污水处理厂</w:t>
            </w:r>
          </w:p>
        </w:tc>
        <w:tc>
          <w:tcPr>
            <w:tcW w:w="1414" w:type="pct"/>
            <w:vAlign w:val="center"/>
          </w:tcPr>
          <w:p>
            <w:pPr>
              <w:jc w:val="center"/>
              <w:outlineLvl w:val="0"/>
              <w:rPr>
                <w:rFonts w:hint="eastAsia" w:ascii="Times New Roman" w:hAnsi="Times New Roman" w:eastAsia="宋体" w:cs="Times New Roman"/>
                <w:color w:val="auto"/>
                <w:kern w:val="2"/>
                <w:sz w:val="21"/>
                <w:szCs w:val="24"/>
                <w:lang w:val="en-US" w:eastAsia="zh-CN" w:bidi="ar-SA"/>
              </w:rPr>
            </w:pPr>
            <w:r>
              <w:rPr>
                <w:rFonts w:ascii="Times New Roman" w:hAnsi="Times New Roman"/>
                <w:color w:val="auto"/>
              </w:rPr>
              <w:t>本项目产生的生活污水排往太钢赵庄生活污水处理厂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3" w:type="pct"/>
            <w:vMerge w:val="continue"/>
            <w:tcMar>
              <w:left w:w="28" w:type="dxa"/>
              <w:right w:w="28" w:type="dxa"/>
            </w:tcMar>
            <w:vAlign w:val="center"/>
          </w:tcPr>
          <w:p>
            <w:pPr>
              <w:tabs>
                <w:tab w:val="left" w:pos="0"/>
              </w:tabs>
              <w:jc w:val="center"/>
              <w:outlineLvl w:val="0"/>
              <w:rPr>
                <w:rFonts w:ascii="Times New Roman" w:hAnsi="Times New Roman"/>
              </w:rPr>
            </w:pPr>
          </w:p>
        </w:tc>
        <w:tc>
          <w:tcPr>
            <w:tcW w:w="1810" w:type="pct"/>
            <w:gridSpan w:val="3"/>
            <w:tcMar>
              <w:left w:w="28" w:type="dxa"/>
              <w:right w:w="28" w:type="dxa"/>
            </w:tcMar>
            <w:vAlign w:val="center"/>
          </w:tcPr>
          <w:p>
            <w:pPr>
              <w:jc w:val="center"/>
              <w:outlineLvl w:val="0"/>
              <w:rPr>
                <w:rFonts w:hint="eastAsia" w:ascii="Times New Roman" w:hAnsi="Times New Roman" w:eastAsia="宋体" w:cs="Times New Roman"/>
                <w:kern w:val="2"/>
                <w:sz w:val="21"/>
                <w:szCs w:val="24"/>
                <w:lang w:val="en-US" w:eastAsia="zh-CN" w:bidi="ar-SA"/>
              </w:rPr>
            </w:pPr>
            <w:r>
              <w:rPr>
                <w:rFonts w:ascii="Times New Roman" w:hAnsi="Times New Roman"/>
              </w:rPr>
              <w:t>办公区</w:t>
            </w:r>
          </w:p>
        </w:tc>
        <w:tc>
          <w:tcPr>
            <w:tcW w:w="1580" w:type="pct"/>
            <w:vAlign w:val="center"/>
          </w:tcPr>
          <w:p>
            <w:pPr>
              <w:jc w:val="center"/>
              <w:outlineLvl w:val="0"/>
              <w:rPr>
                <w:rFonts w:ascii="Times New Roman" w:hAnsi="Times New Roman" w:eastAsia="宋体" w:cs="Times New Roman"/>
                <w:kern w:val="2"/>
                <w:sz w:val="21"/>
                <w:szCs w:val="24"/>
                <w:lang w:val="en-US" w:eastAsia="zh-CN" w:bidi="ar-SA"/>
              </w:rPr>
            </w:pPr>
            <w:r>
              <w:rPr>
                <w:rFonts w:ascii="Times New Roman" w:hAnsi="Times New Roman"/>
              </w:rPr>
              <w:t>办公场所依托山西太钢不锈钢股份有限公司加工厂现有办公楼</w:t>
            </w:r>
          </w:p>
        </w:tc>
        <w:tc>
          <w:tcPr>
            <w:tcW w:w="1414" w:type="pct"/>
            <w:vAlign w:val="center"/>
          </w:tcPr>
          <w:p>
            <w:pPr>
              <w:jc w:val="center"/>
              <w:outlineLvl w:val="0"/>
              <w:rPr>
                <w:rFonts w:hint="eastAsia" w:ascii="Times New Roman" w:hAnsi="Times New Roman" w:eastAsia="宋体" w:cs="Times New Roman"/>
                <w:color w:val="auto"/>
                <w:kern w:val="2"/>
                <w:sz w:val="21"/>
                <w:szCs w:val="24"/>
                <w:lang w:val="en-US" w:eastAsia="zh-CN" w:bidi="ar-SA"/>
              </w:rPr>
            </w:pPr>
            <w:r>
              <w:rPr>
                <w:rFonts w:ascii="Times New Roman" w:hAnsi="Times New Roman"/>
                <w:color w:val="auto"/>
              </w:rPr>
              <w:t>利用原有工程</w:t>
            </w:r>
          </w:p>
        </w:tc>
      </w:tr>
    </w:tbl>
    <w:p>
      <w:pPr>
        <w:autoSpaceDE w:val="0"/>
        <w:autoSpaceDN w:val="0"/>
        <w:adjustRightInd w:val="0"/>
        <w:spacing w:line="360" w:lineRule="exact"/>
        <w:ind w:firstLine="420" w:firstLineChars="200"/>
        <w:jc w:val="center"/>
        <w:rPr>
          <w:rFonts w:ascii="Microsoft New Tai Lue" w:hAnsi="Microsoft New Tai Lue" w:cs="Microsoft New Tai Lue"/>
          <w:szCs w:val="21"/>
        </w:rPr>
      </w:pPr>
    </w:p>
    <w:p>
      <w:pPr>
        <w:pStyle w:val="2"/>
        <w:jc w:val="center"/>
        <w:rPr>
          <w:rFonts w:hint="default" w:ascii="Microsoft New Tai Lue" w:hAnsi="Microsoft New Tai Lue" w:eastAsia="宋体" w:cs="Microsoft New Tai Lue"/>
          <w:szCs w:val="21"/>
          <w:lang w:val="en-US" w:eastAsia="zh-CN"/>
        </w:rPr>
      </w:pPr>
      <w:r>
        <w:rPr>
          <w:rFonts w:hint="eastAsia" w:ascii="Microsoft New Tai Lue" w:hAnsi="Microsoft New Tai Lue" w:cs="Microsoft New Tai Lue"/>
          <w:szCs w:val="21"/>
          <w:lang w:val="en-US" w:eastAsia="zh-CN"/>
        </w:rPr>
        <w:t>表2   环保设施建设情况表</w:t>
      </w:r>
    </w:p>
    <w:tbl>
      <w:tblPr>
        <w:tblStyle w:val="9"/>
        <w:tblpPr w:leftFromText="181" w:rightFromText="181" w:vertAnchor="text" w:horzAnchor="page" w:tblpX="1305" w:tblpY="1"/>
        <w:tblOverlap w:val="never"/>
        <w:tblW w:w="5264" w:type="pct"/>
        <w:tblInd w:w="-2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3"/>
        <w:gridCol w:w="485"/>
        <w:gridCol w:w="832"/>
        <w:gridCol w:w="2196"/>
        <w:gridCol w:w="3061"/>
        <w:gridCol w:w="27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6" w:type="pct"/>
            <w:gridSpan w:val="3"/>
            <w:tcMar>
              <w:left w:w="28" w:type="dxa"/>
              <w:right w:w="28" w:type="dxa"/>
            </w:tcMar>
            <w:vAlign w:val="center"/>
          </w:tcPr>
          <w:p>
            <w:pPr>
              <w:pStyle w:val="20"/>
              <w:snapToGrid w:val="0"/>
              <w:spacing w:line="300" w:lineRule="exact"/>
              <w:jc w:val="center"/>
              <w:rPr>
                <w:rFonts w:hint="eastAsia" w:ascii="Times New Roman" w:hAnsi="Times New Roman" w:eastAsia="宋体" w:cs="Times New Roman"/>
                <w:b/>
                <w:color w:val="auto"/>
                <w:spacing w:val="6"/>
                <w:kern w:val="0"/>
                <w:sz w:val="21"/>
                <w:szCs w:val="21"/>
                <w:lang w:val="en-US" w:eastAsia="zh-CN" w:bidi="ar-SA"/>
              </w:rPr>
            </w:pPr>
            <w:r>
              <w:rPr>
                <w:rFonts w:ascii="Times New Roman" w:hAnsi="Times New Roman"/>
                <w:b/>
                <w:bCs/>
                <w:color w:val="auto"/>
              </w:rPr>
              <w:t>项目组成</w:t>
            </w:r>
          </w:p>
        </w:tc>
        <w:tc>
          <w:tcPr>
            <w:tcW w:w="1132" w:type="pct"/>
            <w:tcMar>
              <w:left w:w="28" w:type="dxa"/>
              <w:right w:w="28" w:type="dxa"/>
            </w:tcMar>
            <w:vAlign w:val="center"/>
          </w:tcPr>
          <w:p>
            <w:pPr>
              <w:pStyle w:val="20"/>
              <w:snapToGrid w:val="0"/>
              <w:spacing w:line="300" w:lineRule="exact"/>
              <w:jc w:val="center"/>
              <w:rPr>
                <w:rFonts w:hint="default" w:ascii="Times New Roman" w:hAnsi="Times New Roman" w:eastAsia="宋体"/>
                <w:b/>
                <w:bCs/>
                <w:color w:val="auto"/>
                <w:lang w:val="en-US" w:eastAsia="zh-CN"/>
              </w:rPr>
            </w:pPr>
            <w:r>
              <w:rPr>
                <w:rFonts w:hint="eastAsia" w:ascii="Times New Roman" w:hAnsi="Times New Roman"/>
                <w:b/>
                <w:bCs/>
                <w:color w:val="auto"/>
                <w:lang w:val="en-US" w:eastAsia="zh-CN"/>
              </w:rPr>
              <w:t>原有工程</w:t>
            </w:r>
          </w:p>
        </w:tc>
        <w:tc>
          <w:tcPr>
            <w:tcW w:w="1578" w:type="pct"/>
            <w:vAlign w:val="center"/>
          </w:tcPr>
          <w:p>
            <w:pPr>
              <w:jc w:val="center"/>
              <w:rPr>
                <w:rFonts w:hint="eastAsia" w:ascii="Times New Roman" w:hAnsi="Times New Roman" w:eastAsia="宋体" w:cs="黑体"/>
                <w:b/>
                <w:bCs/>
                <w:color w:val="auto"/>
                <w:kern w:val="2"/>
                <w:sz w:val="21"/>
                <w:szCs w:val="22"/>
                <w:lang w:val="en-US" w:eastAsia="zh-CN" w:bidi="ar-SA"/>
              </w:rPr>
            </w:pPr>
            <w:r>
              <w:rPr>
                <w:rFonts w:hint="eastAsia" w:ascii="Times New Roman" w:hAnsi="Times New Roman" w:cs="Times New Roman"/>
                <w:b/>
                <w:color w:val="auto"/>
                <w:spacing w:val="6"/>
              </w:rPr>
              <w:t>环评要求</w:t>
            </w:r>
            <w:r>
              <w:rPr>
                <w:rFonts w:ascii="Times New Roman" w:hAnsi="Times New Roman" w:cs="Times New Roman"/>
                <w:b/>
                <w:color w:val="auto"/>
                <w:spacing w:val="6"/>
              </w:rPr>
              <w:t>本</w:t>
            </w:r>
            <w:r>
              <w:rPr>
                <w:rFonts w:hint="eastAsia" w:ascii="Times New Roman" w:hAnsi="Times New Roman" w:cs="Times New Roman"/>
                <w:b/>
                <w:color w:val="auto"/>
                <w:spacing w:val="6"/>
                <w:lang w:eastAsia="zh-CN"/>
              </w:rPr>
              <w:t>项目</w:t>
            </w:r>
            <w:r>
              <w:rPr>
                <w:rFonts w:ascii="Times New Roman" w:hAnsi="Times New Roman" w:cs="Times New Roman"/>
                <w:b/>
                <w:color w:val="auto"/>
                <w:spacing w:val="6"/>
              </w:rPr>
              <w:t>工程</w:t>
            </w:r>
            <w:r>
              <w:rPr>
                <w:rFonts w:hint="eastAsia" w:ascii="Times New Roman" w:hAnsi="Times New Roman" w:cs="Times New Roman"/>
                <w:b/>
                <w:color w:val="auto"/>
                <w:spacing w:val="6"/>
              </w:rPr>
              <w:t>建设内容</w:t>
            </w:r>
          </w:p>
        </w:tc>
        <w:tc>
          <w:tcPr>
            <w:tcW w:w="1442" w:type="pct"/>
            <w:vAlign w:val="center"/>
          </w:tcPr>
          <w:p>
            <w:pPr>
              <w:jc w:val="center"/>
              <w:outlineLvl w:val="2"/>
              <w:rPr>
                <w:rFonts w:hint="eastAsia" w:hAnsi="宋体"/>
                <w:color w:val="auto"/>
                <w:szCs w:val="21"/>
              </w:rPr>
            </w:pPr>
            <w:r>
              <w:rPr>
                <w:rFonts w:ascii="Times New Roman" w:hAnsi="Times New Roman"/>
                <w:b/>
                <w:color w:val="auto"/>
                <w:spacing w:val="6"/>
              </w:rPr>
              <w:t>本</w:t>
            </w:r>
            <w:r>
              <w:rPr>
                <w:rFonts w:hint="eastAsia" w:ascii="Times New Roman" w:hAnsi="Times New Roman"/>
                <w:b/>
                <w:color w:val="auto"/>
                <w:spacing w:val="6"/>
                <w:lang w:eastAsia="zh-CN"/>
              </w:rPr>
              <w:t>项目</w:t>
            </w:r>
            <w:r>
              <w:rPr>
                <w:rFonts w:ascii="Times New Roman" w:hAnsi="Times New Roman"/>
                <w:b/>
                <w:color w:val="auto"/>
                <w:spacing w:val="6"/>
              </w:rPr>
              <w:t>工程</w:t>
            </w:r>
            <w:r>
              <w:rPr>
                <w:rFonts w:ascii="Times New Roman" w:hAnsi="Times New Roman"/>
                <w:b/>
                <w:bCs/>
                <w:color w:val="auto"/>
              </w:rPr>
              <w:t>实际建设内容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7" w:type="pct"/>
            <w:vMerge w:val="restart"/>
            <w:tcMar>
              <w:left w:w="28" w:type="dxa"/>
              <w:right w:w="28" w:type="dxa"/>
            </w:tcMar>
            <w:vAlign w:val="center"/>
          </w:tcPr>
          <w:p>
            <w:pPr>
              <w:tabs>
                <w:tab w:val="left" w:pos="0"/>
              </w:tabs>
              <w:jc w:val="center"/>
              <w:outlineLvl w:val="0"/>
              <w:rPr>
                <w:rFonts w:ascii="Times New Roman" w:hAnsi="Times New Roman"/>
                <w:color w:val="auto"/>
                <w:szCs w:val="21"/>
              </w:rPr>
            </w:pPr>
            <w:r>
              <w:rPr>
                <w:rFonts w:ascii="Times New Roman" w:hAnsi="Times New Roman"/>
                <w:color w:val="auto"/>
              </w:rPr>
              <w:t>环保工程</w:t>
            </w:r>
          </w:p>
        </w:tc>
        <w:tc>
          <w:tcPr>
            <w:tcW w:w="679" w:type="pct"/>
            <w:gridSpan w:val="2"/>
            <w:vMerge w:val="restart"/>
            <w:tcMar>
              <w:left w:w="28" w:type="dxa"/>
              <w:right w:w="28" w:type="dxa"/>
            </w:tcMar>
            <w:vAlign w:val="center"/>
          </w:tcPr>
          <w:p>
            <w:pPr>
              <w:tabs>
                <w:tab w:val="left" w:pos="0"/>
              </w:tabs>
              <w:jc w:val="center"/>
              <w:outlineLvl w:val="0"/>
              <w:rPr>
                <w:rFonts w:ascii="Times New Roman" w:hAnsi="Times New Roman"/>
                <w:color w:val="auto"/>
              </w:rPr>
            </w:pPr>
            <w:r>
              <w:rPr>
                <w:rFonts w:ascii="Times New Roman" w:hAnsi="Times New Roman"/>
                <w:color w:val="auto"/>
              </w:rPr>
              <w:t>废气</w:t>
            </w:r>
          </w:p>
          <w:p>
            <w:pPr>
              <w:tabs>
                <w:tab w:val="left" w:pos="0"/>
              </w:tabs>
              <w:jc w:val="center"/>
              <w:rPr>
                <w:rFonts w:ascii="Times New Roman" w:hAnsi="Times New Roman"/>
                <w:color w:val="auto"/>
              </w:rPr>
            </w:pPr>
          </w:p>
        </w:tc>
        <w:tc>
          <w:tcPr>
            <w:tcW w:w="1132" w:type="pct"/>
            <w:vAlign w:val="center"/>
          </w:tcPr>
          <w:p>
            <w:pPr>
              <w:tabs>
                <w:tab w:val="left" w:pos="0"/>
              </w:tabs>
              <w:jc w:val="center"/>
              <w:rPr>
                <w:rFonts w:ascii="Times New Roman" w:hAnsi="Times New Roman"/>
                <w:color w:val="auto"/>
              </w:rPr>
            </w:pPr>
            <w:r>
              <w:rPr>
                <w:rFonts w:hint="eastAsia" w:ascii="Times New Roman" w:hAnsi="Times New Roman"/>
                <w:color w:val="auto"/>
              </w:rPr>
              <w:t>7#、8#不锈钢渣热焖处理线</w:t>
            </w:r>
          </w:p>
        </w:tc>
        <w:tc>
          <w:tcPr>
            <w:tcW w:w="1578" w:type="pct"/>
            <w:vAlign w:val="center"/>
          </w:tcPr>
          <w:p>
            <w:pPr>
              <w:jc w:val="center"/>
              <w:outlineLvl w:val="2"/>
              <w:rPr>
                <w:rFonts w:ascii="Times New Roman" w:hAnsi="Times New Roman"/>
                <w:color w:val="FF0000"/>
              </w:rPr>
            </w:pPr>
            <w:r>
              <w:rPr>
                <w:rFonts w:hint="eastAsia" w:hAnsi="宋体"/>
                <w:color w:val="000000"/>
                <w:szCs w:val="21"/>
              </w:rPr>
              <w:t>配套新增车间屋顶罩、热焖池除尘设施2套，移动罩除尘设施2套；新建拌料间配套除尘设施1套；</w:t>
            </w:r>
          </w:p>
        </w:tc>
        <w:tc>
          <w:tcPr>
            <w:tcW w:w="1442" w:type="pct"/>
            <w:vAlign w:val="center"/>
          </w:tcPr>
          <w:p>
            <w:pPr>
              <w:jc w:val="center"/>
              <w:outlineLvl w:val="2"/>
              <w:rPr>
                <w:rFonts w:hint="eastAsia" w:ascii="Calibri" w:hAnsi="宋体" w:eastAsia="宋体" w:cs="Times New Roman"/>
                <w:color w:val="auto"/>
                <w:spacing w:val="-5"/>
                <w:kern w:val="2"/>
                <w:sz w:val="21"/>
                <w:szCs w:val="21"/>
                <w:lang w:val="en-US" w:eastAsia="zh-CN" w:bidi="ar-SA"/>
              </w:rPr>
            </w:pPr>
            <w:r>
              <w:rPr>
                <w:rFonts w:hint="eastAsia" w:hAnsi="宋体"/>
                <w:color w:val="auto"/>
                <w:szCs w:val="21"/>
              </w:rPr>
              <w:t>配套新增车间屋顶罩、热焖池除尘设施2套，移动罩除尘设施2套；新建拌料间配套除尘设施1套；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7" w:type="pct"/>
            <w:vMerge w:val="continue"/>
            <w:tcMar>
              <w:left w:w="28" w:type="dxa"/>
              <w:right w:w="28" w:type="dxa"/>
            </w:tcMar>
            <w:vAlign w:val="center"/>
          </w:tcPr>
          <w:p>
            <w:pPr>
              <w:tabs>
                <w:tab w:val="left" w:pos="0"/>
              </w:tabs>
              <w:jc w:val="center"/>
              <w:outlineLvl w:val="0"/>
              <w:rPr>
                <w:rFonts w:ascii="Times New Roman" w:hAnsi="Times New Roman"/>
                <w:color w:val="FF0000"/>
                <w:szCs w:val="21"/>
              </w:rPr>
            </w:pPr>
          </w:p>
        </w:tc>
        <w:tc>
          <w:tcPr>
            <w:tcW w:w="679" w:type="pct"/>
            <w:gridSpan w:val="2"/>
            <w:vMerge w:val="continue"/>
            <w:tcMar>
              <w:left w:w="28" w:type="dxa"/>
              <w:right w:w="28" w:type="dxa"/>
            </w:tcMar>
            <w:vAlign w:val="center"/>
          </w:tcPr>
          <w:p>
            <w:pPr>
              <w:tabs>
                <w:tab w:val="left" w:pos="0"/>
              </w:tabs>
              <w:jc w:val="center"/>
              <w:rPr>
                <w:rFonts w:ascii="Times New Roman" w:hAnsi="Times New Roman"/>
                <w:color w:val="FF0000"/>
              </w:rPr>
            </w:pPr>
          </w:p>
        </w:tc>
        <w:tc>
          <w:tcPr>
            <w:tcW w:w="1132" w:type="pct"/>
            <w:vAlign w:val="center"/>
          </w:tcPr>
          <w:p>
            <w:pPr>
              <w:tabs>
                <w:tab w:val="left" w:pos="0"/>
              </w:tabs>
              <w:jc w:val="center"/>
              <w:rPr>
                <w:rFonts w:ascii="Times New Roman" w:hAnsi="Times New Roman"/>
                <w:color w:val="auto"/>
              </w:rPr>
            </w:pPr>
            <w:r>
              <w:rPr>
                <w:rFonts w:hint="eastAsia" w:hAnsi="宋体"/>
                <w:color w:val="auto"/>
                <w:szCs w:val="21"/>
              </w:rPr>
              <w:t>（4#5#6#钢渣处理线）</w:t>
            </w:r>
          </w:p>
        </w:tc>
        <w:tc>
          <w:tcPr>
            <w:tcW w:w="1578" w:type="pct"/>
            <w:vAlign w:val="center"/>
          </w:tcPr>
          <w:p>
            <w:pPr>
              <w:outlineLvl w:val="2"/>
              <w:rPr>
                <w:rFonts w:hint="eastAsia" w:ascii="Calibri" w:hAnsi="Calibri" w:eastAsia="宋体" w:cs="Times New Roman"/>
                <w:color w:val="FF0000"/>
                <w:kern w:val="2"/>
                <w:sz w:val="21"/>
                <w:szCs w:val="21"/>
                <w:lang w:val="en-US" w:eastAsia="zh-CN" w:bidi="ar-SA"/>
              </w:rPr>
            </w:pPr>
            <w:r>
              <w:rPr>
                <w:rFonts w:hint="eastAsia" w:hAnsi="宋体"/>
                <w:color w:val="000000"/>
                <w:szCs w:val="21"/>
              </w:rPr>
              <w:t>4#共用配套新增车间屋顶罩除尘设施1套，4#增加移动罩除尘设施1套；5#、6#共用配套新增车间屋顶罩除尘设施1套，5#、6#增加移动罩除尘设施2套；新建拌料间配套除尘设施1套；</w:t>
            </w:r>
          </w:p>
        </w:tc>
        <w:tc>
          <w:tcPr>
            <w:tcW w:w="1442" w:type="pct"/>
            <w:vAlign w:val="center"/>
          </w:tcPr>
          <w:p>
            <w:pPr>
              <w:spacing w:line="260" w:lineRule="exact"/>
              <w:outlineLvl w:val="2"/>
              <w:rPr>
                <w:rFonts w:ascii="Calibri" w:hAnsi="宋体" w:eastAsia="宋体" w:cs="Times New Roman"/>
                <w:color w:val="auto"/>
                <w:kern w:val="2"/>
                <w:sz w:val="21"/>
                <w:szCs w:val="21"/>
                <w:lang w:val="en-US" w:eastAsia="zh-CN" w:bidi="ar-SA"/>
              </w:rPr>
            </w:pPr>
            <w:r>
              <w:rPr>
                <w:rFonts w:hint="eastAsia" w:hAnsi="宋体"/>
                <w:color w:val="auto"/>
                <w:szCs w:val="21"/>
              </w:rPr>
              <w:t>4#共用配套新增车间屋顶罩除尘设施1套，4#增加移动罩除尘设施1套；5#、6#共用配套新增车间屋顶罩除尘设施1套，5#、6#增加移动罩除尘设施2套；新建拌料间配套除尘设施1套；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3" w:hRule="atLeast"/>
        </w:trPr>
        <w:tc>
          <w:tcPr>
            <w:tcW w:w="167" w:type="pct"/>
            <w:vMerge w:val="continue"/>
            <w:tcMar>
              <w:left w:w="28" w:type="dxa"/>
              <w:right w:w="28" w:type="dxa"/>
            </w:tcMar>
            <w:vAlign w:val="center"/>
          </w:tcPr>
          <w:p>
            <w:pPr>
              <w:jc w:val="center"/>
              <w:rPr>
                <w:rFonts w:ascii="Times New Roman" w:hAnsi="Times New Roman"/>
              </w:rPr>
            </w:pPr>
          </w:p>
        </w:tc>
        <w:tc>
          <w:tcPr>
            <w:tcW w:w="679" w:type="pct"/>
            <w:gridSpan w:val="2"/>
            <w:tcMar>
              <w:left w:w="28" w:type="dxa"/>
              <w:right w:w="28" w:type="dxa"/>
            </w:tcMar>
            <w:vAlign w:val="center"/>
          </w:tcPr>
          <w:p>
            <w:pPr>
              <w:jc w:val="center"/>
              <w:rPr>
                <w:rFonts w:ascii="Times New Roman" w:hAnsi="Times New Roman"/>
              </w:rPr>
            </w:pPr>
            <w:r>
              <w:rPr>
                <w:rFonts w:ascii="Times New Roman" w:hAnsi="Times New Roman"/>
                <w:color w:val="000000"/>
                <w:szCs w:val="21"/>
              </w:rPr>
              <w:t>废水</w:t>
            </w:r>
          </w:p>
        </w:tc>
        <w:tc>
          <w:tcPr>
            <w:tcW w:w="1132" w:type="pct"/>
            <w:vAlign w:val="center"/>
          </w:tcPr>
          <w:p>
            <w:pPr>
              <w:jc w:val="left"/>
              <w:outlineLvl w:val="2"/>
              <w:rPr>
                <w:rFonts w:ascii="Times New Roman" w:hAnsi="Times New Roman"/>
                <w:szCs w:val="21"/>
              </w:rPr>
            </w:pPr>
            <w:r>
              <w:rPr>
                <w:rFonts w:ascii="Times New Roman" w:hAnsi="Times New Roman"/>
                <w:color w:val="000000"/>
                <w:szCs w:val="21"/>
              </w:rPr>
              <w:t>生活污水排入厂区内现有生活污水排水管网，最终进入太钢赵庄生活污水理厂处理后回用，不外排</w:t>
            </w:r>
          </w:p>
        </w:tc>
        <w:tc>
          <w:tcPr>
            <w:tcW w:w="1578" w:type="pct"/>
            <w:vAlign w:val="center"/>
          </w:tcPr>
          <w:p>
            <w:pPr>
              <w:jc w:val="center"/>
              <w:outlineLvl w:val="2"/>
              <w:rPr>
                <w:rFonts w:ascii="Times New Roman" w:hAnsi="Times New Roman"/>
              </w:rPr>
            </w:pPr>
            <w:r>
              <w:rPr>
                <w:rFonts w:hint="eastAsia" w:ascii="Times New Roman" w:hAnsi="Times New Roman"/>
                <w:bCs/>
                <w:spacing w:val="6"/>
              </w:rPr>
              <w:t>/</w:t>
            </w:r>
          </w:p>
        </w:tc>
        <w:tc>
          <w:tcPr>
            <w:tcW w:w="1442" w:type="pct"/>
            <w:vAlign w:val="center"/>
          </w:tcPr>
          <w:p>
            <w:pPr>
              <w:jc w:val="center"/>
              <w:rPr>
                <w:rFonts w:ascii="Times New Roman" w:hAnsi="Times New Roman"/>
                <w:szCs w:val="21"/>
              </w:rPr>
            </w:pPr>
            <w:r>
              <w:rPr>
                <w:rFonts w:hint="eastAsia" w:ascii="Times New Roman" w:hAnsi="Times New Roman"/>
                <w:color w:val="000000"/>
                <w:szCs w:val="21"/>
              </w:rPr>
              <w:t>利用原有工程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167" w:type="pct"/>
            <w:vMerge w:val="continue"/>
            <w:tcMar>
              <w:left w:w="28" w:type="dxa"/>
              <w:right w:w="28" w:type="dxa"/>
            </w:tcMar>
            <w:vAlign w:val="center"/>
          </w:tcPr>
          <w:p>
            <w:pPr>
              <w:jc w:val="center"/>
              <w:rPr>
                <w:rFonts w:ascii="Times New Roman" w:hAnsi="Times New Roman"/>
              </w:rPr>
            </w:pPr>
          </w:p>
        </w:tc>
        <w:tc>
          <w:tcPr>
            <w:tcW w:w="679" w:type="pct"/>
            <w:gridSpan w:val="2"/>
            <w:tcMar>
              <w:left w:w="28" w:type="dxa"/>
              <w:right w:w="28" w:type="dxa"/>
            </w:tcMar>
            <w:vAlign w:val="center"/>
          </w:tcPr>
          <w:p>
            <w:pPr>
              <w:jc w:val="center"/>
              <w:outlineLvl w:val="2"/>
              <w:rPr>
                <w:rFonts w:ascii="Times New Roman" w:hAnsi="Times New Roman"/>
              </w:rPr>
            </w:pPr>
            <w:r>
              <w:rPr>
                <w:rFonts w:ascii="Times New Roman" w:hAnsi="Times New Roman"/>
                <w:color w:val="000000"/>
                <w:szCs w:val="21"/>
              </w:rPr>
              <w:t>绿化</w:t>
            </w:r>
          </w:p>
        </w:tc>
        <w:tc>
          <w:tcPr>
            <w:tcW w:w="1132" w:type="pct"/>
            <w:vAlign w:val="center"/>
          </w:tcPr>
          <w:p>
            <w:pPr>
              <w:jc w:val="center"/>
              <w:outlineLvl w:val="2"/>
              <w:rPr>
                <w:rFonts w:ascii="Times New Roman" w:hAnsi="Times New Roman"/>
                <w:szCs w:val="21"/>
              </w:rPr>
            </w:pPr>
            <w:r>
              <w:rPr>
                <w:rFonts w:ascii="Times New Roman" w:hAnsi="Times New Roman"/>
                <w:color w:val="000000"/>
                <w:szCs w:val="21"/>
              </w:rPr>
              <w:t>绿化面积为9425m</w:t>
            </w:r>
            <w:r>
              <w:rPr>
                <w:rFonts w:ascii="Times New Roman" w:hAnsi="Times New Roman"/>
                <w:color w:val="000000"/>
                <w:szCs w:val="21"/>
                <w:vertAlign w:val="superscript"/>
              </w:rPr>
              <w:t>2</w:t>
            </w:r>
          </w:p>
        </w:tc>
        <w:tc>
          <w:tcPr>
            <w:tcW w:w="1578" w:type="pct"/>
            <w:vAlign w:val="center"/>
          </w:tcPr>
          <w:p>
            <w:pPr>
              <w:jc w:val="center"/>
              <w:outlineLvl w:val="2"/>
              <w:rPr>
                <w:rFonts w:ascii="Times New Roman" w:hAnsi="Times New Roman"/>
              </w:rPr>
            </w:pPr>
            <w:r>
              <w:rPr>
                <w:rFonts w:hint="eastAsia" w:ascii="Times New Roman" w:hAnsi="Times New Roman"/>
                <w:color w:val="000000"/>
                <w:szCs w:val="21"/>
              </w:rPr>
              <w:t>/</w:t>
            </w:r>
          </w:p>
        </w:tc>
        <w:tc>
          <w:tcPr>
            <w:tcW w:w="1442" w:type="pct"/>
            <w:vAlign w:val="center"/>
          </w:tcPr>
          <w:p>
            <w:pPr>
              <w:jc w:val="center"/>
              <w:outlineLvl w:val="2"/>
              <w:rPr>
                <w:rFonts w:ascii="Times New Roman" w:hAnsi="Times New Roman"/>
                <w:szCs w:val="21"/>
              </w:rPr>
            </w:pPr>
            <w:r>
              <w:rPr>
                <w:rFonts w:ascii="Times New Roman" w:hAnsi="Times New Roman"/>
                <w:color w:val="000000"/>
                <w:szCs w:val="21"/>
              </w:rPr>
              <w:t>绿化面积为9425m</w:t>
            </w:r>
            <w:r>
              <w:rPr>
                <w:rFonts w:ascii="Times New Roman" w:hAnsi="Times New Roman"/>
                <w:color w:val="000000"/>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7" w:hRule="atLeast"/>
        </w:trPr>
        <w:tc>
          <w:tcPr>
            <w:tcW w:w="167" w:type="pct"/>
            <w:vMerge w:val="continue"/>
            <w:tcMar>
              <w:left w:w="28" w:type="dxa"/>
              <w:right w:w="28" w:type="dxa"/>
            </w:tcMar>
            <w:vAlign w:val="center"/>
          </w:tcPr>
          <w:p>
            <w:pPr>
              <w:jc w:val="center"/>
              <w:rPr>
                <w:rFonts w:ascii="Times New Roman" w:hAnsi="Times New Roman"/>
              </w:rPr>
            </w:pPr>
          </w:p>
        </w:tc>
        <w:tc>
          <w:tcPr>
            <w:tcW w:w="679" w:type="pct"/>
            <w:gridSpan w:val="2"/>
            <w:tcMar>
              <w:left w:w="28" w:type="dxa"/>
              <w:right w:w="28" w:type="dxa"/>
            </w:tcMar>
            <w:vAlign w:val="center"/>
          </w:tcPr>
          <w:p>
            <w:pPr>
              <w:jc w:val="center"/>
              <w:outlineLvl w:val="2"/>
              <w:rPr>
                <w:rFonts w:ascii="Times New Roman" w:hAnsi="Times New Roman"/>
              </w:rPr>
            </w:pPr>
            <w:r>
              <w:rPr>
                <w:rFonts w:ascii="Times New Roman" w:hAnsi="Times New Roman"/>
                <w:color w:val="000000"/>
                <w:szCs w:val="21"/>
              </w:rPr>
              <w:t>噪声</w:t>
            </w:r>
          </w:p>
        </w:tc>
        <w:tc>
          <w:tcPr>
            <w:tcW w:w="1132" w:type="pct"/>
            <w:vAlign w:val="center"/>
          </w:tcPr>
          <w:p>
            <w:pPr>
              <w:jc w:val="left"/>
              <w:outlineLvl w:val="2"/>
              <w:rPr>
                <w:rFonts w:ascii="Times New Roman" w:hAnsi="Times New Roman"/>
                <w:szCs w:val="21"/>
              </w:rPr>
            </w:pPr>
            <w:r>
              <w:rPr>
                <w:rFonts w:hint="eastAsia"/>
                <w:color w:val="000000"/>
                <w:szCs w:val="21"/>
              </w:rPr>
              <w:t>选用低噪设备、并室内安装；设置基础减振，并采取</w:t>
            </w:r>
            <w:r>
              <w:rPr>
                <w:color w:val="000000"/>
                <w:szCs w:val="21"/>
              </w:rPr>
              <w:t>隔声措施</w:t>
            </w:r>
            <w:r>
              <w:rPr>
                <w:rFonts w:hint="eastAsia"/>
                <w:color w:val="000000"/>
                <w:szCs w:val="21"/>
              </w:rPr>
              <w:t>；水泵</w:t>
            </w:r>
            <w:r>
              <w:rPr>
                <w:color w:val="000000"/>
                <w:szCs w:val="21"/>
              </w:rPr>
              <w:t>采取隔声措施</w:t>
            </w:r>
            <w:r>
              <w:rPr>
                <w:rFonts w:hint="eastAsia"/>
                <w:color w:val="000000"/>
                <w:szCs w:val="21"/>
              </w:rPr>
              <w:t>；切割设施布置在远离厂界并布置在隔声罩内；</w:t>
            </w:r>
          </w:p>
        </w:tc>
        <w:tc>
          <w:tcPr>
            <w:tcW w:w="1578" w:type="pct"/>
            <w:vAlign w:val="center"/>
          </w:tcPr>
          <w:p>
            <w:pPr>
              <w:jc w:val="center"/>
              <w:outlineLvl w:val="2"/>
              <w:rPr>
                <w:rFonts w:ascii="Times New Roman" w:hAnsi="Times New Roman"/>
              </w:rPr>
            </w:pPr>
            <w:r>
              <w:rPr>
                <w:rFonts w:hint="eastAsia"/>
                <w:color w:val="000000"/>
                <w:szCs w:val="21"/>
              </w:rPr>
              <w:t>选用低噪设备、并室内安装；设置基础减振，并采取</w:t>
            </w:r>
            <w:r>
              <w:rPr>
                <w:color w:val="000000"/>
                <w:szCs w:val="21"/>
              </w:rPr>
              <w:t>隔声措施</w:t>
            </w:r>
            <w:r>
              <w:rPr>
                <w:rFonts w:hint="eastAsia"/>
                <w:color w:val="000000"/>
                <w:szCs w:val="21"/>
              </w:rPr>
              <w:t>；水泵</w:t>
            </w:r>
            <w:r>
              <w:rPr>
                <w:color w:val="000000"/>
                <w:szCs w:val="21"/>
              </w:rPr>
              <w:t>采取隔声措施</w:t>
            </w:r>
            <w:r>
              <w:rPr>
                <w:rFonts w:hint="eastAsia"/>
                <w:color w:val="000000"/>
                <w:szCs w:val="21"/>
              </w:rPr>
              <w:t>；切割设施布置在远离厂界并布置在隔声罩内；重视绿化，尽可能加大绿化面积，阻滞噪声传播。</w:t>
            </w:r>
          </w:p>
        </w:tc>
        <w:tc>
          <w:tcPr>
            <w:tcW w:w="1442" w:type="pct"/>
            <w:vAlign w:val="center"/>
          </w:tcPr>
          <w:p>
            <w:pPr>
              <w:outlineLvl w:val="2"/>
            </w:pPr>
            <w:r>
              <w:rPr>
                <w:rFonts w:hint="eastAsia" w:ascii="Times New Roman" w:hAnsi="Times New Roman"/>
                <w:color w:val="000000"/>
                <w:szCs w:val="21"/>
              </w:rPr>
              <w:t>已使用</w:t>
            </w:r>
            <w:r>
              <w:rPr>
                <w:rFonts w:ascii="Times New Roman" w:hAnsi="Times New Roman"/>
                <w:color w:val="000000"/>
                <w:szCs w:val="21"/>
              </w:rPr>
              <w:t>低噪设备、并室内安装；设置基础减振，并采取隔声措施；水泵采取隔声措施；切割设施布置在远离厂界并布置在隔声罩内</w:t>
            </w:r>
            <w:r>
              <w:rPr>
                <w:rFonts w:hint="eastAsia" w:ascii="Times New Roman" w:hAnsi="Times New Roman"/>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167" w:type="pct"/>
            <w:vMerge w:val="continue"/>
            <w:tcMar>
              <w:left w:w="28" w:type="dxa"/>
              <w:right w:w="28" w:type="dxa"/>
            </w:tcMar>
            <w:vAlign w:val="center"/>
          </w:tcPr>
          <w:p>
            <w:pPr>
              <w:jc w:val="center"/>
              <w:rPr>
                <w:rFonts w:ascii="Times New Roman" w:hAnsi="Times New Roman"/>
              </w:rPr>
            </w:pPr>
          </w:p>
        </w:tc>
        <w:tc>
          <w:tcPr>
            <w:tcW w:w="250" w:type="pct"/>
            <w:vMerge w:val="restart"/>
            <w:tcMar>
              <w:left w:w="28" w:type="dxa"/>
              <w:right w:w="28" w:type="dxa"/>
            </w:tcMar>
            <w:vAlign w:val="center"/>
          </w:tcPr>
          <w:p>
            <w:pPr>
              <w:tabs>
                <w:tab w:val="left" w:pos="0"/>
              </w:tabs>
              <w:jc w:val="center"/>
              <w:rPr>
                <w:rFonts w:hint="eastAsia" w:ascii="Times New Roman" w:hAnsi="Times New Roman"/>
                <w:lang w:eastAsia="zh-CN"/>
              </w:rPr>
            </w:pPr>
            <w:r>
              <w:rPr>
                <w:rFonts w:hint="eastAsia" w:ascii="Times New Roman" w:hAnsi="Times New Roman"/>
                <w:lang w:eastAsia="zh-CN"/>
              </w:rPr>
              <w:t>固</w:t>
            </w:r>
          </w:p>
          <w:p>
            <w:pPr>
              <w:tabs>
                <w:tab w:val="left" w:pos="0"/>
              </w:tabs>
              <w:jc w:val="center"/>
              <w:rPr>
                <w:rFonts w:hint="eastAsia" w:ascii="Times New Roman" w:hAnsi="Times New Roman" w:eastAsia="宋体"/>
                <w:lang w:eastAsia="zh-CN"/>
              </w:rPr>
            </w:pPr>
            <w:r>
              <w:rPr>
                <w:rFonts w:hint="eastAsia" w:ascii="Times New Roman" w:hAnsi="Times New Roman"/>
                <w:lang w:eastAsia="zh-CN"/>
              </w:rPr>
              <w:t>废</w:t>
            </w:r>
          </w:p>
        </w:tc>
        <w:tc>
          <w:tcPr>
            <w:tcW w:w="429" w:type="pct"/>
            <w:tcMar>
              <w:left w:w="28" w:type="dxa"/>
              <w:right w:w="28" w:type="dxa"/>
            </w:tcMar>
            <w:vAlign w:val="center"/>
          </w:tcPr>
          <w:p>
            <w:pPr>
              <w:jc w:val="center"/>
              <w:rPr>
                <w:rFonts w:ascii="Times New Roman" w:hAnsi="Times New Roman"/>
              </w:rPr>
            </w:pPr>
            <w:r>
              <w:rPr>
                <w:rFonts w:ascii="Times New Roman" w:hAnsi="Times New Roman"/>
              </w:rPr>
              <w:t>生活垃圾</w:t>
            </w:r>
          </w:p>
        </w:tc>
        <w:tc>
          <w:tcPr>
            <w:tcW w:w="1132" w:type="pct"/>
            <w:vAlign w:val="center"/>
          </w:tcPr>
          <w:p>
            <w:pPr>
              <w:jc w:val="center"/>
              <w:outlineLvl w:val="0"/>
              <w:rPr>
                <w:rFonts w:ascii="Times New Roman" w:hAnsi="Times New Roman"/>
              </w:rPr>
            </w:pPr>
            <w:r>
              <w:rPr>
                <w:rFonts w:ascii="Times New Roman" w:hAnsi="Times New Roman"/>
                <w:color w:val="000000"/>
                <w:kern w:val="0"/>
                <w:szCs w:val="21"/>
              </w:rPr>
              <w:t>设封闭垃圾箱，定期交由环卫部门统一处理</w:t>
            </w:r>
          </w:p>
        </w:tc>
        <w:tc>
          <w:tcPr>
            <w:tcW w:w="1578" w:type="pct"/>
            <w:vAlign w:val="center"/>
          </w:tcPr>
          <w:p>
            <w:pPr>
              <w:jc w:val="center"/>
              <w:outlineLvl w:val="0"/>
              <w:rPr>
                <w:rFonts w:ascii="Times New Roman" w:hAnsi="Times New Roman"/>
              </w:rPr>
            </w:pPr>
            <w:r>
              <w:rPr>
                <w:rFonts w:ascii="Times New Roman" w:hAnsi="Times New Roman"/>
              </w:rPr>
              <w:t>/</w:t>
            </w:r>
          </w:p>
        </w:tc>
        <w:tc>
          <w:tcPr>
            <w:tcW w:w="1442" w:type="pct"/>
            <w:vAlign w:val="center"/>
          </w:tcPr>
          <w:p>
            <w:pPr>
              <w:jc w:val="center"/>
              <w:outlineLvl w:val="0"/>
            </w:pPr>
            <w:r>
              <w:rPr>
                <w:rFonts w:ascii="Times New Roman" w:hAnsi="Times New Roman"/>
                <w:color w:val="000000"/>
                <w:kern w:val="0"/>
                <w:szCs w:val="21"/>
              </w:rPr>
              <w:t>设封闭垃圾箱，定期交由环卫部门统一处理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167" w:type="pct"/>
            <w:vMerge w:val="continue"/>
            <w:tcMar>
              <w:left w:w="28" w:type="dxa"/>
              <w:right w:w="28" w:type="dxa"/>
            </w:tcMar>
            <w:vAlign w:val="center"/>
          </w:tcPr>
          <w:p>
            <w:pPr>
              <w:jc w:val="center"/>
              <w:rPr>
                <w:rFonts w:ascii="Times New Roman" w:hAnsi="Times New Roman"/>
              </w:rPr>
            </w:pPr>
          </w:p>
        </w:tc>
        <w:tc>
          <w:tcPr>
            <w:tcW w:w="250" w:type="pct"/>
            <w:vMerge w:val="continue"/>
            <w:tcMar>
              <w:left w:w="28" w:type="dxa"/>
              <w:right w:w="28" w:type="dxa"/>
            </w:tcMar>
            <w:vAlign w:val="center"/>
          </w:tcPr>
          <w:p>
            <w:pPr>
              <w:tabs>
                <w:tab w:val="left" w:pos="0"/>
              </w:tabs>
              <w:jc w:val="center"/>
              <w:rPr>
                <w:rFonts w:ascii="Times New Roman" w:hAnsi="Times New Roman"/>
              </w:rPr>
            </w:pPr>
          </w:p>
        </w:tc>
        <w:tc>
          <w:tcPr>
            <w:tcW w:w="429" w:type="pct"/>
            <w:tcMar>
              <w:left w:w="28" w:type="dxa"/>
              <w:right w:w="28" w:type="dxa"/>
            </w:tcMar>
            <w:vAlign w:val="center"/>
          </w:tcPr>
          <w:p>
            <w:pPr>
              <w:tabs>
                <w:tab w:val="left" w:pos="0"/>
              </w:tabs>
              <w:jc w:val="center"/>
              <w:rPr>
                <w:rFonts w:ascii="Times New Roman" w:hAnsi="Times New Roman"/>
              </w:rPr>
            </w:pPr>
            <w:r>
              <w:rPr>
                <w:rFonts w:ascii="Times New Roman" w:hAnsi="Times New Roman"/>
              </w:rPr>
              <w:t>大块钢铁料</w:t>
            </w:r>
          </w:p>
        </w:tc>
        <w:tc>
          <w:tcPr>
            <w:tcW w:w="1132" w:type="pct"/>
            <w:vAlign w:val="center"/>
          </w:tcPr>
          <w:p>
            <w:pPr>
              <w:jc w:val="center"/>
              <w:outlineLvl w:val="0"/>
              <w:rPr>
                <w:rFonts w:ascii="Times New Roman" w:hAnsi="Times New Roman"/>
              </w:rPr>
            </w:pPr>
            <w:r>
              <w:rPr>
                <w:rFonts w:ascii="Times New Roman" w:hAnsi="Times New Roman"/>
                <w:color w:val="000000"/>
                <w:szCs w:val="21"/>
              </w:rPr>
              <w:t>送废钢料场进行切割处理</w:t>
            </w:r>
          </w:p>
        </w:tc>
        <w:tc>
          <w:tcPr>
            <w:tcW w:w="1578" w:type="pct"/>
            <w:vAlign w:val="center"/>
          </w:tcPr>
          <w:p>
            <w:pPr>
              <w:jc w:val="center"/>
              <w:outlineLvl w:val="0"/>
              <w:rPr>
                <w:rFonts w:ascii="Times New Roman" w:hAnsi="Times New Roman"/>
              </w:rPr>
            </w:pPr>
            <w:r>
              <w:rPr>
                <w:rFonts w:ascii="Times New Roman" w:hAnsi="Times New Roman"/>
              </w:rPr>
              <w:t>/</w:t>
            </w:r>
          </w:p>
        </w:tc>
        <w:tc>
          <w:tcPr>
            <w:tcW w:w="1442" w:type="pct"/>
            <w:vAlign w:val="center"/>
          </w:tcPr>
          <w:p>
            <w:pPr>
              <w:jc w:val="center"/>
              <w:outlineLvl w:val="0"/>
              <w:rPr>
                <w:rFonts w:ascii="Times New Roman" w:hAnsi="Times New Roman"/>
              </w:rPr>
            </w:pPr>
            <w:r>
              <w:rPr>
                <w:rFonts w:ascii="Times New Roman" w:hAnsi="Times New Roman"/>
                <w:color w:val="000000"/>
                <w:szCs w:val="21"/>
              </w:rPr>
              <w:t>送废钢料场进行切割处理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167" w:type="pct"/>
            <w:vMerge w:val="continue"/>
            <w:tcMar>
              <w:left w:w="28" w:type="dxa"/>
              <w:right w:w="28" w:type="dxa"/>
            </w:tcMar>
            <w:vAlign w:val="center"/>
          </w:tcPr>
          <w:p>
            <w:pPr>
              <w:jc w:val="center"/>
              <w:rPr>
                <w:rFonts w:ascii="Times New Roman" w:hAnsi="Times New Roman"/>
              </w:rPr>
            </w:pPr>
          </w:p>
        </w:tc>
        <w:tc>
          <w:tcPr>
            <w:tcW w:w="250" w:type="pct"/>
            <w:vMerge w:val="continue"/>
            <w:tcMar>
              <w:left w:w="28" w:type="dxa"/>
              <w:right w:w="28" w:type="dxa"/>
            </w:tcMar>
            <w:vAlign w:val="center"/>
          </w:tcPr>
          <w:p>
            <w:pPr>
              <w:tabs>
                <w:tab w:val="left" w:pos="0"/>
              </w:tabs>
              <w:jc w:val="center"/>
              <w:rPr>
                <w:rFonts w:ascii="Times New Roman" w:hAnsi="Times New Roman"/>
              </w:rPr>
            </w:pPr>
          </w:p>
        </w:tc>
        <w:tc>
          <w:tcPr>
            <w:tcW w:w="429" w:type="pct"/>
            <w:tcMar>
              <w:left w:w="28" w:type="dxa"/>
              <w:right w:w="28" w:type="dxa"/>
            </w:tcMar>
            <w:vAlign w:val="center"/>
          </w:tcPr>
          <w:p>
            <w:pPr>
              <w:tabs>
                <w:tab w:val="left" w:pos="0"/>
              </w:tabs>
              <w:jc w:val="center"/>
              <w:rPr>
                <w:rFonts w:ascii="Times New Roman" w:hAnsi="Times New Roman"/>
              </w:rPr>
            </w:pPr>
            <w:r>
              <w:rPr>
                <w:rFonts w:ascii="Times New Roman" w:hAnsi="Times New Roman"/>
              </w:rPr>
              <w:t>钢渣</w:t>
            </w:r>
          </w:p>
        </w:tc>
        <w:tc>
          <w:tcPr>
            <w:tcW w:w="1132" w:type="pct"/>
            <w:vAlign w:val="center"/>
          </w:tcPr>
          <w:p>
            <w:pPr>
              <w:jc w:val="center"/>
              <w:outlineLvl w:val="0"/>
              <w:rPr>
                <w:rFonts w:ascii="Times New Roman" w:hAnsi="Times New Roman"/>
              </w:rPr>
            </w:pPr>
            <w:r>
              <w:rPr>
                <w:rFonts w:ascii="Times New Roman" w:hAnsi="Times New Roman"/>
                <w:color w:val="000000"/>
                <w:szCs w:val="21"/>
              </w:rPr>
              <w:t>送入渣钢分离处理线进行分离处理</w:t>
            </w:r>
          </w:p>
        </w:tc>
        <w:tc>
          <w:tcPr>
            <w:tcW w:w="1578" w:type="pct"/>
            <w:vAlign w:val="center"/>
          </w:tcPr>
          <w:p>
            <w:pPr>
              <w:jc w:val="center"/>
              <w:outlineLvl w:val="0"/>
              <w:rPr>
                <w:rFonts w:ascii="Times New Roman" w:hAnsi="Times New Roman"/>
              </w:rPr>
            </w:pPr>
            <w:r>
              <w:rPr>
                <w:rFonts w:ascii="Times New Roman" w:hAnsi="Times New Roman"/>
              </w:rPr>
              <w:t>/</w:t>
            </w:r>
          </w:p>
        </w:tc>
        <w:tc>
          <w:tcPr>
            <w:tcW w:w="1442" w:type="pct"/>
            <w:vAlign w:val="center"/>
          </w:tcPr>
          <w:p>
            <w:pPr>
              <w:jc w:val="center"/>
              <w:outlineLvl w:val="0"/>
              <w:rPr>
                <w:rFonts w:ascii="Times New Roman" w:hAnsi="Times New Roman"/>
              </w:rPr>
            </w:pPr>
            <w:r>
              <w:rPr>
                <w:rFonts w:ascii="Times New Roman" w:hAnsi="Times New Roman"/>
                <w:color w:val="000000"/>
                <w:szCs w:val="21"/>
              </w:rPr>
              <w:t>送入渣钢分离处理线进行分离处理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167" w:type="pct"/>
            <w:vMerge w:val="continue"/>
            <w:tcMar>
              <w:left w:w="28" w:type="dxa"/>
              <w:right w:w="28" w:type="dxa"/>
            </w:tcMar>
            <w:vAlign w:val="center"/>
          </w:tcPr>
          <w:p>
            <w:pPr>
              <w:jc w:val="center"/>
              <w:rPr>
                <w:rFonts w:ascii="Times New Roman" w:hAnsi="Times New Roman"/>
              </w:rPr>
            </w:pPr>
          </w:p>
        </w:tc>
        <w:tc>
          <w:tcPr>
            <w:tcW w:w="250" w:type="pct"/>
            <w:vMerge w:val="continue"/>
            <w:tcMar>
              <w:left w:w="28" w:type="dxa"/>
              <w:right w:w="28" w:type="dxa"/>
            </w:tcMar>
            <w:vAlign w:val="center"/>
          </w:tcPr>
          <w:p>
            <w:pPr>
              <w:tabs>
                <w:tab w:val="left" w:pos="0"/>
              </w:tabs>
              <w:jc w:val="center"/>
              <w:rPr>
                <w:rFonts w:ascii="Times New Roman" w:hAnsi="Times New Roman"/>
              </w:rPr>
            </w:pPr>
          </w:p>
        </w:tc>
        <w:tc>
          <w:tcPr>
            <w:tcW w:w="429" w:type="pct"/>
            <w:tcMar>
              <w:left w:w="28" w:type="dxa"/>
              <w:right w:w="28" w:type="dxa"/>
            </w:tcMar>
            <w:vAlign w:val="center"/>
          </w:tcPr>
          <w:p>
            <w:pPr>
              <w:tabs>
                <w:tab w:val="left" w:pos="0"/>
              </w:tabs>
              <w:jc w:val="center"/>
              <w:rPr>
                <w:rFonts w:ascii="Times New Roman" w:hAnsi="Times New Roman"/>
              </w:rPr>
            </w:pPr>
            <w:r>
              <w:rPr>
                <w:rFonts w:ascii="Times New Roman" w:hAnsi="Times New Roman"/>
              </w:rPr>
              <w:t>除尘灰</w:t>
            </w:r>
          </w:p>
        </w:tc>
        <w:tc>
          <w:tcPr>
            <w:tcW w:w="1132" w:type="pct"/>
            <w:vAlign w:val="center"/>
          </w:tcPr>
          <w:p>
            <w:pPr>
              <w:jc w:val="center"/>
              <w:outlineLvl w:val="0"/>
              <w:rPr>
                <w:rFonts w:ascii="Times New Roman" w:hAnsi="Times New Roman"/>
              </w:rPr>
            </w:pPr>
            <w:r>
              <w:rPr>
                <w:rFonts w:hint="eastAsia" w:ascii="Times New Roman" w:hAnsi="Times New Roman"/>
                <w:color w:val="000000"/>
                <w:szCs w:val="21"/>
              </w:rPr>
              <w:t>排向哈斯科科技公司进行综合利用</w:t>
            </w:r>
          </w:p>
        </w:tc>
        <w:tc>
          <w:tcPr>
            <w:tcW w:w="1578" w:type="pct"/>
            <w:vAlign w:val="center"/>
          </w:tcPr>
          <w:p>
            <w:pPr>
              <w:jc w:val="center"/>
              <w:outlineLvl w:val="0"/>
              <w:rPr>
                <w:rFonts w:ascii="Times New Roman" w:hAnsi="Times New Roman"/>
              </w:rPr>
            </w:pPr>
            <w:r>
              <w:rPr>
                <w:rFonts w:ascii="Times New Roman" w:hAnsi="Times New Roman"/>
              </w:rPr>
              <w:t>/</w:t>
            </w:r>
          </w:p>
        </w:tc>
        <w:tc>
          <w:tcPr>
            <w:tcW w:w="1442" w:type="pct"/>
            <w:vAlign w:val="center"/>
          </w:tcPr>
          <w:p>
            <w:pPr>
              <w:jc w:val="center"/>
              <w:outlineLvl w:val="0"/>
              <w:rPr>
                <w:rFonts w:ascii="Times New Roman" w:hAnsi="Times New Roman"/>
              </w:rPr>
            </w:pPr>
            <w:r>
              <w:rPr>
                <w:rFonts w:hint="eastAsia" w:ascii="Times New Roman" w:hAnsi="Times New Roman"/>
                <w:color w:val="000000"/>
                <w:szCs w:val="21"/>
                <w:lang w:eastAsia="zh-CN"/>
              </w:rPr>
              <w:t>运往</w:t>
            </w:r>
            <w:r>
              <w:rPr>
                <w:rFonts w:hint="eastAsia" w:ascii="Times New Roman" w:hAnsi="Times New Roman"/>
                <w:color w:val="000000"/>
                <w:szCs w:val="21"/>
              </w:rPr>
              <w:t>哈斯科科技公司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167" w:type="pct"/>
            <w:vMerge w:val="continue"/>
            <w:tcMar>
              <w:left w:w="28" w:type="dxa"/>
              <w:right w:w="28" w:type="dxa"/>
            </w:tcMar>
            <w:vAlign w:val="center"/>
          </w:tcPr>
          <w:p>
            <w:pPr>
              <w:jc w:val="center"/>
              <w:rPr>
                <w:rFonts w:ascii="Times New Roman" w:hAnsi="Times New Roman"/>
              </w:rPr>
            </w:pPr>
          </w:p>
        </w:tc>
        <w:tc>
          <w:tcPr>
            <w:tcW w:w="250" w:type="pct"/>
            <w:vMerge w:val="continue"/>
            <w:tcMar>
              <w:left w:w="28" w:type="dxa"/>
              <w:right w:w="28" w:type="dxa"/>
            </w:tcMar>
            <w:vAlign w:val="center"/>
          </w:tcPr>
          <w:p>
            <w:pPr>
              <w:tabs>
                <w:tab w:val="left" w:pos="0"/>
              </w:tabs>
              <w:jc w:val="center"/>
              <w:rPr>
                <w:rFonts w:ascii="Times New Roman" w:hAnsi="Times New Roman"/>
              </w:rPr>
            </w:pPr>
          </w:p>
        </w:tc>
        <w:tc>
          <w:tcPr>
            <w:tcW w:w="429" w:type="pct"/>
            <w:tcMar>
              <w:left w:w="28" w:type="dxa"/>
              <w:right w:w="28" w:type="dxa"/>
            </w:tcMar>
            <w:vAlign w:val="center"/>
          </w:tcPr>
          <w:p>
            <w:pPr>
              <w:tabs>
                <w:tab w:val="left" w:pos="0"/>
              </w:tabs>
              <w:jc w:val="center"/>
              <w:rPr>
                <w:rFonts w:hint="eastAsia" w:ascii="Times New Roman" w:hAnsi="Times New Roman" w:eastAsia="宋体"/>
                <w:lang w:eastAsia="zh-CN"/>
              </w:rPr>
            </w:pPr>
            <w:r>
              <w:rPr>
                <w:rFonts w:hint="eastAsia" w:ascii="Times New Roman" w:hAnsi="Times New Roman"/>
                <w:lang w:eastAsia="zh-CN"/>
              </w:rPr>
              <w:t>废机油</w:t>
            </w:r>
          </w:p>
        </w:tc>
        <w:tc>
          <w:tcPr>
            <w:tcW w:w="1132" w:type="pct"/>
            <w:vAlign w:val="center"/>
          </w:tcPr>
          <w:p>
            <w:pPr>
              <w:jc w:val="center"/>
              <w:outlineLvl w:val="0"/>
              <w:rPr>
                <w:rFonts w:hint="eastAsia" w:ascii="Times New Roman" w:hAnsi="Times New Roman" w:eastAsia="宋体"/>
                <w:lang w:eastAsia="zh-CN"/>
              </w:rPr>
            </w:pPr>
            <w:r>
              <w:rPr>
                <w:rFonts w:hint="eastAsia" w:ascii="Times New Roman" w:hAnsi="Times New Roman"/>
                <w:lang w:eastAsia="zh-CN"/>
              </w:rPr>
              <w:t>库房存储，交由有资质的单位处置</w:t>
            </w:r>
          </w:p>
        </w:tc>
        <w:tc>
          <w:tcPr>
            <w:tcW w:w="1578" w:type="pct"/>
            <w:vAlign w:val="center"/>
          </w:tcPr>
          <w:p>
            <w:pPr>
              <w:tabs>
                <w:tab w:val="left" w:pos="-208"/>
              </w:tabs>
              <w:ind w:left="-109" w:leftChars="-52" w:right="-92" w:rightChars="-44"/>
              <w:jc w:val="center"/>
              <w:rPr>
                <w:rFonts w:hint="eastAsia" w:ascii="Times New Roman" w:hAnsi="Times New Roman" w:eastAsia="宋体"/>
                <w:lang w:val="en-US" w:eastAsia="zh-CN"/>
              </w:rPr>
            </w:pPr>
            <w:r>
              <w:rPr>
                <w:rFonts w:hint="eastAsia" w:ascii="Times New Roman" w:hAnsi="Times New Roman"/>
                <w:lang w:val="en-US" w:eastAsia="zh-CN"/>
              </w:rPr>
              <w:t>/</w:t>
            </w:r>
          </w:p>
        </w:tc>
        <w:tc>
          <w:tcPr>
            <w:tcW w:w="1442" w:type="pct"/>
            <w:vAlign w:val="center"/>
          </w:tcPr>
          <w:p>
            <w:pPr>
              <w:ind w:left="-92" w:leftChars="-44" w:right="-107" w:rightChars="-51"/>
              <w:jc w:val="center"/>
              <w:outlineLvl w:val="0"/>
              <w:rPr>
                <w:rFonts w:hint="eastAsia" w:ascii="Times New Roman" w:hAnsi="Times New Roman" w:eastAsia="宋体"/>
                <w:lang w:eastAsia="zh-CN"/>
              </w:rPr>
            </w:pPr>
            <w:r>
              <w:rPr>
                <w:rFonts w:hint="eastAsia" w:ascii="Times New Roman" w:hAnsi="Times New Roman"/>
                <w:lang w:eastAsia="zh-CN"/>
              </w:rPr>
              <w:t>交由山西新鸿顺能源有限公司处置</w:t>
            </w:r>
          </w:p>
        </w:tc>
      </w:tr>
    </w:tbl>
    <w:p>
      <w:pPr>
        <w:spacing w:line="360" w:lineRule="auto"/>
        <w:ind w:firstLine="480"/>
        <w:jc w:val="center"/>
      </w:pPr>
      <w:r>
        <w:t>表</w:t>
      </w:r>
      <w:r>
        <w:rPr>
          <w:rFonts w:hint="eastAsia"/>
          <w:lang w:val="en-US" w:eastAsia="zh-CN"/>
        </w:rPr>
        <w:t>3</w:t>
      </w:r>
      <w:r>
        <w:t xml:space="preserve"> 项目</w:t>
      </w:r>
      <w:r>
        <w:rPr>
          <w:rFonts w:hint="eastAsia"/>
          <w:lang w:val="en-US" w:eastAsia="zh-CN"/>
        </w:rPr>
        <w:t>主要</w:t>
      </w:r>
      <w:r>
        <w:t>设备清单一览表</w:t>
      </w:r>
    </w:p>
    <w:tbl>
      <w:tblPr>
        <w:tblStyle w:val="9"/>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7"/>
        <w:gridCol w:w="2336"/>
        <w:gridCol w:w="2336"/>
        <w:gridCol w:w="529"/>
        <w:gridCol w:w="767"/>
        <w:gridCol w:w="787"/>
        <w:gridCol w:w="1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tblHeader/>
          <w:jc w:val="center"/>
        </w:trPr>
        <w:tc>
          <w:tcPr>
            <w:tcW w:w="316" w:type="pct"/>
            <w:vAlign w:val="center"/>
          </w:tcPr>
          <w:p>
            <w:pPr>
              <w:jc w:val="center"/>
            </w:pPr>
            <w:r>
              <w:t>序号</w:t>
            </w:r>
          </w:p>
        </w:tc>
        <w:tc>
          <w:tcPr>
            <w:tcW w:w="1258" w:type="pct"/>
            <w:vAlign w:val="center"/>
          </w:tcPr>
          <w:p>
            <w:pPr>
              <w:jc w:val="center"/>
            </w:pPr>
            <w:r>
              <w:t>设 备 名 称</w:t>
            </w:r>
          </w:p>
        </w:tc>
        <w:tc>
          <w:tcPr>
            <w:tcW w:w="1258" w:type="pct"/>
            <w:vAlign w:val="center"/>
          </w:tcPr>
          <w:p>
            <w:pPr>
              <w:jc w:val="center"/>
            </w:pPr>
            <w:r>
              <w:t>规格型号</w:t>
            </w:r>
          </w:p>
        </w:tc>
        <w:tc>
          <w:tcPr>
            <w:tcW w:w="285" w:type="pct"/>
            <w:vAlign w:val="center"/>
          </w:tcPr>
          <w:p>
            <w:pPr>
              <w:jc w:val="center"/>
            </w:pPr>
            <w:r>
              <w:t>单位</w:t>
            </w:r>
          </w:p>
        </w:tc>
        <w:tc>
          <w:tcPr>
            <w:tcW w:w="413" w:type="pct"/>
            <w:vAlign w:val="center"/>
          </w:tcPr>
          <w:p>
            <w:pPr>
              <w:jc w:val="center"/>
            </w:pPr>
            <w:r>
              <w:t>环评数量</w:t>
            </w:r>
          </w:p>
        </w:tc>
        <w:tc>
          <w:tcPr>
            <w:tcW w:w="424" w:type="pct"/>
            <w:vAlign w:val="center"/>
          </w:tcPr>
          <w:p>
            <w:pPr>
              <w:jc w:val="center"/>
            </w:pPr>
            <w:r>
              <w:t>实际数量</w:t>
            </w:r>
          </w:p>
        </w:tc>
        <w:tc>
          <w:tcPr>
            <w:tcW w:w="1043" w:type="pct"/>
          </w:tcPr>
          <w:p>
            <w:pPr>
              <w:jc w:val="center"/>
            </w:pPr>
            <w: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316" w:type="pct"/>
            <w:vAlign w:val="center"/>
          </w:tcPr>
          <w:p>
            <w:pPr>
              <w:jc w:val="center"/>
            </w:pPr>
            <w:r>
              <w:t>一</w:t>
            </w:r>
          </w:p>
        </w:tc>
        <w:tc>
          <w:tcPr>
            <w:tcW w:w="4683" w:type="pct"/>
            <w:gridSpan w:val="6"/>
            <w:vAlign w:val="center"/>
          </w:tcPr>
          <w:p>
            <w:pPr>
              <w:jc w:val="center"/>
            </w:pPr>
            <w:r>
              <w:t>7#</w:t>
            </w:r>
            <w:r>
              <w:rPr>
                <w:rFonts w:hint="eastAsia"/>
                <w:lang w:eastAsia="zh-CN"/>
              </w:rPr>
              <w:t>、</w:t>
            </w:r>
            <w:r>
              <w:t>8#线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316" w:type="pct"/>
            <w:vAlign w:val="center"/>
          </w:tcPr>
          <w:p>
            <w:pPr>
              <w:numPr>
                <w:ilvl w:val="0"/>
                <w:numId w:val="1"/>
              </w:numPr>
              <w:jc w:val="center"/>
            </w:pPr>
          </w:p>
        </w:tc>
        <w:tc>
          <w:tcPr>
            <w:tcW w:w="1258" w:type="pct"/>
            <w:vAlign w:val="center"/>
          </w:tcPr>
          <w:p>
            <w:pPr>
              <w:jc w:val="center"/>
              <w:outlineLvl w:val="2"/>
            </w:pPr>
            <w:r>
              <w:t>热闷池</w:t>
            </w:r>
          </w:p>
        </w:tc>
        <w:tc>
          <w:tcPr>
            <w:tcW w:w="1258" w:type="pct"/>
            <w:vAlign w:val="center"/>
          </w:tcPr>
          <w:p>
            <w:pPr>
              <w:jc w:val="center"/>
              <w:outlineLvl w:val="2"/>
            </w:pPr>
            <w:r>
              <w:t>7.5m×7m×3.2m</w:t>
            </w:r>
          </w:p>
        </w:tc>
        <w:tc>
          <w:tcPr>
            <w:tcW w:w="285" w:type="pct"/>
            <w:vAlign w:val="center"/>
          </w:tcPr>
          <w:p>
            <w:pPr>
              <w:jc w:val="center"/>
            </w:pPr>
            <w:r>
              <w:t>个</w:t>
            </w:r>
          </w:p>
        </w:tc>
        <w:tc>
          <w:tcPr>
            <w:tcW w:w="413" w:type="pct"/>
            <w:vAlign w:val="center"/>
          </w:tcPr>
          <w:p>
            <w:pPr>
              <w:jc w:val="center"/>
              <w:outlineLvl w:val="2"/>
            </w:pPr>
            <w:r>
              <w:t>10</w:t>
            </w:r>
          </w:p>
        </w:tc>
        <w:tc>
          <w:tcPr>
            <w:tcW w:w="424" w:type="pct"/>
            <w:vAlign w:val="center"/>
          </w:tcPr>
          <w:p>
            <w:pPr>
              <w:jc w:val="center"/>
              <w:outlineLvl w:val="2"/>
            </w:pPr>
            <w:r>
              <w:t>10</w:t>
            </w:r>
          </w:p>
        </w:tc>
        <w:tc>
          <w:tcPr>
            <w:tcW w:w="1043" w:type="pct"/>
            <w:vMerge w:val="restart"/>
            <w:vAlign w:val="center"/>
          </w:tcPr>
          <w:p>
            <w:pPr>
              <w:jc w:val="center"/>
            </w:pPr>
            <w:r>
              <w:t>新建7#热焖车间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316" w:type="pct"/>
            <w:vAlign w:val="center"/>
          </w:tcPr>
          <w:p>
            <w:pPr>
              <w:numPr>
                <w:ilvl w:val="0"/>
                <w:numId w:val="1"/>
              </w:numPr>
              <w:jc w:val="center"/>
            </w:pPr>
          </w:p>
        </w:tc>
        <w:tc>
          <w:tcPr>
            <w:tcW w:w="1258" w:type="pct"/>
            <w:vAlign w:val="center"/>
          </w:tcPr>
          <w:p>
            <w:pPr>
              <w:jc w:val="center"/>
              <w:outlineLvl w:val="2"/>
            </w:pPr>
            <w:r>
              <w:t>排气烟囱</w:t>
            </w:r>
          </w:p>
        </w:tc>
        <w:tc>
          <w:tcPr>
            <w:tcW w:w="1258" w:type="pct"/>
            <w:vAlign w:val="center"/>
          </w:tcPr>
          <w:p>
            <w:pPr>
              <w:jc w:val="center"/>
              <w:outlineLvl w:val="2"/>
            </w:pPr>
            <w:r>
              <w:t>Φ=750</w:t>
            </w:r>
          </w:p>
        </w:tc>
        <w:tc>
          <w:tcPr>
            <w:tcW w:w="285" w:type="pct"/>
            <w:vAlign w:val="center"/>
          </w:tcPr>
          <w:p>
            <w:pPr>
              <w:jc w:val="center"/>
            </w:pPr>
            <w:r>
              <w:t>个</w:t>
            </w:r>
          </w:p>
        </w:tc>
        <w:tc>
          <w:tcPr>
            <w:tcW w:w="413" w:type="pct"/>
            <w:vAlign w:val="center"/>
          </w:tcPr>
          <w:p>
            <w:pPr>
              <w:jc w:val="center"/>
              <w:outlineLvl w:val="2"/>
            </w:pPr>
            <w:r>
              <w:t>1</w:t>
            </w:r>
          </w:p>
        </w:tc>
        <w:tc>
          <w:tcPr>
            <w:tcW w:w="424" w:type="pct"/>
            <w:vAlign w:val="center"/>
          </w:tcPr>
          <w:p>
            <w:pPr>
              <w:jc w:val="center"/>
              <w:outlineLvl w:val="2"/>
            </w:pPr>
            <w:r>
              <w:t>1</w:t>
            </w:r>
          </w:p>
        </w:tc>
        <w:tc>
          <w:tcPr>
            <w:tcW w:w="1043" w:type="pct"/>
            <w:vMerge w:val="continue"/>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316" w:type="pct"/>
            <w:vAlign w:val="center"/>
          </w:tcPr>
          <w:p>
            <w:pPr>
              <w:numPr>
                <w:ilvl w:val="0"/>
                <w:numId w:val="1"/>
              </w:numPr>
              <w:jc w:val="center"/>
            </w:pPr>
          </w:p>
        </w:tc>
        <w:tc>
          <w:tcPr>
            <w:tcW w:w="1258" w:type="pct"/>
            <w:vAlign w:val="center"/>
          </w:tcPr>
          <w:p>
            <w:pPr>
              <w:jc w:val="center"/>
              <w:outlineLvl w:val="2"/>
            </w:pPr>
            <w:r>
              <w:t>移动集尘罩</w:t>
            </w:r>
          </w:p>
        </w:tc>
        <w:tc>
          <w:tcPr>
            <w:tcW w:w="1258" w:type="pct"/>
            <w:vAlign w:val="center"/>
          </w:tcPr>
          <w:p>
            <w:pPr>
              <w:jc w:val="center"/>
              <w:outlineLvl w:val="2"/>
            </w:pPr>
            <w:r>
              <w:t>功率：7.5 x2 KW</w:t>
            </w:r>
          </w:p>
        </w:tc>
        <w:tc>
          <w:tcPr>
            <w:tcW w:w="285" w:type="pct"/>
            <w:vAlign w:val="center"/>
          </w:tcPr>
          <w:p>
            <w:pPr>
              <w:jc w:val="center"/>
            </w:pPr>
            <w:r>
              <w:t>个</w:t>
            </w:r>
          </w:p>
        </w:tc>
        <w:tc>
          <w:tcPr>
            <w:tcW w:w="413" w:type="pct"/>
            <w:vAlign w:val="center"/>
          </w:tcPr>
          <w:p>
            <w:pPr>
              <w:jc w:val="center"/>
              <w:outlineLvl w:val="2"/>
            </w:pPr>
            <w:r>
              <w:t>2</w:t>
            </w:r>
          </w:p>
        </w:tc>
        <w:tc>
          <w:tcPr>
            <w:tcW w:w="424" w:type="pct"/>
            <w:vAlign w:val="center"/>
          </w:tcPr>
          <w:p>
            <w:pPr>
              <w:jc w:val="center"/>
              <w:outlineLvl w:val="2"/>
            </w:pPr>
            <w:r>
              <w:t>2</w:t>
            </w:r>
          </w:p>
        </w:tc>
        <w:tc>
          <w:tcPr>
            <w:tcW w:w="1043" w:type="pct"/>
            <w:vMerge w:val="continue"/>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316" w:type="pct"/>
            <w:vAlign w:val="center"/>
          </w:tcPr>
          <w:p>
            <w:pPr>
              <w:numPr>
                <w:ilvl w:val="0"/>
                <w:numId w:val="1"/>
              </w:numPr>
              <w:jc w:val="center"/>
            </w:pPr>
          </w:p>
        </w:tc>
        <w:tc>
          <w:tcPr>
            <w:tcW w:w="1258" w:type="pct"/>
            <w:vAlign w:val="center"/>
          </w:tcPr>
          <w:p>
            <w:pPr>
              <w:jc w:val="center"/>
              <w:outlineLvl w:val="2"/>
            </w:pPr>
            <w:r>
              <w:t>动力波除尘机组</w:t>
            </w:r>
          </w:p>
        </w:tc>
        <w:tc>
          <w:tcPr>
            <w:tcW w:w="1258" w:type="pct"/>
            <w:vAlign w:val="center"/>
          </w:tcPr>
          <w:p>
            <w:pPr>
              <w:jc w:val="center"/>
              <w:outlineLvl w:val="2"/>
            </w:pPr>
            <w:r>
              <w:t>风量为：45万m3</w:t>
            </w:r>
          </w:p>
        </w:tc>
        <w:tc>
          <w:tcPr>
            <w:tcW w:w="285" w:type="pct"/>
            <w:vAlign w:val="center"/>
          </w:tcPr>
          <w:p>
            <w:pPr>
              <w:jc w:val="center"/>
            </w:pPr>
            <w:r>
              <w:t>个</w:t>
            </w:r>
          </w:p>
        </w:tc>
        <w:tc>
          <w:tcPr>
            <w:tcW w:w="413" w:type="pct"/>
            <w:vAlign w:val="center"/>
          </w:tcPr>
          <w:p>
            <w:pPr>
              <w:jc w:val="center"/>
              <w:outlineLvl w:val="2"/>
            </w:pPr>
            <w:r>
              <w:t>1</w:t>
            </w:r>
          </w:p>
        </w:tc>
        <w:tc>
          <w:tcPr>
            <w:tcW w:w="424" w:type="pct"/>
            <w:vAlign w:val="center"/>
          </w:tcPr>
          <w:p>
            <w:pPr>
              <w:jc w:val="center"/>
              <w:outlineLvl w:val="2"/>
            </w:pPr>
            <w:r>
              <w:t>1</w:t>
            </w:r>
          </w:p>
        </w:tc>
        <w:tc>
          <w:tcPr>
            <w:tcW w:w="1043" w:type="pct"/>
            <w:vMerge w:val="continue"/>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316" w:type="pct"/>
            <w:vAlign w:val="center"/>
          </w:tcPr>
          <w:p>
            <w:pPr>
              <w:numPr>
                <w:ilvl w:val="0"/>
                <w:numId w:val="1"/>
              </w:numPr>
              <w:jc w:val="center"/>
            </w:pPr>
          </w:p>
        </w:tc>
        <w:tc>
          <w:tcPr>
            <w:tcW w:w="1258" w:type="pct"/>
            <w:vAlign w:val="center"/>
          </w:tcPr>
          <w:p>
            <w:pPr>
              <w:jc w:val="center"/>
              <w:outlineLvl w:val="2"/>
            </w:pPr>
            <w:r>
              <w:t>增设厂房屋顶罩除尘系统</w:t>
            </w:r>
          </w:p>
        </w:tc>
        <w:tc>
          <w:tcPr>
            <w:tcW w:w="1258" w:type="pct"/>
            <w:vAlign w:val="center"/>
          </w:tcPr>
          <w:p>
            <w:pPr>
              <w:jc w:val="center"/>
              <w:outlineLvl w:val="2"/>
            </w:pPr>
            <w:r>
              <w:t>风量为：30万m3</w:t>
            </w:r>
          </w:p>
        </w:tc>
        <w:tc>
          <w:tcPr>
            <w:tcW w:w="285" w:type="pct"/>
            <w:vAlign w:val="center"/>
          </w:tcPr>
          <w:p>
            <w:pPr>
              <w:jc w:val="center"/>
            </w:pPr>
            <w:r>
              <w:t>个</w:t>
            </w:r>
          </w:p>
        </w:tc>
        <w:tc>
          <w:tcPr>
            <w:tcW w:w="413" w:type="pct"/>
            <w:vAlign w:val="center"/>
          </w:tcPr>
          <w:p>
            <w:pPr>
              <w:jc w:val="center"/>
              <w:outlineLvl w:val="2"/>
            </w:pPr>
            <w:r>
              <w:t>1</w:t>
            </w:r>
          </w:p>
        </w:tc>
        <w:tc>
          <w:tcPr>
            <w:tcW w:w="424" w:type="pct"/>
            <w:vAlign w:val="center"/>
          </w:tcPr>
          <w:p>
            <w:pPr>
              <w:jc w:val="center"/>
              <w:outlineLvl w:val="2"/>
            </w:pPr>
            <w:r>
              <w:t>1</w:t>
            </w:r>
          </w:p>
        </w:tc>
        <w:tc>
          <w:tcPr>
            <w:tcW w:w="1043" w:type="pct"/>
            <w:vMerge w:val="continue"/>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316" w:type="pct"/>
            <w:vAlign w:val="center"/>
          </w:tcPr>
          <w:p>
            <w:pPr>
              <w:numPr>
                <w:ilvl w:val="0"/>
                <w:numId w:val="1"/>
              </w:numPr>
              <w:jc w:val="center"/>
            </w:pPr>
          </w:p>
        </w:tc>
        <w:tc>
          <w:tcPr>
            <w:tcW w:w="1258" w:type="pct"/>
            <w:vAlign w:val="center"/>
          </w:tcPr>
          <w:p>
            <w:pPr>
              <w:jc w:val="center"/>
              <w:outlineLvl w:val="2"/>
            </w:pPr>
            <w:r>
              <w:t>热闷池</w:t>
            </w:r>
          </w:p>
        </w:tc>
        <w:tc>
          <w:tcPr>
            <w:tcW w:w="1258" w:type="pct"/>
            <w:vAlign w:val="center"/>
          </w:tcPr>
          <w:p>
            <w:pPr>
              <w:jc w:val="center"/>
              <w:outlineLvl w:val="2"/>
            </w:pPr>
            <w:r>
              <w:t>7.5m×7m×3.2m</w:t>
            </w:r>
          </w:p>
        </w:tc>
        <w:tc>
          <w:tcPr>
            <w:tcW w:w="285" w:type="pct"/>
            <w:vAlign w:val="center"/>
          </w:tcPr>
          <w:p>
            <w:pPr>
              <w:jc w:val="center"/>
            </w:pPr>
            <w:r>
              <w:t>个</w:t>
            </w:r>
          </w:p>
        </w:tc>
        <w:tc>
          <w:tcPr>
            <w:tcW w:w="413" w:type="pct"/>
            <w:vAlign w:val="center"/>
          </w:tcPr>
          <w:p>
            <w:pPr>
              <w:jc w:val="center"/>
              <w:outlineLvl w:val="2"/>
            </w:pPr>
            <w:r>
              <w:t>10</w:t>
            </w:r>
          </w:p>
        </w:tc>
        <w:tc>
          <w:tcPr>
            <w:tcW w:w="424" w:type="pct"/>
            <w:vAlign w:val="center"/>
          </w:tcPr>
          <w:p>
            <w:pPr>
              <w:jc w:val="center"/>
              <w:outlineLvl w:val="2"/>
            </w:pPr>
            <w:r>
              <w:t>10</w:t>
            </w:r>
          </w:p>
        </w:tc>
        <w:tc>
          <w:tcPr>
            <w:tcW w:w="1043" w:type="pct"/>
            <w:vMerge w:val="restart"/>
            <w:vAlign w:val="center"/>
          </w:tcPr>
          <w:p>
            <w:pPr>
              <w:jc w:val="center"/>
            </w:pPr>
            <w:r>
              <w:t>新建8#热焖车间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316" w:type="pct"/>
            <w:vAlign w:val="center"/>
          </w:tcPr>
          <w:p>
            <w:pPr>
              <w:numPr>
                <w:ilvl w:val="0"/>
                <w:numId w:val="1"/>
              </w:numPr>
              <w:jc w:val="center"/>
            </w:pPr>
          </w:p>
        </w:tc>
        <w:tc>
          <w:tcPr>
            <w:tcW w:w="1258" w:type="pct"/>
            <w:vAlign w:val="center"/>
          </w:tcPr>
          <w:p>
            <w:pPr>
              <w:jc w:val="center"/>
              <w:outlineLvl w:val="2"/>
            </w:pPr>
            <w:r>
              <w:t>排气烟囱</w:t>
            </w:r>
          </w:p>
        </w:tc>
        <w:tc>
          <w:tcPr>
            <w:tcW w:w="1258" w:type="pct"/>
            <w:vAlign w:val="center"/>
          </w:tcPr>
          <w:p>
            <w:pPr>
              <w:jc w:val="center"/>
              <w:outlineLvl w:val="2"/>
            </w:pPr>
            <w:r>
              <w:t>Φ=750</w:t>
            </w:r>
          </w:p>
        </w:tc>
        <w:tc>
          <w:tcPr>
            <w:tcW w:w="285" w:type="pct"/>
            <w:vAlign w:val="center"/>
          </w:tcPr>
          <w:p>
            <w:pPr>
              <w:jc w:val="center"/>
            </w:pPr>
            <w:r>
              <w:t>个</w:t>
            </w:r>
          </w:p>
        </w:tc>
        <w:tc>
          <w:tcPr>
            <w:tcW w:w="413" w:type="pct"/>
            <w:vAlign w:val="center"/>
          </w:tcPr>
          <w:p>
            <w:pPr>
              <w:jc w:val="center"/>
              <w:outlineLvl w:val="2"/>
            </w:pPr>
            <w:r>
              <w:t>1</w:t>
            </w:r>
          </w:p>
        </w:tc>
        <w:tc>
          <w:tcPr>
            <w:tcW w:w="424" w:type="pct"/>
            <w:vAlign w:val="center"/>
          </w:tcPr>
          <w:p>
            <w:pPr>
              <w:jc w:val="center"/>
              <w:outlineLvl w:val="2"/>
            </w:pPr>
            <w:r>
              <w:t>1</w:t>
            </w:r>
          </w:p>
        </w:tc>
        <w:tc>
          <w:tcPr>
            <w:tcW w:w="1043" w:type="pct"/>
            <w:vMerge w:val="continue"/>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316" w:type="pct"/>
            <w:vAlign w:val="center"/>
          </w:tcPr>
          <w:p>
            <w:pPr>
              <w:numPr>
                <w:ilvl w:val="0"/>
                <w:numId w:val="1"/>
              </w:numPr>
              <w:jc w:val="center"/>
            </w:pPr>
          </w:p>
        </w:tc>
        <w:tc>
          <w:tcPr>
            <w:tcW w:w="1258" w:type="pct"/>
            <w:vAlign w:val="center"/>
          </w:tcPr>
          <w:p>
            <w:pPr>
              <w:jc w:val="center"/>
              <w:outlineLvl w:val="2"/>
            </w:pPr>
            <w:r>
              <w:t>移动集尘罩</w:t>
            </w:r>
          </w:p>
        </w:tc>
        <w:tc>
          <w:tcPr>
            <w:tcW w:w="1258" w:type="pct"/>
            <w:vAlign w:val="center"/>
          </w:tcPr>
          <w:p>
            <w:pPr>
              <w:jc w:val="center"/>
              <w:outlineLvl w:val="2"/>
            </w:pPr>
            <w:r>
              <w:t>功率：7.5 x2 KW</w:t>
            </w:r>
          </w:p>
        </w:tc>
        <w:tc>
          <w:tcPr>
            <w:tcW w:w="285" w:type="pct"/>
            <w:vAlign w:val="center"/>
          </w:tcPr>
          <w:p>
            <w:pPr>
              <w:jc w:val="center"/>
            </w:pPr>
            <w:r>
              <w:t>个</w:t>
            </w:r>
          </w:p>
        </w:tc>
        <w:tc>
          <w:tcPr>
            <w:tcW w:w="413" w:type="pct"/>
            <w:vAlign w:val="center"/>
          </w:tcPr>
          <w:p>
            <w:pPr>
              <w:jc w:val="center"/>
              <w:outlineLvl w:val="2"/>
            </w:pPr>
            <w:r>
              <w:t>2</w:t>
            </w:r>
          </w:p>
        </w:tc>
        <w:tc>
          <w:tcPr>
            <w:tcW w:w="424" w:type="pct"/>
            <w:vAlign w:val="center"/>
          </w:tcPr>
          <w:p>
            <w:pPr>
              <w:jc w:val="center"/>
              <w:outlineLvl w:val="2"/>
            </w:pPr>
            <w:r>
              <w:t>2</w:t>
            </w:r>
          </w:p>
        </w:tc>
        <w:tc>
          <w:tcPr>
            <w:tcW w:w="1043" w:type="pct"/>
            <w:vMerge w:val="continue"/>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316" w:type="pct"/>
            <w:vAlign w:val="center"/>
          </w:tcPr>
          <w:p>
            <w:pPr>
              <w:numPr>
                <w:ilvl w:val="0"/>
                <w:numId w:val="1"/>
              </w:numPr>
              <w:jc w:val="center"/>
            </w:pPr>
          </w:p>
        </w:tc>
        <w:tc>
          <w:tcPr>
            <w:tcW w:w="1258" w:type="pct"/>
            <w:vAlign w:val="center"/>
          </w:tcPr>
          <w:p>
            <w:pPr>
              <w:jc w:val="center"/>
              <w:outlineLvl w:val="2"/>
            </w:pPr>
            <w:r>
              <w:t>动力波除尘机组</w:t>
            </w:r>
          </w:p>
        </w:tc>
        <w:tc>
          <w:tcPr>
            <w:tcW w:w="1258" w:type="pct"/>
            <w:vAlign w:val="center"/>
          </w:tcPr>
          <w:p>
            <w:pPr>
              <w:jc w:val="center"/>
              <w:outlineLvl w:val="2"/>
            </w:pPr>
            <w:r>
              <w:t>风量为：45万m3</w:t>
            </w:r>
          </w:p>
        </w:tc>
        <w:tc>
          <w:tcPr>
            <w:tcW w:w="285" w:type="pct"/>
            <w:vAlign w:val="center"/>
          </w:tcPr>
          <w:p>
            <w:pPr>
              <w:jc w:val="center"/>
            </w:pPr>
            <w:r>
              <w:t>个</w:t>
            </w:r>
          </w:p>
        </w:tc>
        <w:tc>
          <w:tcPr>
            <w:tcW w:w="413" w:type="pct"/>
            <w:vAlign w:val="center"/>
          </w:tcPr>
          <w:p>
            <w:pPr>
              <w:jc w:val="center"/>
              <w:outlineLvl w:val="2"/>
            </w:pPr>
            <w:r>
              <w:t>1</w:t>
            </w:r>
          </w:p>
        </w:tc>
        <w:tc>
          <w:tcPr>
            <w:tcW w:w="424" w:type="pct"/>
            <w:vAlign w:val="center"/>
          </w:tcPr>
          <w:p>
            <w:pPr>
              <w:jc w:val="center"/>
              <w:outlineLvl w:val="2"/>
            </w:pPr>
            <w:r>
              <w:t>1</w:t>
            </w:r>
          </w:p>
        </w:tc>
        <w:tc>
          <w:tcPr>
            <w:tcW w:w="1043" w:type="pct"/>
            <w:vMerge w:val="continue"/>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316" w:type="pct"/>
            <w:vAlign w:val="center"/>
          </w:tcPr>
          <w:p>
            <w:pPr>
              <w:numPr>
                <w:ilvl w:val="0"/>
                <w:numId w:val="1"/>
              </w:numPr>
              <w:jc w:val="center"/>
            </w:pPr>
          </w:p>
        </w:tc>
        <w:tc>
          <w:tcPr>
            <w:tcW w:w="1258" w:type="pct"/>
            <w:vAlign w:val="center"/>
          </w:tcPr>
          <w:p>
            <w:pPr>
              <w:jc w:val="center"/>
              <w:outlineLvl w:val="2"/>
            </w:pPr>
            <w:r>
              <w:t>增设厂房屋顶罩除尘系统</w:t>
            </w:r>
          </w:p>
        </w:tc>
        <w:tc>
          <w:tcPr>
            <w:tcW w:w="1258" w:type="pct"/>
            <w:vAlign w:val="center"/>
          </w:tcPr>
          <w:p>
            <w:pPr>
              <w:jc w:val="center"/>
              <w:outlineLvl w:val="2"/>
            </w:pPr>
            <w:r>
              <w:t>风量为：30万m3</w:t>
            </w:r>
          </w:p>
        </w:tc>
        <w:tc>
          <w:tcPr>
            <w:tcW w:w="285" w:type="pct"/>
            <w:vAlign w:val="center"/>
          </w:tcPr>
          <w:p>
            <w:pPr>
              <w:jc w:val="center"/>
            </w:pPr>
            <w:r>
              <w:t>个</w:t>
            </w:r>
          </w:p>
        </w:tc>
        <w:tc>
          <w:tcPr>
            <w:tcW w:w="413" w:type="pct"/>
            <w:vAlign w:val="center"/>
          </w:tcPr>
          <w:p>
            <w:pPr>
              <w:jc w:val="center"/>
              <w:outlineLvl w:val="2"/>
            </w:pPr>
            <w:r>
              <w:t>1</w:t>
            </w:r>
          </w:p>
        </w:tc>
        <w:tc>
          <w:tcPr>
            <w:tcW w:w="424" w:type="pct"/>
            <w:vAlign w:val="center"/>
          </w:tcPr>
          <w:p>
            <w:pPr>
              <w:jc w:val="center"/>
              <w:outlineLvl w:val="2"/>
            </w:pPr>
            <w:r>
              <w:t>1</w:t>
            </w:r>
          </w:p>
        </w:tc>
        <w:tc>
          <w:tcPr>
            <w:tcW w:w="1043" w:type="pct"/>
            <w:vMerge w:val="continue"/>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316" w:type="pct"/>
            <w:vAlign w:val="center"/>
          </w:tcPr>
          <w:p>
            <w:pPr>
              <w:numPr>
                <w:ilvl w:val="0"/>
                <w:numId w:val="1"/>
              </w:numPr>
              <w:jc w:val="center"/>
            </w:pPr>
          </w:p>
        </w:tc>
        <w:tc>
          <w:tcPr>
            <w:tcW w:w="1258" w:type="pct"/>
            <w:vAlign w:val="center"/>
          </w:tcPr>
          <w:p>
            <w:pPr>
              <w:jc w:val="center"/>
              <w:outlineLvl w:val="2"/>
            </w:pPr>
            <w:r>
              <w:t>搅拌机</w:t>
            </w:r>
          </w:p>
        </w:tc>
        <w:tc>
          <w:tcPr>
            <w:tcW w:w="1258" w:type="pct"/>
            <w:vAlign w:val="center"/>
          </w:tcPr>
          <w:p>
            <w:pPr>
              <w:jc w:val="center"/>
              <w:outlineLvl w:val="2"/>
            </w:pPr>
            <w:r>
              <w:t>/</w:t>
            </w:r>
          </w:p>
        </w:tc>
        <w:tc>
          <w:tcPr>
            <w:tcW w:w="285" w:type="pct"/>
            <w:vAlign w:val="center"/>
          </w:tcPr>
          <w:p>
            <w:pPr>
              <w:jc w:val="center"/>
            </w:pPr>
            <w:r>
              <w:t>个</w:t>
            </w:r>
          </w:p>
        </w:tc>
        <w:tc>
          <w:tcPr>
            <w:tcW w:w="413" w:type="pct"/>
            <w:vAlign w:val="center"/>
          </w:tcPr>
          <w:p>
            <w:pPr>
              <w:jc w:val="center"/>
              <w:outlineLvl w:val="2"/>
            </w:pPr>
            <w:r>
              <w:t>1</w:t>
            </w:r>
          </w:p>
        </w:tc>
        <w:tc>
          <w:tcPr>
            <w:tcW w:w="424" w:type="pct"/>
            <w:vAlign w:val="center"/>
          </w:tcPr>
          <w:p>
            <w:pPr>
              <w:jc w:val="center"/>
              <w:outlineLvl w:val="2"/>
            </w:pPr>
            <w:r>
              <w:t>1</w:t>
            </w:r>
          </w:p>
        </w:tc>
        <w:tc>
          <w:tcPr>
            <w:tcW w:w="1043" w:type="pct"/>
          </w:tcPr>
          <w:p>
            <w:pPr>
              <w:jc w:val="center"/>
            </w:pPr>
            <w:r>
              <w:t>新建搅拌车间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316" w:type="pct"/>
            <w:vAlign w:val="center"/>
          </w:tcPr>
          <w:p>
            <w:pPr>
              <w:numPr>
                <w:ilvl w:val="0"/>
                <w:numId w:val="1"/>
              </w:numPr>
              <w:jc w:val="center"/>
            </w:pPr>
          </w:p>
        </w:tc>
        <w:tc>
          <w:tcPr>
            <w:tcW w:w="1258" w:type="pct"/>
            <w:vAlign w:val="center"/>
          </w:tcPr>
          <w:p>
            <w:pPr>
              <w:jc w:val="center"/>
              <w:outlineLvl w:val="2"/>
            </w:pPr>
            <w:r>
              <w:t>拨车卷扬机</w:t>
            </w:r>
          </w:p>
        </w:tc>
        <w:tc>
          <w:tcPr>
            <w:tcW w:w="1258" w:type="pct"/>
            <w:vAlign w:val="center"/>
          </w:tcPr>
          <w:p>
            <w:pPr>
              <w:jc w:val="center"/>
              <w:outlineLvl w:val="2"/>
            </w:pPr>
            <w:r>
              <w:t>/</w:t>
            </w:r>
          </w:p>
        </w:tc>
        <w:tc>
          <w:tcPr>
            <w:tcW w:w="285" w:type="pct"/>
            <w:vAlign w:val="center"/>
          </w:tcPr>
          <w:p>
            <w:pPr>
              <w:jc w:val="center"/>
            </w:pPr>
            <w:r>
              <w:t>台</w:t>
            </w:r>
          </w:p>
        </w:tc>
        <w:tc>
          <w:tcPr>
            <w:tcW w:w="413" w:type="pct"/>
            <w:vAlign w:val="center"/>
          </w:tcPr>
          <w:p>
            <w:pPr>
              <w:jc w:val="center"/>
              <w:outlineLvl w:val="2"/>
            </w:pPr>
            <w:r>
              <w:t>9台</w:t>
            </w:r>
          </w:p>
        </w:tc>
        <w:tc>
          <w:tcPr>
            <w:tcW w:w="424" w:type="pct"/>
            <w:vAlign w:val="center"/>
          </w:tcPr>
          <w:p>
            <w:pPr>
              <w:jc w:val="center"/>
              <w:outlineLvl w:val="2"/>
            </w:pPr>
            <w:r>
              <w:t>9台</w:t>
            </w:r>
          </w:p>
        </w:tc>
        <w:tc>
          <w:tcPr>
            <w:tcW w:w="1043" w:type="pct"/>
            <w:vMerge w:val="restart"/>
            <w:vAlign w:val="center"/>
          </w:tcPr>
          <w:p>
            <w:pPr>
              <w:jc w:val="center"/>
            </w:pPr>
            <w:r>
              <w:t>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316" w:type="pct"/>
            <w:vAlign w:val="center"/>
          </w:tcPr>
          <w:p>
            <w:pPr>
              <w:numPr>
                <w:ilvl w:val="0"/>
                <w:numId w:val="1"/>
              </w:numPr>
              <w:jc w:val="center"/>
            </w:pPr>
          </w:p>
        </w:tc>
        <w:tc>
          <w:tcPr>
            <w:tcW w:w="1258" w:type="pct"/>
            <w:vAlign w:val="center"/>
          </w:tcPr>
          <w:p>
            <w:pPr>
              <w:jc w:val="center"/>
              <w:outlineLvl w:val="2"/>
            </w:pPr>
            <w:r>
              <w:t>挖掘机</w:t>
            </w:r>
          </w:p>
        </w:tc>
        <w:tc>
          <w:tcPr>
            <w:tcW w:w="1258" w:type="pct"/>
            <w:vAlign w:val="center"/>
          </w:tcPr>
          <w:p>
            <w:pPr>
              <w:jc w:val="center"/>
              <w:outlineLvl w:val="2"/>
            </w:pPr>
            <w:r>
              <w:t>履带式</w:t>
            </w:r>
          </w:p>
        </w:tc>
        <w:tc>
          <w:tcPr>
            <w:tcW w:w="285" w:type="pct"/>
            <w:vAlign w:val="center"/>
          </w:tcPr>
          <w:p>
            <w:pPr>
              <w:jc w:val="center"/>
            </w:pPr>
            <w:r>
              <w:t>台</w:t>
            </w:r>
          </w:p>
        </w:tc>
        <w:tc>
          <w:tcPr>
            <w:tcW w:w="413" w:type="pct"/>
            <w:vAlign w:val="center"/>
          </w:tcPr>
          <w:p>
            <w:pPr>
              <w:jc w:val="center"/>
              <w:outlineLvl w:val="2"/>
            </w:pPr>
            <w:r>
              <w:t>2台</w:t>
            </w:r>
          </w:p>
        </w:tc>
        <w:tc>
          <w:tcPr>
            <w:tcW w:w="424" w:type="pct"/>
            <w:vAlign w:val="center"/>
          </w:tcPr>
          <w:p>
            <w:pPr>
              <w:jc w:val="center"/>
              <w:outlineLvl w:val="2"/>
            </w:pPr>
            <w:r>
              <w:t>2台</w:t>
            </w:r>
          </w:p>
        </w:tc>
        <w:tc>
          <w:tcPr>
            <w:tcW w:w="1043" w:type="pct"/>
            <w:vMerge w:val="continue"/>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tblHeader/>
          <w:jc w:val="center"/>
        </w:trPr>
        <w:tc>
          <w:tcPr>
            <w:tcW w:w="316" w:type="pct"/>
            <w:vAlign w:val="center"/>
          </w:tcPr>
          <w:p>
            <w:pPr>
              <w:jc w:val="center"/>
            </w:pPr>
            <w:r>
              <w:t>二</w:t>
            </w:r>
          </w:p>
        </w:tc>
        <w:tc>
          <w:tcPr>
            <w:tcW w:w="4683" w:type="pct"/>
            <w:gridSpan w:val="6"/>
            <w:vAlign w:val="center"/>
          </w:tcPr>
          <w:p>
            <w:pPr>
              <w:jc w:val="center"/>
            </w:pPr>
            <w:r>
              <w:t>4#</w:t>
            </w:r>
            <w:r>
              <w:rPr>
                <w:rFonts w:hint="eastAsia"/>
                <w:lang w:eastAsia="zh-CN"/>
              </w:rPr>
              <w:t>、</w:t>
            </w:r>
            <w:r>
              <w:t>5#</w:t>
            </w:r>
            <w:r>
              <w:rPr>
                <w:rFonts w:hint="eastAsia"/>
                <w:lang w:eastAsia="zh-CN"/>
              </w:rPr>
              <w:t>、</w:t>
            </w:r>
            <w:r>
              <w:t>6#线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tblHeader/>
          <w:jc w:val="center"/>
        </w:trPr>
        <w:tc>
          <w:tcPr>
            <w:tcW w:w="316" w:type="pct"/>
            <w:vAlign w:val="center"/>
          </w:tcPr>
          <w:p>
            <w:pPr>
              <w:numPr>
                <w:ilvl w:val="0"/>
                <w:numId w:val="1"/>
              </w:numPr>
              <w:jc w:val="center"/>
            </w:pPr>
          </w:p>
        </w:tc>
        <w:tc>
          <w:tcPr>
            <w:tcW w:w="1258" w:type="pct"/>
            <w:vAlign w:val="center"/>
          </w:tcPr>
          <w:p>
            <w:pPr>
              <w:jc w:val="center"/>
              <w:outlineLvl w:val="2"/>
            </w:pPr>
            <w:r>
              <w:t>移动集尘罩</w:t>
            </w:r>
          </w:p>
        </w:tc>
        <w:tc>
          <w:tcPr>
            <w:tcW w:w="1258" w:type="pct"/>
            <w:vAlign w:val="center"/>
          </w:tcPr>
          <w:p>
            <w:pPr>
              <w:jc w:val="center"/>
              <w:outlineLvl w:val="2"/>
            </w:pPr>
            <w:r>
              <w:t>功率：7.5 x2 KW</w:t>
            </w:r>
          </w:p>
        </w:tc>
        <w:tc>
          <w:tcPr>
            <w:tcW w:w="285" w:type="pct"/>
            <w:vAlign w:val="center"/>
          </w:tcPr>
          <w:p>
            <w:pPr>
              <w:jc w:val="center"/>
            </w:pPr>
            <w:r>
              <w:t>个</w:t>
            </w:r>
          </w:p>
        </w:tc>
        <w:tc>
          <w:tcPr>
            <w:tcW w:w="413" w:type="pct"/>
            <w:vAlign w:val="center"/>
          </w:tcPr>
          <w:p>
            <w:pPr>
              <w:jc w:val="center"/>
              <w:outlineLvl w:val="2"/>
            </w:pPr>
            <w:r>
              <w:t>3</w:t>
            </w:r>
          </w:p>
        </w:tc>
        <w:tc>
          <w:tcPr>
            <w:tcW w:w="424" w:type="pct"/>
            <w:vAlign w:val="center"/>
          </w:tcPr>
          <w:p>
            <w:pPr>
              <w:jc w:val="center"/>
            </w:pPr>
            <w:r>
              <w:t>1</w:t>
            </w:r>
          </w:p>
        </w:tc>
        <w:tc>
          <w:tcPr>
            <w:tcW w:w="1043" w:type="pct"/>
            <w:vMerge w:val="restart"/>
            <w:vAlign w:val="center"/>
          </w:tcPr>
          <w:p>
            <w:pPr>
              <w:jc w:val="center"/>
            </w:pPr>
            <w:r>
              <w:t>改造4#热焖车间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tblHeader/>
          <w:jc w:val="center"/>
        </w:trPr>
        <w:tc>
          <w:tcPr>
            <w:tcW w:w="316" w:type="pct"/>
            <w:vAlign w:val="center"/>
          </w:tcPr>
          <w:p>
            <w:pPr>
              <w:numPr>
                <w:ilvl w:val="0"/>
                <w:numId w:val="1"/>
              </w:numPr>
              <w:jc w:val="center"/>
            </w:pPr>
          </w:p>
        </w:tc>
        <w:tc>
          <w:tcPr>
            <w:tcW w:w="1258" w:type="pct"/>
            <w:vAlign w:val="center"/>
          </w:tcPr>
          <w:p>
            <w:pPr>
              <w:jc w:val="center"/>
              <w:outlineLvl w:val="2"/>
            </w:pPr>
            <w:r>
              <w:t>动力波除尘机组</w:t>
            </w:r>
          </w:p>
        </w:tc>
        <w:tc>
          <w:tcPr>
            <w:tcW w:w="1258" w:type="pct"/>
            <w:vAlign w:val="center"/>
          </w:tcPr>
          <w:p>
            <w:pPr>
              <w:jc w:val="center"/>
              <w:outlineLvl w:val="2"/>
            </w:pPr>
            <w:r>
              <w:t>风量为：45万m3</w:t>
            </w:r>
          </w:p>
        </w:tc>
        <w:tc>
          <w:tcPr>
            <w:tcW w:w="285" w:type="pct"/>
            <w:vAlign w:val="center"/>
          </w:tcPr>
          <w:p>
            <w:pPr>
              <w:jc w:val="center"/>
            </w:pPr>
            <w:r>
              <w:t>个</w:t>
            </w:r>
          </w:p>
        </w:tc>
        <w:tc>
          <w:tcPr>
            <w:tcW w:w="413" w:type="pct"/>
            <w:vAlign w:val="center"/>
          </w:tcPr>
          <w:p>
            <w:pPr>
              <w:jc w:val="center"/>
              <w:outlineLvl w:val="2"/>
            </w:pPr>
            <w:r>
              <w:t>1</w:t>
            </w:r>
          </w:p>
        </w:tc>
        <w:tc>
          <w:tcPr>
            <w:tcW w:w="424" w:type="pct"/>
            <w:vAlign w:val="center"/>
          </w:tcPr>
          <w:p>
            <w:pPr>
              <w:jc w:val="center"/>
            </w:pPr>
            <w:r>
              <w:t>1</w:t>
            </w:r>
          </w:p>
        </w:tc>
        <w:tc>
          <w:tcPr>
            <w:tcW w:w="1043" w:type="pct"/>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tblHeader/>
          <w:jc w:val="center"/>
        </w:trPr>
        <w:tc>
          <w:tcPr>
            <w:tcW w:w="316" w:type="pct"/>
            <w:vAlign w:val="center"/>
          </w:tcPr>
          <w:p>
            <w:pPr>
              <w:numPr>
                <w:ilvl w:val="0"/>
                <w:numId w:val="1"/>
              </w:numPr>
              <w:jc w:val="center"/>
            </w:pPr>
          </w:p>
        </w:tc>
        <w:tc>
          <w:tcPr>
            <w:tcW w:w="1258" w:type="pct"/>
            <w:vAlign w:val="center"/>
          </w:tcPr>
          <w:p>
            <w:pPr>
              <w:jc w:val="center"/>
              <w:outlineLvl w:val="2"/>
            </w:pPr>
            <w:r>
              <w:t>增设厂房屋顶罩除尘系统</w:t>
            </w:r>
          </w:p>
        </w:tc>
        <w:tc>
          <w:tcPr>
            <w:tcW w:w="1258" w:type="pct"/>
            <w:vAlign w:val="center"/>
          </w:tcPr>
          <w:p>
            <w:pPr>
              <w:jc w:val="center"/>
              <w:outlineLvl w:val="2"/>
            </w:pPr>
            <w:r>
              <w:t>风量为：30万m3</w:t>
            </w:r>
          </w:p>
        </w:tc>
        <w:tc>
          <w:tcPr>
            <w:tcW w:w="285" w:type="pct"/>
            <w:vAlign w:val="center"/>
          </w:tcPr>
          <w:p>
            <w:pPr>
              <w:jc w:val="center"/>
            </w:pPr>
            <w:r>
              <w:t>个</w:t>
            </w:r>
          </w:p>
        </w:tc>
        <w:tc>
          <w:tcPr>
            <w:tcW w:w="413" w:type="pct"/>
            <w:vAlign w:val="center"/>
          </w:tcPr>
          <w:p>
            <w:pPr>
              <w:jc w:val="center"/>
              <w:outlineLvl w:val="2"/>
            </w:pPr>
            <w:r>
              <w:t>1</w:t>
            </w:r>
          </w:p>
        </w:tc>
        <w:tc>
          <w:tcPr>
            <w:tcW w:w="424" w:type="pct"/>
            <w:vAlign w:val="center"/>
          </w:tcPr>
          <w:p>
            <w:pPr>
              <w:jc w:val="center"/>
            </w:pPr>
            <w:r>
              <w:t>1</w:t>
            </w:r>
          </w:p>
        </w:tc>
        <w:tc>
          <w:tcPr>
            <w:tcW w:w="1043" w:type="pct"/>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tblHeader/>
          <w:jc w:val="center"/>
        </w:trPr>
        <w:tc>
          <w:tcPr>
            <w:tcW w:w="316" w:type="pct"/>
            <w:vAlign w:val="center"/>
          </w:tcPr>
          <w:p>
            <w:pPr>
              <w:numPr>
                <w:ilvl w:val="0"/>
                <w:numId w:val="1"/>
              </w:numPr>
              <w:jc w:val="center"/>
            </w:pPr>
          </w:p>
        </w:tc>
        <w:tc>
          <w:tcPr>
            <w:tcW w:w="1258" w:type="pct"/>
            <w:vAlign w:val="center"/>
          </w:tcPr>
          <w:p>
            <w:pPr>
              <w:jc w:val="center"/>
              <w:outlineLvl w:val="2"/>
            </w:pPr>
            <w:r>
              <w:t>移动集尘罩</w:t>
            </w:r>
          </w:p>
        </w:tc>
        <w:tc>
          <w:tcPr>
            <w:tcW w:w="1258" w:type="pct"/>
            <w:vAlign w:val="center"/>
          </w:tcPr>
          <w:p>
            <w:pPr>
              <w:jc w:val="center"/>
              <w:outlineLvl w:val="2"/>
            </w:pPr>
            <w:r>
              <w:t>功率：7.5 x2 KW</w:t>
            </w:r>
          </w:p>
        </w:tc>
        <w:tc>
          <w:tcPr>
            <w:tcW w:w="285" w:type="pct"/>
            <w:vAlign w:val="center"/>
          </w:tcPr>
          <w:p>
            <w:pPr>
              <w:jc w:val="center"/>
            </w:pPr>
            <w:r>
              <w:t>个</w:t>
            </w:r>
          </w:p>
        </w:tc>
        <w:tc>
          <w:tcPr>
            <w:tcW w:w="413" w:type="pct"/>
            <w:vAlign w:val="center"/>
          </w:tcPr>
          <w:p>
            <w:pPr>
              <w:jc w:val="center"/>
              <w:outlineLvl w:val="2"/>
            </w:pPr>
            <w:r>
              <w:t>3</w:t>
            </w:r>
          </w:p>
        </w:tc>
        <w:tc>
          <w:tcPr>
            <w:tcW w:w="424" w:type="pct"/>
            <w:vAlign w:val="center"/>
          </w:tcPr>
          <w:p>
            <w:pPr>
              <w:jc w:val="center"/>
            </w:pPr>
            <w:r>
              <w:t>6</w:t>
            </w:r>
          </w:p>
        </w:tc>
        <w:tc>
          <w:tcPr>
            <w:tcW w:w="1043" w:type="pct"/>
            <w:vMerge w:val="restart"/>
            <w:vAlign w:val="center"/>
          </w:tcPr>
          <w:p>
            <w:pPr>
              <w:jc w:val="center"/>
            </w:pPr>
            <w:r>
              <w:t>改造5#、6#热焖车间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tblHeader/>
          <w:jc w:val="center"/>
        </w:trPr>
        <w:tc>
          <w:tcPr>
            <w:tcW w:w="316" w:type="pct"/>
            <w:vAlign w:val="center"/>
          </w:tcPr>
          <w:p>
            <w:pPr>
              <w:numPr>
                <w:ilvl w:val="0"/>
                <w:numId w:val="1"/>
              </w:numPr>
              <w:jc w:val="center"/>
            </w:pPr>
          </w:p>
        </w:tc>
        <w:tc>
          <w:tcPr>
            <w:tcW w:w="1258" w:type="pct"/>
            <w:vAlign w:val="center"/>
          </w:tcPr>
          <w:p>
            <w:pPr>
              <w:jc w:val="center"/>
              <w:outlineLvl w:val="2"/>
            </w:pPr>
            <w:r>
              <w:t>动力波除尘机组</w:t>
            </w:r>
          </w:p>
        </w:tc>
        <w:tc>
          <w:tcPr>
            <w:tcW w:w="1258" w:type="pct"/>
            <w:vAlign w:val="center"/>
          </w:tcPr>
          <w:p>
            <w:pPr>
              <w:jc w:val="center"/>
              <w:outlineLvl w:val="2"/>
            </w:pPr>
            <w:r>
              <w:t>风量为：45万m3</w:t>
            </w:r>
          </w:p>
        </w:tc>
        <w:tc>
          <w:tcPr>
            <w:tcW w:w="285" w:type="pct"/>
            <w:vAlign w:val="center"/>
          </w:tcPr>
          <w:p>
            <w:pPr>
              <w:jc w:val="center"/>
            </w:pPr>
            <w:r>
              <w:t>个</w:t>
            </w:r>
          </w:p>
        </w:tc>
        <w:tc>
          <w:tcPr>
            <w:tcW w:w="413" w:type="pct"/>
            <w:vAlign w:val="center"/>
          </w:tcPr>
          <w:p>
            <w:pPr>
              <w:jc w:val="center"/>
              <w:outlineLvl w:val="2"/>
            </w:pPr>
            <w:r>
              <w:t>2</w:t>
            </w:r>
          </w:p>
        </w:tc>
        <w:tc>
          <w:tcPr>
            <w:tcW w:w="424" w:type="pct"/>
            <w:vAlign w:val="center"/>
          </w:tcPr>
          <w:p>
            <w:pPr>
              <w:jc w:val="center"/>
            </w:pPr>
            <w:r>
              <w:t>1</w:t>
            </w:r>
          </w:p>
        </w:tc>
        <w:tc>
          <w:tcPr>
            <w:tcW w:w="1043" w:type="pct"/>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tblHeader/>
          <w:jc w:val="center"/>
        </w:trPr>
        <w:tc>
          <w:tcPr>
            <w:tcW w:w="316" w:type="pct"/>
            <w:vAlign w:val="center"/>
          </w:tcPr>
          <w:p>
            <w:pPr>
              <w:numPr>
                <w:ilvl w:val="0"/>
                <w:numId w:val="1"/>
              </w:numPr>
              <w:jc w:val="center"/>
            </w:pPr>
          </w:p>
        </w:tc>
        <w:tc>
          <w:tcPr>
            <w:tcW w:w="1258" w:type="pct"/>
            <w:vAlign w:val="center"/>
          </w:tcPr>
          <w:p>
            <w:pPr>
              <w:jc w:val="center"/>
              <w:outlineLvl w:val="2"/>
            </w:pPr>
            <w:r>
              <w:t>增设厂房屋顶罩除尘系统</w:t>
            </w:r>
          </w:p>
        </w:tc>
        <w:tc>
          <w:tcPr>
            <w:tcW w:w="1258" w:type="pct"/>
            <w:vAlign w:val="center"/>
          </w:tcPr>
          <w:p>
            <w:pPr>
              <w:jc w:val="center"/>
              <w:outlineLvl w:val="2"/>
            </w:pPr>
            <w:r>
              <w:t>风量为：30万m3</w:t>
            </w:r>
          </w:p>
        </w:tc>
        <w:tc>
          <w:tcPr>
            <w:tcW w:w="285" w:type="pct"/>
            <w:vAlign w:val="center"/>
          </w:tcPr>
          <w:p>
            <w:pPr>
              <w:jc w:val="center"/>
            </w:pPr>
            <w:r>
              <w:t>个</w:t>
            </w:r>
          </w:p>
        </w:tc>
        <w:tc>
          <w:tcPr>
            <w:tcW w:w="413" w:type="pct"/>
            <w:vAlign w:val="center"/>
          </w:tcPr>
          <w:p>
            <w:pPr>
              <w:jc w:val="center"/>
              <w:outlineLvl w:val="2"/>
            </w:pPr>
            <w:r>
              <w:t>1</w:t>
            </w:r>
          </w:p>
        </w:tc>
        <w:tc>
          <w:tcPr>
            <w:tcW w:w="424" w:type="pct"/>
            <w:vAlign w:val="center"/>
          </w:tcPr>
          <w:p>
            <w:pPr>
              <w:jc w:val="center"/>
            </w:pPr>
            <w:r>
              <w:t>1</w:t>
            </w:r>
          </w:p>
        </w:tc>
        <w:tc>
          <w:tcPr>
            <w:tcW w:w="1043" w:type="pct"/>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tblHeader/>
          <w:jc w:val="center"/>
        </w:trPr>
        <w:tc>
          <w:tcPr>
            <w:tcW w:w="316" w:type="pct"/>
            <w:vAlign w:val="center"/>
          </w:tcPr>
          <w:p>
            <w:pPr>
              <w:numPr>
                <w:ilvl w:val="0"/>
                <w:numId w:val="1"/>
              </w:numPr>
              <w:jc w:val="center"/>
            </w:pPr>
          </w:p>
        </w:tc>
        <w:tc>
          <w:tcPr>
            <w:tcW w:w="1258" w:type="pct"/>
            <w:vAlign w:val="center"/>
          </w:tcPr>
          <w:p>
            <w:pPr>
              <w:jc w:val="center"/>
              <w:outlineLvl w:val="2"/>
            </w:pPr>
            <w:r>
              <w:t>搅拌机</w:t>
            </w:r>
          </w:p>
        </w:tc>
        <w:tc>
          <w:tcPr>
            <w:tcW w:w="1258" w:type="pct"/>
            <w:vAlign w:val="center"/>
          </w:tcPr>
          <w:p>
            <w:pPr>
              <w:jc w:val="center"/>
              <w:outlineLvl w:val="2"/>
            </w:pPr>
            <w:r>
              <w:t>/</w:t>
            </w:r>
          </w:p>
        </w:tc>
        <w:tc>
          <w:tcPr>
            <w:tcW w:w="285" w:type="pct"/>
            <w:vAlign w:val="center"/>
          </w:tcPr>
          <w:p>
            <w:pPr>
              <w:jc w:val="center"/>
            </w:pPr>
            <w:r>
              <w:t>个</w:t>
            </w:r>
          </w:p>
        </w:tc>
        <w:tc>
          <w:tcPr>
            <w:tcW w:w="413" w:type="pct"/>
            <w:vAlign w:val="center"/>
          </w:tcPr>
          <w:p>
            <w:pPr>
              <w:jc w:val="center"/>
              <w:outlineLvl w:val="2"/>
            </w:pPr>
            <w:r>
              <w:t>1</w:t>
            </w:r>
          </w:p>
        </w:tc>
        <w:tc>
          <w:tcPr>
            <w:tcW w:w="424" w:type="pct"/>
            <w:vAlign w:val="center"/>
          </w:tcPr>
          <w:p>
            <w:pPr>
              <w:jc w:val="center"/>
            </w:pPr>
            <w:r>
              <w:t>1</w:t>
            </w:r>
          </w:p>
        </w:tc>
        <w:tc>
          <w:tcPr>
            <w:tcW w:w="1043" w:type="pct"/>
            <w:vAlign w:val="center"/>
          </w:tcPr>
          <w:p>
            <w:pPr>
              <w:jc w:val="center"/>
            </w:pPr>
            <w:r>
              <w:t>新建搅拌车间</w:t>
            </w:r>
          </w:p>
        </w:tc>
      </w:tr>
    </w:tbl>
    <w:p>
      <w:pPr>
        <w:numPr>
          <w:ilvl w:val="0"/>
          <w:numId w:val="0"/>
        </w:numPr>
        <w:spacing w:line="480" w:lineRule="exact"/>
        <w:ind w:firstLine="420" w:firstLineChars="200"/>
        <w:jc w:val="center"/>
        <w:rPr>
          <w:rFonts w:hint="eastAsia"/>
          <w:lang w:eastAsia="zh-CN"/>
        </w:rPr>
      </w:pPr>
      <w:r>
        <w:rPr>
          <w:rFonts w:hint="eastAsia"/>
          <w:lang w:val="en-US" w:eastAsia="zh-CN"/>
        </w:rPr>
        <w:t xml:space="preserve">表4  </w:t>
      </w:r>
      <w:r>
        <w:rPr>
          <w:rFonts w:hint="eastAsia"/>
          <w:lang w:eastAsia="zh-CN"/>
        </w:rPr>
        <w:t>依托工程钢渣分离处理线工艺设备及参数</w:t>
      </w:r>
    </w:p>
    <w:tbl>
      <w:tblPr>
        <w:tblStyle w:val="10"/>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9"/>
        <w:gridCol w:w="3304"/>
        <w:gridCol w:w="50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5" w:type="pct"/>
          </w:tcPr>
          <w:p>
            <w:pPr>
              <w:pStyle w:val="2"/>
              <w:rPr>
                <w:rFonts w:hint="default" w:ascii="Times New Roman" w:hAnsi="Times New Roman" w:cs="Times New Roman"/>
                <w:sz w:val="21"/>
                <w:szCs w:val="21"/>
                <w:lang w:eastAsia="zh-CN"/>
              </w:rPr>
            </w:pPr>
            <w:r>
              <w:rPr>
                <w:rFonts w:hint="default" w:ascii="Times New Roman" w:hAnsi="Times New Roman" w:cs="Times New Roman"/>
                <w:sz w:val="21"/>
                <w:szCs w:val="21"/>
                <w:lang w:val="en-US" w:eastAsia="zh-CN"/>
              </w:rPr>
              <w:t>序号</w:t>
            </w:r>
          </w:p>
        </w:tc>
        <w:tc>
          <w:tcPr>
            <w:tcW w:w="1778" w:type="pct"/>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rPr>
              <w:t>设 备 名 称</w:t>
            </w:r>
          </w:p>
        </w:tc>
        <w:tc>
          <w:tcPr>
            <w:tcW w:w="2725" w:type="pct"/>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rPr>
              <w:t>规格型号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495" w:type="pct"/>
          </w:tcPr>
          <w:p>
            <w:pPr>
              <w:jc w:val="center"/>
              <w:rPr>
                <w:rFonts w:hint="default" w:ascii="Times New Roman" w:hAnsi="Times New Roman" w:eastAsiaTheme="minorEastAsia"/>
                <w:color w:val="000000"/>
                <w:szCs w:val="21"/>
                <w:lang w:val="en-US" w:eastAsia="zh-CN"/>
              </w:rPr>
            </w:pPr>
            <w:r>
              <w:rPr>
                <w:rFonts w:hint="default" w:ascii="Times New Roman" w:hAnsi="Times New Roman" w:eastAsiaTheme="minorEastAsia"/>
                <w:color w:val="000000"/>
                <w:szCs w:val="21"/>
                <w:lang w:val="en-US" w:eastAsia="zh-CN"/>
              </w:rPr>
              <w:t>1</w:t>
            </w:r>
          </w:p>
        </w:tc>
        <w:tc>
          <w:tcPr>
            <w:tcW w:w="1778" w:type="pct"/>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rPr>
              <w:t>200×200</w:t>
            </w:r>
            <w:r>
              <w:rPr>
                <w:rFonts w:hint="default" w:ascii="Times New Roman" w:hAnsi="Times New Roman" w:cs="Times New Roman"/>
                <w:sz w:val="21"/>
                <w:szCs w:val="21"/>
                <w:lang w:val="en-US" w:eastAsia="zh-CN"/>
              </w:rPr>
              <w:t>mm</w:t>
            </w:r>
            <w:r>
              <w:rPr>
                <w:rFonts w:hint="default" w:ascii="Times New Roman" w:hAnsi="Times New Roman" w:cs="Times New Roman"/>
                <w:sz w:val="21"/>
                <w:szCs w:val="21"/>
              </w:rPr>
              <w:t>人字格筛</w:t>
            </w:r>
          </w:p>
        </w:tc>
        <w:tc>
          <w:tcPr>
            <w:tcW w:w="2725" w:type="pct"/>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rPr>
              <w:t>外形尺寸：4040×3740×3024mm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495" w:type="pct"/>
          </w:tcPr>
          <w:p>
            <w:pPr>
              <w:jc w:val="center"/>
              <w:rPr>
                <w:rFonts w:hint="default" w:ascii="Times New Roman" w:hAnsi="Times New Roman" w:eastAsiaTheme="minorEastAsia"/>
                <w:color w:val="000000"/>
                <w:szCs w:val="21"/>
                <w:lang w:val="en-US" w:eastAsia="zh-CN"/>
              </w:rPr>
            </w:pPr>
            <w:r>
              <w:rPr>
                <w:rFonts w:hint="default" w:ascii="Times New Roman" w:hAnsi="Times New Roman" w:eastAsiaTheme="minorEastAsia"/>
                <w:color w:val="000000"/>
                <w:szCs w:val="21"/>
                <w:lang w:val="en-US" w:eastAsia="zh-CN"/>
              </w:rPr>
              <w:t>2</w:t>
            </w:r>
          </w:p>
        </w:tc>
        <w:tc>
          <w:tcPr>
            <w:tcW w:w="1778" w:type="pct"/>
          </w:tcPr>
          <w:p>
            <w:pPr>
              <w:pStyle w:val="2"/>
              <w:keepNext w:val="0"/>
              <w:keepLines w:val="0"/>
              <w:pageBreakBefore w:val="0"/>
              <w:widowControl w:val="0"/>
              <w:kinsoku/>
              <w:wordWrap/>
              <w:overflowPunct/>
              <w:topLinePunct w:val="0"/>
              <w:bidi w:val="0"/>
              <w:adjustRightInd w:val="0"/>
              <w:snapToGrid/>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拌料间料仓</w:t>
            </w:r>
          </w:p>
        </w:tc>
        <w:tc>
          <w:tcPr>
            <w:tcW w:w="2725" w:type="pct"/>
          </w:tcPr>
          <w:p>
            <w:pPr>
              <w:pStyle w:val="2"/>
              <w:jc w:val="center"/>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kern w:val="2"/>
                <w:sz w:val="21"/>
                <w:szCs w:val="21"/>
                <w:lang w:val="en-US" w:eastAsia="zh-CN" w:bidi="ar-SA"/>
              </w:rPr>
              <w:t>进料口尺寸：3200×3500mm</w:t>
            </w:r>
          </w:p>
          <w:p>
            <w:pPr>
              <w:pStyle w:val="2"/>
              <w:jc w:val="center"/>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kern w:val="2"/>
                <w:sz w:val="21"/>
                <w:szCs w:val="21"/>
                <w:lang w:val="en-US" w:eastAsia="zh-CN" w:bidi="ar-SA"/>
              </w:rPr>
              <w:t>下料口尺寸：700×500mm</w:t>
            </w:r>
          </w:p>
          <w:p>
            <w:pPr>
              <w:pStyle w:val="2"/>
              <w:jc w:val="center"/>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kern w:val="2"/>
                <w:sz w:val="21"/>
                <w:szCs w:val="21"/>
                <w:lang w:val="en-US" w:eastAsia="zh-CN" w:bidi="ar-SA"/>
              </w:rPr>
              <w:t>垂直高度：1600 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5" w:type="pct"/>
          </w:tcPr>
          <w:p>
            <w:pPr>
              <w:jc w:val="center"/>
              <w:rPr>
                <w:rFonts w:hint="default" w:ascii="Times New Roman" w:hAnsi="Times New Roman" w:eastAsiaTheme="minorEastAsia"/>
                <w:color w:val="000000"/>
                <w:szCs w:val="21"/>
                <w:lang w:val="en-US" w:eastAsia="zh-CN"/>
              </w:rPr>
            </w:pPr>
            <w:r>
              <w:rPr>
                <w:rFonts w:hint="default" w:ascii="Times New Roman" w:hAnsi="Times New Roman" w:eastAsiaTheme="minorEastAsia"/>
                <w:color w:val="000000"/>
                <w:szCs w:val="21"/>
                <w:lang w:val="en-US" w:eastAsia="zh-CN"/>
              </w:rPr>
              <w:t>3</w:t>
            </w:r>
          </w:p>
        </w:tc>
        <w:tc>
          <w:tcPr>
            <w:tcW w:w="1778" w:type="pct"/>
          </w:tcPr>
          <w:p>
            <w:pPr>
              <w:pStyle w:val="2"/>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拌料间振动给料机</w:t>
            </w:r>
          </w:p>
        </w:tc>
        <w:tc>
          <w:tcPr>
            <w:tcW w:w="2725" w:type="pct"/>
          </w:tcPr>
          <w:p>
            <w:pPr>
              <w:pStyle w:val="2"/>
              <w:jc w:val="center"/>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kern w:val="2"/>
                <w:sz w:val="21"/>
                <w:szCs w:val="21"/>
                <w:lang w:val="en-US" w:eastAsia="zh-CN" w:bidi="ar-SA"/>
              </w:rPr>
              <w:t>处理量：150</w:t>
            </w:r>
            <w:r>
              <w:rPr>
                <w:rFonts w:hint="eastAsia" w:ascii="Times New Roman" w:hAnsi="Times New Roman" w:cs="Times New Roman" w:eastAsiaTheme="minorEastAsia"/>
                <w:color w:val="000000"/>
                <w:kern w:val="2"/>
                <w:sz w:val="21"/>
                <w:szCs w:val="21"/>
                <w:lang w:val="en-US" w:eastAsia="zh-CN" w:bidi="ar-SA"/>
              </w:rPr>
              <w:t xml:space="preserve"> t</w:t>
            </w:r>
            <w:r>
              <w:rPr>
                <w:rFonts w:hint="default" w:ascii="Times New Roman" w:hAnsi="Times New Roman" w:cs="Times New Roman" w:eastAsiaTheme="minorEastAsia"/>
                <w:color w:val="000000"/>
                <w:kern w:val="2"/>
                <w:sz w:val="21"/>
                <w:szCs w:val="21"/>
                <w:lang w:val="en-US" w:eastAsia="zh-CN" w:bidi="ar-SA"/>
              </w:rPr>
              <w:t>/</w:t>
            </w:r>
            <w:r>
              <w:rPr>
                <w:rFonts w:hint="eastAsia" w:ascii="Times New Roman" w:hAnsi="Times New Roman" w:cs="Times New Roman" w:eastAsiaTheme="minorEastAsia"/>
                <w:color w:val="000000"/>
                <w:kern w:val="2"/>
                <w:sz w:val="21"/>
                <w:szCs w:val="21"/>
                <w:lang w:val="en-US" w:eastAsia="zh-CN" w:bidi="ar-SA"/>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5" w:type="pct"/>
          </w:tcPr>
          <w:p>
            <w:pPr>
              <w:jc w:val="center"/>
              <w:rPr>
                <w:rFonts w:hint="default" w:ascii="Times New Roman" w:hAnsi="Times New Roman" w:eastAsiaTheme="minorEastAsia"/>
                <w:color w:val="000000"/>
                <w:szCs w:val="21"/>
                <w:lang w:val="en-US" w:eastAsia="zh-CN"/>
              </w:rPr>
            </w:pPr>
            <w:r>
              <w:rPr>
                <w:rFonts w:hint="default" w:ascii="Times New Roman" w:hAnsi="Times New Roman" w:eastAsiaTheme="minorEastAsia"/>
                <w:color w:val="000000"/>
                <w:szCs w:val="21"/>
                <w:lang w:val="en-US" w:eastAsia="zh-CN"/>
              </w:rPr>
              <w:t>4</w:t>
            </w:r>
          </w:p>
        </w:tc>
        <w:tc>
          <w:tcPr>
            <w:tcW w:w="1778" w:type="pct"/>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1#、2#皮带</w:t>
            </w:r>
          </w:p>
        </w:tc>
        <w:tc>
          <w:tcPr>
            <w:tcW w:w="2725" w:type="pct"/>
          </w:tcPr>
          <w:p>
            <w:pPr>
              <w:jc w:val="center"/>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kern w:val="2"/>
                <w:sz w:val="21"/>
                <w:szCs w:val="21"/>
                <w:lang w:val="en-US" w:eastAsia="zh-CN" w:bidi="ar-SA"/>
              </w:rPr>
              <w:t>输送量：125</w:t>
            </w:r>
            <w:r>
              <w:rPr>
                <w:rFonts w:hint="eastAsia" w:ascii="Times New Roman" w:hAnsi="Times New Roman" w:cs="Times New Roman" w:eastAsiaTheme="minorEastAsia"/>
                <w:color w:val="000000"/>
                <w:kern w:val="2"/>
                <w:sz w:val="21"/>
                <w:szCs w:val="21"/>
                <w:lang w:val="en-US" w:eastAsia="zh-CN" w:bidi="ar-SA"/>
              </w:rPr>
              <w:t xml:space="preserve"> t</w:t>
            </w:r>
            <w:r>
              <w:rPr>
                <w:rFonts w:hint="default" w:ascii="Times New Roman" w:hAnsi="Times New Roman" w:cs="Times New Roman" w:eastAsiaTheme="minorEastAsia"/>
                <w:color w:val="000000"/>
                <w:kern w:val="2"/>
                <w:sz w:val="21"/>
                <w:szCs w:val="21"/>
                <w:lang w:val="en-US" w:eastAsia="zh-CN" w:bidi="ar-SA"/>
              </w:rPr>
              <w:t>/</w:t>
            </w:r>
            <w:r>
              <w:rPr>
                <w:rFonts w:hint="eastAsia" w:ascii="Times New Roman" w:hAnsi="Times New Roman" w:cs="Times New Roman" w:eastAsiaTheme="minorEastAsia"/>
                <w:color w:val="000000"/>
                <w:kern w:val="2"/>
                <w:sz w:val="21"/>
                <w:szCs w:val="21"/>
                <w:lang w:val="en-US" w:eastAsia="zh-CN" w:bidi="ar-SA"/>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5" w:type="pct"/>
          </w:tcPr>
          <w:p>
            <w:pPr>
              <w:jc w:val="center"/>
              <w:rPr>
                <w:rFonts w:hint="default" w:ascii="Times New Roman" w:hAnsi="Times New Roman" w:eastAsiaTheme="minorEastAsia"/>
                <w:color w:val="000000"/>
                <w:szCs w:val="21"/>
                <w:lang w:val="en-US" w:eastAsia="zh-CN"/>
              </w:rPr>
            </w:pPr>
            <w:r>
              <w:rPr>
                <w:rFonts w:hint="default" w:ascii="Times New Roman" w:hAnsi="Times New Roman" w:eastAsiaTheme="minorEastAsia"/>
                <w:color w:val="000000"/>
                <w:szCs w:val="21"/>
                <w:lang w:val="en-US" w:eastAsia="zh-CN"/>
              </w:rPr>
              <w:t>5</w:t>
            </w:r>
          </w:p>
        </w:tc>
        <w:tc>
          <w:tcPr>
            <w:tcW w:w="1778" w:type="pct"/>
          </w:tcPr>
          <w:p>
            <w:pPr>
              <w:pStyle w:val="2"/>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筛分楼料仓</w:t>
            </w:r>
          </w:p>
        </w:tc>
        <w:tc>
          <w:tcPr>
            <w:tcW w:w="2725" w:type="pct"/>
          </w:tcPr>
          <w:p>
            <w:pPr>
              <w:pStyle w:val="2"/>
              <w:jc w:val="center"/>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kern w:val="2"/>
                <w:sz w:val="21"/>
                <w:szCs w:val="21"/>
                <w:lang w:val="en-US" w:eastAsia="zh-CN" w:bidi="ar-SA"/>
              </w:rPr>
              <w:t>进料口尺寸：2900×1600mm</w:t>
            </w:r>
          </w:p>
          <w:p>
            <w:pPr>
              <w:pStyle w:val="2"/>
              <w:jc w:val="center"/>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kern w:val="2"/>
                <w:sz w:val="21"/>
                <w:szCs w:val="21"/>
                <w:lang w:val="en-US" w:eastAsia="zh-CN" w:bidi="ar-SA"/>
              </w:rPr>
              <w:t>下料口尺寸：1200×600mm</w:t>
            </w:r>
          </w:p>
          <w:p>
            <w:pPr>
              <w:pStyle w:val="2"/>
              <w:jc w:val="center"/>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kern w:val="2"/>
                <w:sz w:val="21"/>
                <w:szCs w:val="21"/>
                <w:lang w:val="en-US" w:eastAsia="zh-CN" w:bidi="ar-SA"/>
              </w:rPr>
              <w:t>垂直高度：1000 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5" w:type="pct"/>
          </w:tcPr>
          <w:p>
            <w:pPr>
              <w:jc w:val="center"/>
              <w:rPr>
                <w:rFonts w:hint="default" w:ascii="Times New Roman" w:hAnsi="Times New Roman" w:eastAsiaTheme="minorEastAsia"/>
                <w:color w:val="000000"/>
                <w:szCs w:val="21"/>
                <w:lang w:val="en-US" w:eastAsia="zh-CN"/>
              </w:rPr>
            </w:pPr>
            <w:r>
              <w:rPr>
                <w:rFonts w:hint="default" w:ascii="Times New Roman" w:hAnsi="Times New Roman" w:eastAsiaTheme="minorEastAsia"/>
                <w:color w:val="000000"/>
                <w:szCs w:val="21"/>
                <w:lang w:val="en-US" w:eastAsia="zh-CN"/>
              </w:rPr>
              <w:t>6</w:t>
            </w:r>
          </w:p>
        </w:tc>
        <w:tc>
          <w:tcPr>
            <w:tcW w:w="1778" w:type="pct"/>
          </w:tcPr>
          <w:p>
            <w:pPr>
              <w:pStyle w:val="2"/>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振动筛</w:t>
            </w:r>
          </w:p>
        </w:tc>
        <w:tc>
          <w:tcPr>
            <w:tcW w:w="2725" w:type="pct"/>
          </w:tcPr>
          <w:p>
            <w:pPr>
              <w:pStyle w:val="2"/>
              <w:jc w:val="center"/>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kern w:val="2"/>
                <w:sz w:val="21"/>
                <w:szCs w:val="21"/>
                <w:lang w:val="en-US" w:eastAsia="zh-CN" w:bidi="ar-SA"/>
              </w:rPr>
              <w:t>处理量：125</w:t>
            </w:r>
            <w:r>
              <w:rPr>
                <w:rFonts w:hint="eastAsia" w:ascii="Times New Roman" w:hAnsi="Times New Roman" w:cs="Times New Roman" w:eastAsiaTheme="minorEastAsia"/>
                <w:color w:val="000000"/>
                <w:kern w:val="2"/>
                <w:sz w:val="21"/>
                <w:szCs w:val="21"/>
                <w:lang w:val="en-US" w:eastAsia="zh-CN" w:bidi="ar-SA"/>
              </w:rPr>
              <w:t xml:space="preserve"> t</w:t>
            </w:r>
            <w:r>
              <w:rPr>
                <w:rFonts w:hint="default" w:ascii="Times New Roman" w:hAnsi="Times New Roman" w:cs="Times New Roman" w:eastAsiaTheme="minorEastAsia"/>
                <w:color w:val="000000"/>
                <w:kern w:val="2"/>
                <w:sz w:val="21"/>
                <w:szCs w:val="21"/>
                <w:lang w:val="en-US" w:eastAsia="zh-CN" w:bidi="ar-SA"/>
              </w:rPr>
              <w:t>/</w:t>
            </w:r>
            <w:r>
              <w:rPr>
                <w:rFonts w:hint="eastAsia" w:ascii="Times New Roman" w:hAnsi="Times New Roman" w:cs="Times New Roman" w:eastAsiaTheme="minorEastAsia"/>
                <w:color w:val="000000"/>
                <w:kern w:val="2"/>
                <w:sz w:val="21"/>
                <w:szCs w:val="21"/>
                <w:lang w:val="en-US" w:eastAsia="zh-CN" w:bidi="ar-SA"/>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5" w:type="pct"/>
          </w:tcPr>
          <w:p>
            <w:pPr>
              <w:jc w:val="center"/>
              <w:rPr>
                <w:rFonts w:hint="default" w:ascii="Times New Roman" w:hAnsi="Times New Roman" w:eastAsiaTheme="minorEastAsia"/>
                <w:color w:val="000000"/>
                <w:szCs w:val="21"/>
                <w:lang w:val="en-US" w:eastAsia="zh-CN"/>
              </w:rPr>
            </w:pPr>
            <w:r>
              <w:rPr>
                <w:rFonts w:hint="default" w:ascii="Times New Roman" w:hAnsi="Times New Roman" w:eastAsiaTheme="minorEastAsia"/>
                <w:color w:val="000000"/>
                <w:szCs w:val="21"/>
                <w:lang w:val="en-US" w:eastAsia="zh-CN"/>
              </w:rPr>
              <w:t>7</w:t>
            </w:r>
          </w:p>
        </w:tc>
        <w:tc>
          <w:tcPr>
            <w:tcW w:w="1778" w:type="pct"/>
          </w:tcPr>
          <w:p>
            <w:pPr>
              <w:pStyle w:val="2"/>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3#皮带</w:t>
            </w:r>
          </w:p>
        </w:tc>
        <w:tc>
          <w:tcPr>
            <w:tcW w:w="2725" w:type="pct"/>
          </w:tcPr>
          <w:p>
            <w:pPr>
              <w:pStyle w:val="2"/>
              <w:jc w:val="center"/>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kern w:val="2"/>
                <w:sz w:val="21"/>
                <w:szCs w:val="21"/>
                <w:lang w:val="en-US" w:eastAsia="zh-CN" w:bidi="ar-SA"/>
              </w:rPr>
              <w:t>输送量：100</w:t>
            </w:r>
            <w:r>
              <w:rPr>
                <w:rFonts w:hint="eastAsia" w:ascii="Times New Roman" w:hAnsi="Times New Roman" w:cs="Times New Roman" w:eastAsiaTheme="minorEastAsia"/>
                <w:color w:val="000000"/>
                <w:kern w:val="2"/>
                <w:sz w:val="21"/>
                <w:szCs w:val="21"/>
                <w:lang w:val="en-US" w:eastAsia="zh-CN" w:bidi="ar-SA"/>
              </w:rPr>
              <w:t xml:space="preserve"> t</w:t>
            </w:r>
            <w:r>
              <w:rPr>
                <w:rFonts w:hint="default" w:ascii="Times New Roman" w:hAnsi="Times New Roman" w:cs="Times New Roman" w:eastAsiaTheme="minorEastAsia"/>
                <w:color w:val="000000"/>
                <w:kern w:val="2"/>
                <w:sz w:val="21"/>
                <w:szCs w:val="21"/>
                <w:lang w:val="en-US" w:eastAsia="zh-CN" w:bidi="ar-SA"/>
              </w:rPr>
              <w:t>/</w:t>
            </w:r>
            <w:r>
              <w:rPr>
                <w:rFonts w:hint="eastAsia" w:ascii="Times New Roman" w:hAnsi="Times New Roman" w:cs="Times New Roman" w:eastAsiaTheme="minorEastAsia"/>
                <w:color w:val="000000"/>
                <w:kern w:val="2"/>
                <w:sz w:val="21"/>
                <w:szCs w:val="21"/>
                <w:lang w:val="en-US" w:eastAsia="zh-CN" w:bidi="ar-SA"/>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5" w:type="pct"/>
          </w:tcPr>
          <w:p>
            <w:pPr>
              <w:jc w:val="center"/>
              <w:rPr>
                <w:rFonts w:hint="default" w:ascii="Times New Roman" w:hAnsi="Times New Roman" w:eastAsiaTheme="minorEastAsia"/>
                <w:color w:val="000000"/>
                <w:szCs w:val="21"/>
                <w:lang w:val="en-US" w:eastAsia="zh-CN"/>
              </w:rPr>
            </w:pPr>
            <w:r>
              <w:rPr>
                <w:rFonts w:hint="default" w:ascii="Times New Roman" w:hAnsi="Times New Roman" w:eastAsiaTheme="minorEastAsia"/>
                <w:color w:val="000000"/>
                <w:szCs w:val="21"/>
                <w:lang w:val="en-US" w:eastAsia="zh-CN"/>
              </w:rPr>
              <w:t>8</w:t>
            </w:r>
          </w:p>
        </w:tc>
        <w:tc>
          <w:tcPr>
            <w:tcW w:w="1778" w:type="pct"/>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1000带磁机</w:t>
            </w:r>
          </w:p>
        </w:tc>
        <w:tc>
          <w:tcPr>
            <w:tcW w:w="2725" w:type="pct"/>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主励磁功率：8.6KW</w:t>
            </w:r>
          </w:p>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副励磁功率：1.17KW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5" w:type="pct"/>
          </w:tcPr>
          <w:p>
            <w:pPr>
              <w:jc w:val="center"/>
              <w:rPr>
                <w:rFonts w:hint="default" w:ascii="Times New Roman" w:hAnsi="Times New Roman" w:eastAsiaTheme="minorEastAsia"/>
                <w:color w:val="000000"/>
                <w:szCs w:val="21"/>
                <w:lang w:val="en-US" w:eastAsia="zh-CN"/>
              </w:rPr>
            </w:pPr>
            <w:r>
              <w:rPr>
                <w:rFonts w:hint="default" w:ascii="Times New Roman" w:hAnsi="Times New Roman" w:eastAsiaTheme="minorEastAsia"/>
                <w:color w:val="000000"/>
                <w:szCs w:val="21"/>
                <w:lang w:val="en-US" w:eastAsia="zh-CN"/>
              </w:rPr>
              <w:t>9</w:t>
            </w:r>
          </w:p>
        </w:tc>
        <w:tc>
          <w:tcPr>
            <w:tcW w:w="1778" w:type="pct"/>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筛上料振动给料机</w:t>
            </w:r>
          </w:p>
        </w:tc>
        <w:tc>
          <w:tcPr>
            <w:tcW w:w="2725" w:type="pct"/>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处理量：30</w:t>
            </w:r>
            <w:r>
              <w:rPr>
                <w:rFonts w:hint="eastAsia" w:ascii="Times New Roman" w:hAnsi="Times New Roman" w:cs="Times New Roman"/>
                <w:color w:val="auto"/>
                <w:kern w:val="2"/>
                <w:sz w:val="21"/>
                <w:szCs w:val="21"/>
                <w:lang w:val="en-US" w:eastAsia="zh-CN" w:bidi="ar-SA"/>
              </w:rPr>
              <w:t xml:space="preserve"> t</w:t>
            </w:r>
            <w:r>
              <w:rPr>
                <w:rFonts w:hint="default" w:ascii="Times New Roman" w:hAnsi="Times New Roman" w:eastAsia="宋体" w:cs="Times New Roman"/>
                <w:color w:val="auto"/>
                <w:kern w:val="2"/>
                <w:sz w:val="21"/>
                <w:szCs w:val="21"/>
                <w:lang w:val="en-US" w:eastAsia="zh-CN" w:bidi="ar-SA"/>
              </w:rPr>
              <w:t>/</w:t>
            </w:r>
            <w:r>
              <w:rPr>
                <w:rFonts w:hint="eastAsia" w:ascii="Times New Roman" w:hAnsi="Times New Roman" w:cs="Times New Roman"/>
                <w:color w:val="auto"/>
                <w:kern w:val="2"/>
                <w:sz w:val="21"/>
                <w:szCs w:val="21"/>
                <w:lang w:val="en-US" w:eastAsia="zh-CN" w:bidi="ar-SA"/>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5" w:type="pct"/>
          </w:tcPr>
          <w:p>
            <w:pPr>
              <w:jc w:val="center"/>
              <w:rPr>
                <w:rFonts w:hint="default" w:ascii="Times New Roman" w:hAnsi="Times New Roman" w:eastAsiaTheme="minorEastAsia"/>
                <w:color w:val="000000"/>
                <w:szCs w:val="21"/>
                <w:lang w:val="en-US" w:eastAsia="zh-CN"/>
              </w:rPr>
            </w:pPr>
            <w:r>
              <w:rPr>
                <w:rFonts w:hint="default" w:ascii="Times New Roman" w:hAnsi="Times New Roman" w:eastAsiaTheme="minorEastAsia"/>
                <w:color w:val="000000"/>
                <w:szCs w:val="21"/>
                <w:lang w:val="en-US" w:eastAsia="zh-CN"/>
              </w:rPr>
              <w:t>10</w:t>
            </w:r>
          </w:p>
        </w:tc>
        <w:tc>
          <w:tcPr>
            <w:tcW w:w="1778" w:type="pct"/>
          </w:tcPr>
          <w:p>
            <w:pPr>
              <w:pStyle w:val="2"/>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4#皮带</w:t>
            </w:r>
          </w:p>
        </w:tc>
        <w:tc>
          <w:tcPr>
            <w:tcW w:w="2725" w:type="pct"/>
          </w:tcPr>
          <w:p>
            <w:pPr>
              <w:pStyle w:val="2"/>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输送量：100</w:t>
            </w:r>
            <w:r>
              <w:rPr>
                <w:rFonts w:hint="eastAsia" w:ascii="Times New Roman" w:hAnsi="Times New Roman" w:cs="Times New Roman"/>
                <w:color w:val="auto"/>
                <w:kern w:val="2"/>
                <w:sz w:val="21"/>
                <w:szCs w:val="21"/>
                <w:lang w:val="en-US" w:eastAsia="zh-CN" w:bidi="ar-SA"/>
              </w:rPr>
              <w:t xml:space="preserve"> t</w:t>
            </w:r>
            <w:r>
              <w:rPr>
                <w:rFonts w:hint="default" w:ascii="Times New Roman" w:hAnsi="Times New Roman" w:eastAsia="宋体" w:cs="Times New Roman"/>
                <w:color w:val="auto"/>
                <w:kern w:val="2"/>
                <w:sz w:val="21"/>
                <w:szCs w:val="21"/>
                <w:lang w:val="en-US" w:eastAsia="zh-CN" w:bidi="ar-SA"/>
              </w:rPr>
              <w:t>/</w:t>
            </w:r>
            <w:r>
              <w:rPr>
                <w:rFonts w:hint="eastAsia" w:ascii="Times New Roman" w:hAnsi="Times New Roman" w:cs="Times New Roman"/>
                <w:color w:val="auto"/>
                <w:kern w:val="2"/>
                <w:sz w:val="21"/>
                <w:szCs w:val="21"/>
                <w:lang w:val="en-US" w:eastAsia="zh-CN" w:bidi="ar-SA"/>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5" w:type="pct"/>
          </w:tcPr>
          <w:p>
            <w:pPr>
              <w:jc w:val="center"/>
              <w:rPr>
                <w:rFonts w:hint="default" w:ascii="Times New Roman" w:hAnsi="Times New Roman" w:eastAsiaTheme="minorEastAsia"/>
                <w:color w:val="000000"/>
                <w:szCs w:val="21"/>
                <w:lang w:val="en-US" w:eastAsia="zh-CN"/>
              </w:rPr>
            </w:pPr>
            <w:r>
              <w:rPr>
                <w:rFonts w:hint="default" w:ascii="Times New Roman" w:hAnsi="Times New Roman" w:eastAsiaTheme="minorEastAsia"/>
                <w:color w:val="000000"/>
                <w:szCs w:val="21"/>
                <w:lang w:val="en-US" w:eastAsia="zh-CN"/>
              </w:rPr>
              <w:t>11</w:t>
            </w:r>
          </w:p>
        </w:tc>
        <w:tc>
          <w:tcPr>
            <w:tcW w:w="1778" w:type="pct"/>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5#皮带</w:t>
            </w:r>
          </w:p>
        </w:tc>
        <w:tc>
          <w:tcPr>
            <w:tcW w:w="2725" w:type="pct"/>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输送量：30</w:t>
            </w:r>
            <w:r>
              <w:rPr>
                <w:rFonts w:hint="eastAsia" w:ascii="Times New Roman" w:hAnsi="Times New Roman" w:cs="Times New Roman"/>
                <w:color w:val="auto"/>
                <w:kern w:val="2"/>
                <w:sz w:val="21"/>
                <w:szCs w:val="21"/>
                <w:lang w:val="en-US" w:eastAsia="zh-CN" w:bidi="ar-SA"/>
              </w:rPr>
              <w:t xml:space="preserve"> t</w:t>
            </w:r>
            <w:r>
              <w:rPr>
                <w:rFonts w:hint="default" w:ascii="Times New Roman" w:hAnsi="Times New Roman" w:eastAsia="宋体" w:cs="Times New Roman"/>
                <w:color w:val="auto"/>
                <w:kern w:val="2"/>
                <w:sz w:val="21"/>
                <w:szCs w:val="21"/>
                <w:lang w:val="en-US" w:eastAsia="zh-CN" w:bidi="ar-SA"/>
              </w:rPr>
              <w:t>/</w:t>
            </w:r>
            <w:r>
              <w:rPr>
                <w:rFonts w:hint="eastAsia" w:ascii="Times New Roman" w:hAnsi="Times New Roman" w:cs="Times New Roman"/>
                <w:color w:val="auto"/>
                <w:kern w:val="2"/>
                <w:sz w:val="21"/>
                <w:szCs w:val="21"/>
                <w:lang w:val="en-US" w:eastAsia="zh-CN" w:bidi="ar-SA"/>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5" w:type="pct"/>
          </w:tcPr>
          <w:p>
            <w:pPr>
              <w:jc w:val="center"/>
              <w:rPr>
                <w:rFonts w:hint="default" w:ascii="Times New Roman" w:hAnsi="Times New Roman" w:eastAsiaTheme="minorEastAsia"/>
                <w:color w:val="000000"/>
                <w:szCs w:val="21"/>
                <w:lang w:val="en-US" w:eastAsia="zh-CN"/>
              </w:rPr>
            </w:pPr>
            <w:r>
              <w:rPr>
                <w:rFonts w:hint="default" w:ascii="Times New Roman" w:hAnsi="Times New Roman" w:eastAsiaTheme="minorEastAsia"/>
                <w:color w:val="000000"/>
                <w:szCs w:val="21"/>
                <w:lang w:val="en-US" w:eastAsia="zh-CN"/>
              </w:rPr>
              <w:t>12</w:t>
            </w:r>
          </w:p>
        </w:tc>
        <w:tc>
          <w:tcPr>
            <w:tcW w:w="1778" w:type="pct"/>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集料箱</w:t>
            </w:r>
          </w:p>
        </w:tc>
        <w:tc>
          <w:tcPr>
            <w:tcW w:w="2725" w:type="pct"/>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外形尺寸：1700×1600×1200mm</w:t>
            </w:r>
          </w:p>
        </w:tc>
      </w:tr>
    </w:tbl>
    <w:p>
      <w:pPr>
        <w:pStyle w:val="2"/>
        <w:keepNext w:val="0"/>
        <w:keepLines w:val="0"/>
        <w:pageBreakBefore w:val="0"/>
        <w:widowControl w:val="0"/>
        <w:kinsoku/>
        <w:wordWrap/>
        <w:overflowPunct/>
        <w:topLinePunct w:val="0"/>
        <w:autoSpaceDE w:val="0"/>
        <w:autoSpaceDN w:val="0"/>
        <w:bidi w:val="0"/>
        <w:adjustRightInd w:val="0"/>
        <w:snapToGrid/>
        <w:spacing w:before="157" w:beforeLines="50" w:line="360" w:lineRule="auto"/>
        <w:ind w:firstLine="480" w:firstLineChars="200"/>
        <w:textAlignment w:val="auto"/>
        <w:rPr>
          <w:rFonts w:hint="default"/>
          <w:lang w:val="en-US" w:eastAsia="zh-CN"/>
        </w:rPr>
      </w:pPr>
      <w:r>
        <w:rPr>
          <w:rFonts w:hint="eastAsia"/>
          <w:lang w:val="en-US" w:eastAsia="zh-CN"/>
        </w:rPr>
        <w:t>工程及环保设施变更情况：</w:t>
      </w:r>
    </w:p>
    <w:p>
      <w:pPr>
        <w:pStyle w:val="4"/>
        <w:adjustRightInd w:val="0"/>
        <w:snapToGrid w:val="0"/>
        <w:spacing w:line="360" w:lineRule="auto"/>
        <w:ind w:firstLine="480" w:firstLineChars="200"/>
        <w:rPr>
          <w:rFonts w:hint="eastAsia"/>
          <w:lang w:eastAsia="zh-CN"/>
        </w:rPr>
      </w:pPr>
      <w:r>
        <w:rPr>
          <w:rFonts w:hint="eastAsia" w:ascii="Times New Roman" w:hAnsi="Times New Roman" w:cs="Times New Roman"/>
          <w:sz w:val="24"/>
          <w:lang w:val="en-US" w:eastAsia="zh-CN"/>
        </w:rPr>
        <w:t>4#不锈钢渣热焖处理线技改后共用配套新增车间屋顶罩除尘设施1套，增加移动罩除尘设施1套；改造5#、6#热焖工艺5罐/池改为3罐/池并各减少1个热焖池，用于布置清罐装置，热焖池尺寸保持现状。5#、6#共用配套新增车间屋顶罩除尘设施1套，5#、6#增加移动罩除尘设施2套；4#、5#、6#处理线技改后各线生产规模没有变化，产品产量也未变化，固不属于重大变更。</w:t>
      </w:r>
    </w:p>
    <w:p>
      <w:pPr>
        <w:pStyle w:val="16"/>
        <w:spacing w:line="440" w:lineRule="exact"/>
        <w:ind w:left="420" w:leftChars="200" w:firstLine="0" w:firstLineChars="0"/>
        <w:jc w:val="left"/>
        <w:rPr>
          <w:rFonts w:ascii="Microsoft New Tai Lue" w:hAnsi="Microsoft New Tai Lue" w:cs="Microsoft New Tai Lue"/>
          <w:sz w:val="24"/>
          <w:szCs w:val="24"/>
        </w:rPr>
      </w:pPr>
      <w:r>
        <w:rPr>
          <w:rFonts w:ascii="Microsoft New Tai Lue" w:hAnsi="Microsoft New Tai Lue" w:cs="Microsoft New Tai Lue"/>
          <w:sz w:val="24"/>
          <w:szCs w:val="24"/>
        </w:rPr>
        <w:t>四、污染物达标排放情况</w:t>
      </w:r>
    </w:p>
    <w:p>
      <w:pPr>
        <w:autoSpaceDE w:val="0"/>
        <w:autoSpaceDN w:val="0"/>
        <w:spacing w:line="440" w:lineRule="exact"/>
        <w:ind w:firstLine="480" w:firstLineChars="200"/>
        <w:rPr>
          <w:rFonts w:ascii="Microsoft New Tai Lue" w:hAnsi="Microsoft New Tai Lue" w:cs="Microsoft New Tai Lue"/>
          <w:sz w:val="24"/>
          <w:szCs w:val="24"/>
        </w:rPr>
      </w:pPr>
      <w:r>
        <w:rPr>
          <w:rFonts w:ascii="Microsoft New Tai Lue" w:hAnsi="Microsoft New Tai Lue" w:cs="Microsoft New Tai Lue"/>
          <w:sz w:val="24"/>
          <w:szCs w:val="24"/>
        </w:rPr>
        <w:t>（一）废气</w:t>
      </w:r>
    </w:p>
    <w:p>
      <w:pPr>
        <w:keepNext w:val="0"/>
        <w:keepLines w:val="0"/>
        <w:pageBreakBefore w:val="0"/>
        <w:widowControl w:val="0"/>
        <w:kinsoku/>
        <w:wordWrap/>
        <w:overflowPunct/>
        <w:topLinePunct w:val="0"/>
        <w:autoSpaceDE w:val="0"/>
        <w:autoSpaceDN w:val="0"/>
        <w:bidi w:val="0"/>
        <w:snapToGrid/>
        <w:spacing w:line="440" w:lineRule="exact"/>
        <w:ind w:firstLine="480" w:firstLineChars="200"/>
        <w:textAlignment w:val="auto"/>
        <w:rPr>
          <w:rFonts w:ascii="Microsoft New Tai Lue" w:hAnsi="Microsoft New Tai Lue" w:cs="Microsoft New Tai Lue"/>
          <w:sz w:val="24"/>
          <w:szCs w:val="24"/>
        </w:rPr>
      </w:pPr>
      <w:r>
        <w:rPr>
          <w:rFonts w:ascii="Microsoft New Tai Lue" w:hAnsi="Microsoft New Tai Lue" w:cs="Microsoft New Tai Lue"/>
          <w:sz w:val="24"/>
          <w:szCs w:val="24"/>
        </w:rPr>
        <w:t>1、有组织废气</w:t>
      </w:r>
    </w:p>
    <w:p>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jc w:val="left"/>
        <w:textAlignment w:val="auto"/>
        <w:rPr>
          <w:rFonts w:ascii="Times New Roman" w:hAnsi="Times New Roman" w:cs="Times New Roman"/>
          <w:kern w:val="0"/>
          <w:sz w:val="24"/>
          <w:szCs w:val="24"/>
        </w:rPr>
      </w:pPr>
      <w:r>
        <w:rPr>
          <w:rFonts w:ascii="Times New Roman" w:hAnsi="Times New Roman" w:cs="Times New Roman"/>
          <w:kern w:val="0"/>
          <w:sz w:val="24"/>
          <w:szCs w:val="24"/>
        </w:rPr>
        <w:t>5#移动除尘</w:t>
      </w:r>
      <w:r>
        <w:rPr>
          <w:rFonts w:hint="eastAsia" w:ascii="Times New Roman" w:hAnsi="Times New Roman" w:cs="Times New Roman"/>
          <w:kern w:val="0"/>
          <w:sz w:val="24"/>
          <w:szCs w:val="24"/>
        </w:rPr>
        <w:t>罩</w:t>
      </w:r>
      <w:r>
        <w:rPr>
          <w:rFonts w:ascii="Times New Roman" w:hAnsi="Times New Roman" w:cs="Times New Roman"/>
          <w:kern w:val="0"/>
          <w:sz w:val="24"/>
          <w:szCs w:val="24"/>
        </w:rPr>
        <w:t>废气</w:t>
      </w:r>
      <w:r>
        <w:rPr>
          <w:rFonts w:hint="eastAsia" w:ascii="Times New Roman" w:hAnsi="Times New Roman" w:cs="Times New Roman"/>
          <w:kern w:val="0"/>
          <w:sz w:val="24"/>
          <w:szCs w:val="24"/>
          <w:lang w:val="en-US" w:eastAsia="zh-CN"/>
        </w:rPr>
        <w:t>颗粒物</w:t>
      </w:r>
      <w:r>
        <w:rPr>
          <w:rFonts w:ascii="Times New Roman" w:hAnsi="Times New Roman" w:cs="Times New Roman"/>
          <w:kern w:val="0"/>
          <w:sz w:val="24"/>
          <w:szCs w:val="24"/>
        </w:rPr>
        <w:t>排放浓度为</w:t>
      </w:r>
      <w:r>
        <w:rPr>
          <w:rFonts w:ascii="Times New Roman" w:hAnsi="Times New Roman"/>
          <w:szCs w:val="21"/>
        </w:rPr>
        <w:t xml:space="preserve">26.6 </w:t>
      </w:r>
      <w:r>
        <w:rPr>
          <w:rFonts w:ascii="Times New Roman" w:hAnsi="Times New Roman" w:cs="Times New Roman"/>
          <w:kern w:val="0"/>
          <w:sz w:val="24"/>
          <w:szCs w:val="24"/>
        </w:rPr>
        <w:t>mg/m</w:t>
      </w:r>
      <w:r>
        <w:rPr>
          <w:rFonts w:ascii="Times New Roman" w:hAnsi="Times New Roman" w:cs="Times New Roman"/>
          <w:kern w:val="0"/>
          <w:sz w:val="24"/>
          <w:szCs w:val="24"/>
          <w:vertAlign w:val="superscript"/>
        </w:rPr>
        <w:t>3</w:t>
      </w:r>
      <w:r>
        <w:rPr>
          <w:rFonts w:ascii="Times New Roman" w:hAnsi="Times New Roman" w:cs="Times New Roman"/>
          <w:kern w:val="0"/>
          <w:sz w:val="24"/>
          <w:szCs w:val="24"/>
        </w:rPr>
        <w:t>，排放速率为</w:t>
      </w:r>
      <w:r>
        <w:rPr>
          <w:rFonts w:hint="eastAsia" w:ascii="Times New Roman" w:hAnsi="Times New Roman" w:cs="Times New Roman"/>
          <w:kern w:val="0"/>
          <w:sz w:val="24"/>
          <w:szCs w:val="24"/>
          <w:lang w:val="en-US" w:eastAsia="zh-CN"/>
        </w:rPr>
        <w:t>12.3</w:t>
      </w:r>
      <w:r>
        <w:rPr>
          <w:rFonts w:ascii="Times New Roman" w:hAnsi="Times New Roman" w:cs="Times New Roman"/>
          <w:kern w:val="0"/>
          <w:sz w:val="24"/>
          <w:szCs w:val="24"/>
        </w:rPr>
        <w:t>kg/h；</w:t>
      </w:r>
    </w:p>
    <w:p>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jc w:val="left"/>
        <w:textAlignment w:val="auto"/>
        <w:rPr>
          <w:rFonts w:ascii="Times New Roman" w:hAnsi="Times New Roman" w:cs="Times New Roman"/>
          <w:kern w:val="0"/>
          <w:sz w:val="24"/>
          <w:szCs w:val="24"/>
        </w:rPr>
      </w:pPr>
      <w:r>
        <w:rPr>
          <w:rFonts w:hint="eastAsia" w:ascii="Times New Roman" w:hAnsi="Times New Roman" w:cs="Times New Roman"/>
          <w:kern w:val="0"/>
          <w:sz w:val="24"/>
          <w:szCs w:val="24"/>
          <w:lang w:val="en-US" w:eastAsia="zh-CN"/>
        </w:rPr>
        <w:t>6</w:t>
      </w:r>
      <w:r>
        <w:rPr>
          <w:rFonts w:ascii="Times New Roman" w:hAnsi="Times New Roman" w:cs="Times New Roman"/>
          <w:kern w:val="0"/>
          <w:sz w:val="24"/>
          <w:szCs w:val="24"/>
        </w:rPr>
        <w:t>#移动除尘</w:t>
      </w:r>
      <w:r>
        <w:rPr>
          <w:rFonts w:hint="eastAsia" w:ascii="Times New Roman" w:hAnsi="Times New Roman" w:cs="Times New Roman"/>
          <w:kern w:val="0"/>
          <w:sz w:val="24"/>
          <w:szCs w:val="24"/>
        </w:rPr>
        <w:t>罩</w:t>
      </w:r>
      <w:r>
        <w:rPr>
          <w:rFonts w:ascii="Times New Roman" w:hAnsi="Times New Roman" w:cs="Times New Roman"/>
          <w:kern w:val="0"/>
          <w:sz w:val="24"/>
          <w:szCs w:val="24"/>
        </w:rPr>
        <w:t>废气</w:t>
      </w:r>
      <w:r>
        <w:rPr>
          <w:rFonts w:hint="eastAsia" w:ascii="Times New Roman" w:hAnsi="Times New Roman" w:cs="Times New Roman"/>
          <w:kern w:val="0"/>
          <w:sz w:val="24"/>
          <w:szCs w:val="24"/>
          <w:lang w:val="en-US" w:eastAsia="zh-CN"/>
        </w:rPr>
        <w:t>颗粒物</w:t>
      </w:r>
      <w:r>
        <w:rPr>
          <w:rFonts w:ascii="Times New Roman" w:hAnsi="Times New Roman" w:cs="Times New Roman"/>
          <w:kern w:val="0"/>
          <w:sz w:val="24"/>
          <w:szCs w:val="24"/>
        </w:rPr>
        <w:t>排放浓度为</w:t>
      </w:r>
      <w:r>
        <w:rPr>
          <w:rFonts w:ascii="Times New Roman" w:hAnsi="Times New Roman"/>
          <w:szCs w:val="21"/>
        </w:rPr>
        <w:t>2</w:t>
      </w:r>
      <w:r>
        <w:rPr>
          <w:rFonts w:hint="eastAsia" w:ascii="Times New Roman" w:hAnsi="Times New Roman"/>
          <w:szCs w:val="21"/>
          <w:lang w:val="en-US" w:eastAsia="zh-CN"/>
        </w:rPr>
        <w:t>7.8</w:t>
      </w:r>
      <w:r>
        <w:rPr>
          <w:rFonts w:ascii="Times New Roman" w:hAnsi="Times New Roman" w:cs="Times New Roman"/>
          <w:kern w:val="0"/>
          <w:sz w:val="24"/>
          <w:szCs w:val="24"/>
        </w:rPr>
        <w:t>mg/m</w:t>
      </w:r>
      <w:r>
        <w:rPr>
          <w:rFonts w:ascii="Times New Roman" w:hAnsi="Times New Roman" w:cs="Times New Roman"/>
          <w:kern w:val="0"/>
          <w:sz w:val="24"/>
          <w:szCs w:val="24"/>
          <w:vertAlign w:val="superscript"/>
        </w:rPr>
        <w:t>3</w:t>
      </w:r>
      <w:r>
        <w:rPr>
          <w:rFonts w:ascii="Times New Roman" w:hAnsi="Times New Roman" w:cs="Times New Roman"/>
          <w:kern w:val="0"/>
          <w:sz w:val="24"/>
          <w:szCs w:val="24"/>
        </w:rPr>
        <w:t>，排放速率为</w:t>
      </w:r>
      <w:r>
        <w:rPr>
          <w:rFonts w:hint="eastAsia" w:ascii="Times New Roman" w:hAnsi="Times New Roman" w:cs="Times New Roman"/>
          <w:kern w:val="0"/>
          <w:sz w:val="24"/>
          <w:szCs w:val="24"/>
          <w:lang w:val="en-US" w:eastAsia="zh-CN"/>
        </w:rPr>
        <w:t>13.0</w:t>
      </w:r>
      <w:r>
        <w:rPr>
          <w:rFonts w:ascii="Times New Roman" w:hAnsi="Times New Roman" w:cs="Times New Roman"/>
          <w:kern w:val="0"/>
          <w:sz w:val="24"/>
          <w:szCs w:val="24"/>
        </w:rPr>
        <w:t>kg/h；</w:t>
      </w:r>
    </w:p>
    <w:p>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jc w:val="left"/>
        <w:textAlignment w:val="auto"/>
        <w:rPr>
          <w:rFonts w:ascii="Times New Roman" w:hAnsi="Times New Roman" w:cs="Times New Roman"/>
          <w:kern w:val="0"/>
          <w:sz w:val="24"/>
          <w:szCs w:val="24"/>
        </w:rPr>
      </w:pPr>
      <w:r>
        <w:rPr>
          <w:rFonts w:hint="eastAsia" w:ascii="Times New Roman" w:hAnsi="Times New Roman" w:cs="Times New Roman"/>
          <w:kern w:val="0"/>
          <w:sz w:val="24"/>
          <w:szCs w:val="24"/>
        </w:rPr>
        <w:t>5#6#屋顶罩废气</w:t>
      </w:r>
      <w:r>
        <w:rPr>
          <w:rFonts w:hint="eastAsia" w:ascii="Times New Roman" w:hAnsi="Times New Roman" w:cs="Times New Roman"/>
          <w:kern w:val="0"/>
          <w:sz w:val="24"/>
          <w:szCs w:val="24"/>
          <w:lang w:val="en-US" w:eastAsia="zh-CN"/>
        </w:rPr>
        <w:t>颗粒物</w:t>
      </w:r>
      <w:r>
        <w:rPr>
          <w:rFonts w:ascii="Times New Roman" w:hAnsi="Times New Roman" w:cs="Times New Roman"/>
          <w:kern w:val="0"/>
          <w:sz w:val="24"/>
          <w:szCs w:val="24"/>
        </w:rPr>
        <w:t>排放浓度为</w:t>
      </w:r>
      <w:r>
        <w:rPr>
          <w:rFonts w:ascii="Times New Roman" w:hAnsi="Times New Roman"/>
          <w:szCs w:val="21"/>
        </w:rPr>
        <w:t>2</w:t>
      </w:r>
      <w:r>
        <w:rPr>
          <w:rFonts w:hint="eastAsia" w:ascii="Times New Roman" w:hAnsi="Times New Roman"/>
          <w:szCs w:val="21"/>
          <w:lang w:val="en-US" w:eastAsia="zh-CN"/>
        </w:rPr>
        <w:t>5.5</w:t>
      </w:r>
      <w:r>
        <w:rPr>
          <w:rFonts w:ascii="Times New Roman" w:hAnsi="Times New Roman" w:cs="Times New Roman"/>
          <w:kern w:val="0"/>
          <w:sz w:val="24"/>
          <w:szCs w:val="24"/>
        </w:rPr>
        <w:t>mg/m</w:t>
      </w:r>
      <w:r>
        <w:rPr>
          <w:rFonts w:ascii="Times New Roman" w:hAnsi="Times New Roman" w:cs="Times New Roman"/>
          <w:kern w:val="0"/>
          <w:sz w:val="24"/>
          <w:szCs w:val="24"/>
          <w:vertAlign w:val="superscript"/>
        </w:rPr>
        <w:t>3</w:t>
      </w:r>
      <w:r>
        <w:rPr>
          <w:rFonts w:ascii="Times New Roman" w:hAnsi="Times New Roman" w:cs="Times New Roman"/>
          <w:kern w:val="0"/>
          <w:sz w:val="24"/>
          <w:szCs w:val="24"/>
        </w:rPr>
        <w:t>，排放速率为</w:t>
      </w:r>
      <w:r>
        <w:rPr>
          <w:rFonts w:hint="eastAsia" w:ascii="Times New Roman" w:hAnsi="Times New Roman" w:cs="Times New Roman"/>
          <w:kern w:val="0"/>
          <w:sz w:val="24"/>
          <w:szCs w:val="24"/>
          <w:lang w:val="en-US" w:eastAsia="zh-CN"/>
        </w:rPr>
        <w:t>12.1</w:t>
      </w:r>
      <w:r>
        <w:rPr>
          <w:rFonts w:ascii="Times New Roman" w:hAnsi="Times New Roman" w:cs="Times New Roman"/>
          <w:kern w:val="0"/>
          <w:sz w:val="24"/>
          <w:szCs w:val="24"/>
        </w:rPr>
        <w:t>kg/h；</w:t>
      </w:r>
    </w:p>
    <w:p>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jc w:val="left"/>
        <w:textAlignment w:val="auto"/>
        <w:rPr>
          <w:rFonts w:ascii="Times New Roman" w:hAnsi="Times New Roman" w:cs="Times New Roman"/>
          <w:kern w:val="0"/>
          <w:sz w:val="24"/>
          <w:szCs w:val="24"/>
        </w:rPr>
      </w:pPr>
      <w:r>
        <w:rPr>
          <w:rFonts w:hint="eastAsia" w:ascii="Times New Roman" w:hAnsi="Times New Roman" w:cs="Times New Roman"/>
          <w:kern w:val="0"/>
          <w:sz w:val="24"/>
          <w:szCs w:val="24"/>
          <w:lang w:val="en-US" w:eastAsia="zh-CN"/>
        </w:rPr>
        <w:t>4</w:t>
      </w:r>
      <w:r>
        <w:rPr>
          <w:rFonts w:ascii="Times New Roman" w:hAnsi="Times New Roman" w:cs="Times New Roman"/>
          <w:kern w:val="0"/>
          <w:sz w:val="24"/>
          <w:szCs w:val="24"/>
        </w:rPr>
        <w:t>#移动除尘</w:t>
      </w:r>
      <w:r>
        <w:rPr>
          <w:rFonts w:hint="eastAsia" w:ascii="Times New Roman" w:hAnsi="Times New Roman" w:cs="Times New Roman"/>
          <w:kern w:val="0"/>
          <w:sz w:val="24"/>
          <w:szCs w:val="24"/>
        </w:rPr>
        <w:t>罩</w:t>
      </w:r>
      <w:r>
        <w:rPr>
          <w:rFonts w:ascii="Times New Roman" w:hAnsi="Times New Roman" w:cs="Times New Roman"/>
          <w:kern w:val="0"/>
          <w:sz w:val="24"/>
          <w:szCs w:val="24"/>
        </w:rPr>
        <w:t>废气</w:t>
      </w:r>
      <w:r>
        <w:rPr>
          <w:rFonts w:hint="eastAsia" w:ascii="Times New Roman" w:hAnsi="Times New Roman" w:cs="Times New Roman"/>
          <w:kern w:val="0"/>
          <w:sz w:val="24"/>
          <w:szCs w:val="24"/>
          <w:lang w:val="en-US" w:eastAsia="zh-CN"/>
        </w:rPr>
        <w:t>颗粒物</w:t>
      </w:r>
      <w:r>
        <w:rPr>
          <w:rFonts w:ascii="Times New Roman" w:hAnsi="Times New Roman" w:cs="Times New Roman"/>
          <w:kern w:val="0"/>
          <w:sz w:val="24"/>
          <w:szCs w:val="24"/>
        </w:rPr>
        <w:t>排放浓度为</w:t>
      </w:r>
      <w:r>
        <w:rPr>
          <w:rFonts w:ascii="Times New Roman" w:hAnsi="Times New Roman"/>
          <w:szCs w:val="21"/>
        </w:rPr>
        <w:t xml:space="preserve">26.6 </w:t>
      </w:r>
      <w:r>
        <w:rPr>
          <w:rFonts w:ascii="Times New Roman" w:hAnsi="Times New Roman" w:cs="Times New Roman"/>
          <w:kern w:val="0"/>
          <w:sz w:val="24"/>
          <w:szCs w:val="24"/>
        </w:rPr>
        <w:t>mg/m</w:t>
      </w:r>
      <w:r>
        <w:rPr>
          <w:rFonts w:ascii="Times New Roman" w:hAnsi="Times New Roman" w:cs="Times New Roman"/>
          <w:kern w:val="0"/>
          <w:sz w:val="24"/>
          <w:szCs w:val="24"/>
          <w:vertAlign w:val="superscript"/>
        </w:rPr>
        <w:t>3</w:t>
      </w:r>
      <w:r>
        <w:rPr>
          <w:rFonts w:ascii="Times New Roman" w:hAnsi="Times New Roman" w:cs="Times New Roman"/>
          <w:kern w:val="0"/>
          <w:sz w:val="24"/>
          <w:szCs w:val="24"/>
        </w:rPr>
        <w:t>，排放速率为</w:t>
      </w:r>
      <w:r>
        <w:rPr>
          <w:rFonts w:hint="eastAsia" w:ascii="Times New Roman" w:hAnsi="Times New Roman" w:cs="Times New Roman"/>
          <w:kern w:val="0"/>
          <w:sz w:val="24"/>
          <w:szCs w:val="24"/>
          <w:lang w:val="en-US" w:eastAsia="zh-CN"/>
        </w:rPr>
        <w:t>7.83</w:t>
      </w:r>
      <w:r>
        <w:rPr>
          <w:rFonts w:ascii="Times New Roman" w:hAnsi="Times New Roman" w:cs="Times New Roman"/>
          <w:kern w:val="0"/>
          <w:sz w:val="24"/>
          <w:szCs w:val="24"/>
        </w:rPr>
        <w:t>kg/h；</w:t>
      </w:r>
    </w:p>
    <w:p>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jc w:val="left"/>
        <w:textAlignment w:val="auto"/>
        <w:rPr>
          <w:rFonts w:ascii="Times New Roman" w:hAnsi="Times New Roman" w:cs="Times New Roman"/>
          <w:kern w:val="0"/>
          <w:sz w:val="24"/>
          <w:szCs w:val="24"/>
        </w:rPr>
      </w:pPr>
      <w:r>
        <w:rPr>
          <w:rFonts w:hint="eastAsia" w:ascii="Times New Roman" w:hAnsi="Times New Roman" w:cs="Times New Roman"/>
          <w:kern w:val="0"/>
          <w:sz w:val="24"/>
          <w:szCs w:val="24"/>
          <w:lang w:val="en-US" w:eastAsia="zh-CN"/>
        </w:rPr>
        <w:t>4</w:t>
      </w:r>
      <w:r>
        <w:rPr>
          <w:rFonts w:hint="eastAsia" w:ascii="Times New Roman" w:hAnsi="Times New Roman" w:cs="Times New Roman"/>
          <w:kern w:val="0"/>
          <w:sz w:val="24"/>
          <w:szCs w:val="24"/>
        </w:rPr>
        <w:t>#屋顶罩废气</w:t>
      </w:r>
      <w:r>
        <w:rPr>
          <w:rFonts w:hint="eastAsia" w:ascii="Times New Roman" w:hAnsi="Times New Roman" w:cs="Times New Roman"/>
          <w:kern w:val="0"/>
          <w:sz w:val="24"/>
          <w:szCs w:val="24"/>
          <w:lang w:val="en-US" w:eastAsia="zh-CN"/>
        </w:rPr>
        <w:t>颗粒物</w:t>
      </w:r>
      <w:r>
        <w:rPr>
          <w:rFonts w:ascii="Times New Roman" w:hAnsi="Times New Roman" w:cs="Times New Roman"/>
          <w:kern w:val="0"/>
          <w:sz w:val="24"/>
          <w:szCs w:val="24"/>
        </w:rPr>
        <w:t>排放浓度为</w:t>
      </w:r>
      <w:r>
        <w:rPr>
          <w:rFonts w:ascii="Times New Roman" w:hAnsi="Times New Roman"/>
          <w:szCs w:val="21"/>
        </w:rPr>
        <w:t>2</w:t>
      </w:r>
      <w:r>
        <w:rPr>
          <w:rFonts w:hint="eastAsia" w:ascii="Times New Roman" w:hAnsi="Times New Roman"/>
          <w:szCs w:val="21"/>
          <w:lang w:val="en-US" w:eastAsia="zh-CN"/>
        </w:rPr>
        <w:t>5.6</w:t>
      </w:r>
      <w:r>
        <w:rPr>
          <w:rFonts w:ascii="Times New Roman" w:hAnsi="Times New Roman" w:cs="Times New Roman"/>
          <w:kern w:val="0"/>
          <w:sz w:val="24"/>
          <w:szCs w:val="24"/>
        </w:rPr>
        <w:t>mg/m</w:t>
      </w:r>
      <w:r>
        <w:rPr>
          <w:rFonts w:ascii="Times New Roman" w:hAnsi="Times New Roman" w:cs="Times New Roman"/>
          <w:kern w:val="0"/>
          <w:sz w:val="24"/>
          <w:szCs w:val="24"/>
          <w:vertAlign w:val="superscript"/>
        </w:rPr>
        <w:t>3</w:t>
      </w:r>
      <w:r>
        <w:rPr>
          <w:rFonts w:ascii="Times New Roman" w:hAnsi="Times New Roman" w:cs="Times New Roman"/>
          <w:kern w:val="0"/>
          <w:sz w:val="24"/>
          <w:szCs w:val="24"/>
        </w:rPr>
        <w:t>，排放速率为</w:t>
      </w:r>
      <w:r>
        <w:rPr>
          <w:rFonts w:hint="eastAsia" w:ascii="Times New Roman" w:hAnsi="Times New Roman" w:cs="Times New Roman"/>
          <w:kern w:val="0"/>
          <w:sz w:val="24"/>
          <w:szCs w:val="24"/>
          <w:lang w:val="en-US" w:eastAsia="zh-CN"/>
        </w:rPr>
        <w:t>8.95</w:t>
      </w:r>
      <w:r>
        <w:rPr>
          <w:rFonts w:ascii="Times New Roman" w:hAnsi="Times New Roman" w:cs="Times New Roman"/>
          <w:kern w:val="0"/>
          <w:sz w:val="24"/>
          <w:szCs w:val="24"/>
        </w:rPr>
        <w:t>kg/h；</w:t>
      </w:r>
    </w:p>
    <w:p>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jc w:val="left"/>
        <w:textAlignment w:val="auto"/>
        <w:rPr>
          <w:rFonts w:ascii="Times New Roman" w:hAnsi="Times New Roman" w:cs="Times New Roman"/>
          <w:kern w:val="0"/>
          <w:sz w:val="24"/>
          <w:szCs w:val="24"/>
        </w:rPr>
      </w:pPr>
      <w:r>
        <w:rPr>
          <w:rFonts w:hint="eastAsia" w:ascii="Times New Roman" w:hAnsi="Times New Roman" w:cs="Times New Roman"/>
          <w:kern w:val="0"/>
          <w:sz w:val="24"/>
          <w:szCs w:val="24"/>
          <w:lang w:val="en-US" w:eastAsia="zh-CN"/>
        </w:rPr>
        <w:t>1#</w:t>
      </w:r>
      <w:r>
        <w:rPr>
          <w:rFonts w:hint="eastAsia" w:ascii="Times New Roman" w:hAnsi="Times New Roman" w:cs="Times New Roman"/>
          <w:kern w:val="0"/>
          <w:sz w:val="24"/>
          <w:szCs w:val="24"/>
        </w:rPr>
        <w:t>拌料间</w:t>
      </w:r>
      <w:r>
        <w:rPr>
          <w:rFonts w:ascii="Times New Roman" w:hAnsi="Times New Roman" w:cs="Times New Roman"/>
          <w:kern w:val="0"/>
          <w:sz w:val="24"/>
          <w:szCs w:val="24"/>
        </w:rPr>
        <w:t>废气</w:t>
      </w:r>
      <w:r>
        <w:rPr>
          <w:rFonts w:hint="eastAsia" w:ascii="Times New Roman" w:hAnsi="Times New Roman" w:cs="Times New Roman"/>
          <w:kern w:val="0"/>
          <w:sz w:val="24"/>
          <w:szCs w:val="24"/>
          <w:lang w:val="en-US" w:eastAsia="zh-CN"/>
        </w:rPr>
        <w:t>颗粒物</w:t>
      </w:r>
      <w:r>
        <w:rPr>
          <w:rFonts w:ascii="Times New Roman" w:hAnsi="Times New Roman" w:cs="Times New Roman"/>
          <w:kern w:val="0"/>
          <w:sz w:val="24"/>
          <w:szCs w:val="24"/>
        </w:rPr>
        <w:t>排放浓度为2</w:t>
      </w:r>
      <w:r>
        <w:rPr>
          <w:rFonts w:hint="eastAsia" w:ascii="Times New Roman" w:hAnsi="Times New Roman" w:cs="Times New Roman"/>
          <w:kern w:val="0"/>
          <w:sz w:val="24"/>
          <w:szCs w:val="24"/>
          <w:lang w:val="en-US" w:eastAsia="zh-CN"/>
        </w:rPr>
        <w:t>9.5</w:t>
      </w:r>
      <w:r>
        <w:rPr>
          <w:rFonts w:ascii="Times New Roman" w:hAnsi="Times New Roman" w:cs="Times New Roman"/>
          <w:kern w:val="0"/>
          <w:sz w:val="24"/>
          <w:szCs w:val="24"/>
        </w:rPr>
        <w:t xml:space="preserve"> mg/m</w:t>
      </w:r>
      <w:r>
        <w:rPr>
          <w:rFonts w:ascii="Times New Roman" w:hAnsi="Times New Roman" w:cs="Times New Roman"/>
          <w:kern w:val="0"/>
          <w:sz w:val="24"/>
          <w:szCs w:val="24"/>
          <w:vertAlign w:val="superscript"/>
        </w:rPr>
        <w:t>3</w:t>
      </w:r>
      <w:r>
        <w:rPr>
          <w:rFonts w:ascii="Times New Roman" w:hAnsi="Times New Roman" w:cs="Times New Roman"/>
          <w:kern w:val="0"/>
          <w:sz w:val="24"/>
          <w:szCs w:val="24"/>
        </w:rPr>
        <w:t>，排放速率为</w:t>
      </w:r>
      <w:r>
        <w:rPr>
          <w:rFonts w:hint="eastAsia" w:ascii="Times New Roman" w:hAnsi="Times New Roman" w:cs="Times New Roman"/>
          <w:kern w:val="0"/>
          <w:sz w:val="24"/>
          <w:szCs w:val="24"/>
          <w:lang w:val="en-US" w:eastAsia="zh-CN"/>
        </w:rPr>
        <w:t>4.74</w:t>
      </w:r>
      <w:r>
        <w:rPr>
          <w:rFonts w:ascii="Times New Roman" w:hAnsi="Times New Roman" w:cs="Times New Roman"/>
          <w:kern w:val="0"/>
          <w:sz w:val="24"/>
          <w:szCs w:val="24"/>
        </w:rPr>
        <w:t>kg/h；</w:t>
      </w:r>
    </w:p>
    <w:p>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jc w:val="left"/>
        <w:textAlignment w:val="auto"/>
        <w:rPr>
          <w:rFonts w:ascii="Times New Roman" w:hAnsi="Times New Roman" w:eastAsia="黑体"/>
          <w:bCs/>
          <w:sz w:val="24"/>
        </w:rPr>
      </w:pPr>
      <w:r>
        <w:rPr>
          <w:rFonts w:ascii="Times New Roman" w:hAnsi="Times New Roman" w:eastAsia="宋体" w:cs="Times New Roman"/>
          <w:color w:val="auto"/>
          <w:kern w:val="0"/>
          <w:sz w:val="24"/>
          <w:szCs w:val="24"/>
          <w:lang w:val="en-US" w:eastAsia="zh-CN" w:bidi="ar-SA"/>
        </w:rPr>
        <w:t>7#厂房屋顶罩废气</w:t>
      </w:r>
      <w:r>
        <w:rPr>
          <w:rFonts w:hint="eastAsia" w:ascii="Times New Roman" w:hAnsi="Times New Roman" w:cs="Times New Roman"/>
          <w:kern w:val="0"/>
          <w:sz w:val="24"/>
          <w:szCs w:val="24"/>
          <w:lang w:val="en-US" w:eastAsia="zh-CN"/>
        </w:rPr>
        <w:t>颗粒物</w:t>
      </w:r>
      <w:r>
        <w:rPr>
          <w:rFonts w:ascii="Times New Roman" w:hAnsi="Times New Roman" w:cs="Times New Roman"/>
          <w:kern w:val="0"/>
          <w:sz w:val="24"/>
          <w:szCs w:val="24"/>
        </w:rPr>
        <w:t>排放浓度为</w:t>
      </w:r>
      <w:r>
        <w:rPr>
          <w:rFonts w:hint="eastAsia" w:ascii="Times New Roman" w:cs="Times New Roman"/>
          <w:kern w:val="0"/>
          <w:sz w:val="24"/>
          <w:szCs w:val="24"/>
          <w:lang w:val="en-US" w:eastAsia="zh-CN"/>
        </w:rPr>
        <w:t>30.4</w:t>
      </w:r>
      <w:r>
        <w:rPr>
          <w:rFonts w:ascii="Times New Roman" w:hAnsi="Times New Roman" w:cs="Times New Roman"/>
          <w:kern w:val="0"/>
          <w:sz w:val="24"/>
          <w:szCs w:val="24"/>
        </w:rPr>
        <w:t xml:space="preserve"> mg/m3，排放速率为</w:t>
      </w:r>
      <w:r>
        <w:rPr>
          <w:rFonts w:hint="eastAsia" w:ascii="Times New Roman" w:cs="Times New Roman"/>
          <w:kern w:val="0"/>
          <w:sz w:val="24"/>
          <w:szCs w:val="24"/>
          <w:lang w:val="en-US" w:eastAsia="zh-CN"/>
        </w:rPr>
        <w:t>9.81</w:t>
      </w:r>
      <w:r>
        <w:rPr>
          <w:rFonts w:ascii="Times New Roman" w:hAnsi="Times New Roman" w:cs="Times New Roman"/>
          <w:kern w:val="0"/>
          <w:sz w:val="24"/>
          <w:szCs w:val="24"/>
        </w:rPr>
        <w:t>kg/h；</w:t>
      </w:r>
    </w:p>
    <w:p>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jc w:val="left"/>
        <w:textAlignment w:val="auto"/>
        <w:rPr>
          <w:rFonts w:ascii="Times New Roman" w:hAnsi="Times New Roman" w:eastAsia="黑体"/>
          <w:bCs/>
          <w:sz w:val="24"/>
        </w:rPr>
      </w:pPr>
      <w:r>
        <w:rPr>
          <w:rFonts w:ascii="Times New Roman" w:hAnsi="Times New Roman" w:eastAsia="宋体" w:cs="Times New Roman"/>
          <w:color w:val="auto"/>
          <w:kern w:val="0"/>
          <w:sz w:val="24"/>
          <w:szCs w:val="24"/>
          <w:lang w:val="en-US" w:eastAsia="zh-CN" w:bidi="ar-SA"/>
        </w:rPr>
        <w:t>7#8#北移动除尘罩废</w:t>
      </w:r>
      <w:r>
        <w:rPr>
          <w:rFonts w:ascii="Times New Roman" w:hAnsi="Times New Roman" w:cs="Times New Roman"/>
          <w:kern w:val="0"/>
          <w:sz w:val="24"/>
          <w:szCs w:val="24"/>
        </w:rPr>
        <w:t>气</w:t>
      </w:r>
      <w:r>
        <w:rPr>
          <w:rFonts w:hint="eastAsia" w:ascii="Times New Roman" w:hAnsi="Times New Roman" w:cs="Times New Roman"/>
          <w:kern w:val="0"/>
          <w:sz w:val="24"/>
          <w:szCs w:val="24"/>
          <w:lang w:val="en-US" w:eastAsia="zh-CN"/>
        </w:rPr>
        <w:t>颗粒物</w:t>
      </w:r>
      <w:r>
        <w:rPr>
          <w:rFonts w:ascii="Times New Roman" w:hAnsi="Times New Roman" w:cs="Times New Roman"/>
          <w:kern w:val="0"/>
          <w:sz w:val="24"/>
          <w:szCs w:val="24"/>
        </w:rPr>
        <w:t>排放浓度为2</w:t>
      </w:r>
      <w:r>
        <w:rPr>
          <w:rFonts w:hint="eastAsia" w:ascii="Times New Roman" w:cs="Times New Roman"/>
          <w:kern w:val="0"/>
          <w:sz w:val="24"/>
          <w:szCs w:val="24"/>
          <w:lang w:val="en-US" w:eastAsia="zh-CN"/>
        </w:rPr>
        <w:t>7.4</w:t>
      </w:r>
      <w:r>
        <w:rPr>
          <w:rFonts w:ascii="Times New Roman" w:hAnsi="Times New Roman" w:cs="Times New Roman"/>
          <w:kern w:val="0"/>
          <w:sz w:val="24"/>
          <w:szCs w:val="24"/>
        </w:rPr>
        <w:t>mg/m3，排放速率为</w:t>
      </w:r>
      <w:r>
        <w:rPr>
          <w:rFonts w:hint="eastAsia" w:ascii="Times New Roman" w:cs="Times New Roman"/>
          <w:kern w:val="0"/>
          <w:sz w:val="24"/>
          <w:szCs w:val="24"/>
          <w:lang w:val="en-US" w:eastAsia="zh-CN"/>
        </w:rPr>
        <w:t>11.6</w:t>
      </w:r>
      <w:r>
        <w:rPr>
          <w:rFonts w:ascii="Times New Roman" w:hAnsi="Times New Roman" w:cs="Times New Roman"/>
          <w:kern w:val="0"/>
          <w:sz w:val="24"/>
          <w:szCs w:val="24"/>
        </w:rPr>
        <w:t>kg/h；</w:t>
      </w:r>
    </w:p>
    <w:p>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jc w:val="left"/>
        <w:textAlignment w:val="auto"/>
        <w:rPr>
          <w:rFonts w:ascii="Times New Roman" w:hAnsi="Times New Roman" w:eastAsia="黑体"/>
          <w:bCs/>
          <w:sz w:val="24"/>
        </w:rPr>
      </w:pPr>
      <w:r>
        <w:rPr>
          <w:rFonts w:ascii="Times New Roman" w:hAnsi="Times New Roman" w:eastAsia="宋体" w:cs="Times New Roman"/>
          <w:color w:val="auto"/>
          <w:kern w:val="0"/>
          <w:sz w:val="24"/>
          <w:szCs w:val="24"/>
          <w:lang w:val="en-US" w:eastAsia="zh-CN" w:bidi="ar-SA"/>
        </w:rPr>
        <w:t>8#厂房屋顶罩废</w:t>
      </w:r>
      <w:r>
        <w:rPr>
          <w:rFonts w:ascii="Times New Roman" w:hAnsi="Times New Roman" w:cs="Times New Roman"/>
          <w:kern w:val="0"/>
          <w:sz w:val="24"/>
          <w:szCs w:val="24"/>
        </w:rPr>
        <w:t>气</w:t>
      </w:r>
      <w:r>
        <w:rPr>
          <w:rFonts w:hint="eastAsia" w:ascii="Times New Roman" w:hAnsi="Times New Roman" w:eastAsia="宋体" w:cs="Times New Roman"/>
          <w:color w:val="auto"/>
          <w:kern w:val="0"/>
          <w:sz w:val="24"/>
          <w:szCs w:val="24"/>
          <w:lang w:val="en-US" w:eastAsia="zh-CN" w:bidi="ar-SA"/>
        </w:rPr>
        <w:t>颗粒物</w:t>
      </w:r>
      <w:r>
        <w:rPr>
          <w:rFonts w:ascii="Times New Roman" w:hAnsi="Times New Roman" w:cs="Times New Roman"/>
          <w:kern w:val="0"/>
          <w:sz w:val="24"/>
          <w:szCs w:val="24"/>
        </w:rPr>
        <w:t>排放浓度为2</w:t>
      </w:r>
      <w:r>
        <w:rPr>
          <w:rFonts w:hint="eastAsia" w:ascii="Times New Roman" w:cs="Times New Roman"/>
          <w:kern w:val="0"/>
          <w:sz w:val="24"/>
          <w:szCs w:val="24"/>
          <w:lang w:val="en-US" w:eastAsia="zh-CN"/>
        </w:rPr>
        <w:t>7</w:t>
      </w:r>
      <w:r>
        <w:rPr>
          <w:rFonts w:ascii="Times New Roman" w:hAnsi="Times New Roman" w:cs="Times New Roman"/>
          <w:kern w:val="0"/>
          <w:sz w:val="24"/>
          <w:szCs w:val="24"/>
        </w:rPr>
        <w:t>mg/m3，排放速率为</w:t>
      </w:r>
      <w:r>
        <w:rPr>
          <w:rFonts w:hint="eastAsia" w:ascii="Times New Roman" w:cs="Times New Roman"/>
          <w:kern w:val="0"/>
          <w:sz w:val="24"/>
          <w:szCs w:val="24"/>
          <w:lang w:val="en-US" w:eastAsia="zh-CN"/>
        </w:rPr>
        <w:t>6.03</w:t>
      </w:r>
      <w:r>
        <w:rPr>
          <w:rFonts w:ascii="Times New Roman" w:hAnsi="Times New Roman" w:cs="Times New Roman"/>
          <w:kern w:val="0"/>
          <w:sz w:val="24"/>
          <w:szCs w:val="24"/>
        </w:rPr>
        <w:t>kg/h；</w:t>
      </w:r>
    </w:p>
    <w:p>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jc w:val="left"/>
        <w:textAlignment w:val="auto"/>
        <w:rPr>
          <w:rFonts w:ascii="Times New Roman" w:hAnsi="Times New Roman" w:eastAsia="黑体"/>
          <w:bCs/>
          <w:sz w:val="24"/>
        </w:rPr>
      </w:pPr>
      <w:r>
        <w:rPr>
          <w:rFonts w:ascii="Times New Roman" w:hAnsi="Times New Roman" w:eastAsia="宋体" w:cs="Times New Roman"/>
          <w:color w:val="auto"/>
          <w:kern w:val="0"/>
          <w:sz w:val="24"/>
          <w:szCs w:val="24"/>
          <w:lang w:val="en-US" w:eastAsia="zh-CN" w:bidi="ar-SA"/>
        </w:rPr>
        <w:t>7#8#南移动</w:t>
      </w:r>
      <w:r>
        <w:rPr>
          <w:rFonts w:hint="eastAsia" w:ascii="Times New Roman" w:hAnsi="Times New Roman" w:eastAsia="宋体" w:cs="Times New Roman"/>
          <w:color w:val="auto"/>
          <w:kern w:val="0"/>
          <w:sz w:val="24"/>
          <w:szCs w:val="24"/>
          <w:lang w:val="en-US" w:eastAsia="zh-CN" w:bidi="ar-SA"/>
        </w:rPr>
        <w:t>除尘</w:t>
      </w:r>
      <w:r>
        <w:rPr>
          <w:rFonts w:ascii="Times New Roman" w:hAnsi="Times New Roman" w:eastAsia="宋体" w:cs="Times New Roman"/>
          <w:color w:val="auto"/>
          <w:kern w:val="0"/>
          <w:sz w:val="24"/>
          <w:szCs w:val="24"/>
          <w:lang w:val="en-US" w:eastAsia="zh-CN" w:bidi="ar-SA"/>
        </w:rPr>
        <w:t>罩废气</w:t>
      </w:r>
      <w:r>
        <w:rPr>
          <w:rFonts w:hint="eastAsia" w:ascii="Times New Roman" w:hAnsi="Times New Roman" w:cs="Times New Roman"/>
          <w:kern w:val="0"/>
          <w:sz w:val="24"/>
          <w:szCs w:val="24"/>
          <w:lang w:val="en-US" w:eastAsia="zh-CN"/>
        </w:rPr>
        <w:t>颗粒物</w:t>
      </w:r>
      <w:r>
        <w:rPr>
          <w:rFonts w:ascii="Times New Roman" w:hAnsi="Times New Roman" w:cs="Times New Roman"/>
          <w:kern w:val="0"/>
          <w:sz w:val="24"/>
          <w:szCs w:val="24"/>
        </w:rPr>
        <w:t>排放浓度为2</w:t>
      </w:r>
      <w:r>
        <w:rPr>
          <w:rFonts w:hint="eastAsia" w:ascii="Times New Roman" w:cs="Times New Roman"/>
          <w:kern w:val="0"/>
          <w:sz w:val="24"/>
          <w:szCs w:val="24"/>
          <w:lang w:val="en-US" w:eastAsia="zh-CN"/>
        </w:rPr>
        <w:t>8</w:t>
      </w:r>
      <w:r>
        <w:rPr>
          <w:rFonts w:ascii="Times New Roman" w:hAnsi="Times New Roman" w:cs="Times New Roman"/>
          <w:kern w:val="0"/>
          <w:sz w:val="24"/>
          <w:szCs w:val="24"/>
        </w:rPr>
        <w:t>mg/m3，排放速率为</w:t>
      </w:r>
      <w:r>
        <w:rPr>
          <w:rFonts w:hint="eastAsia" w:ascii="Times New Roman" w:cs="Times New Roman"/>
          <w:kern w:val="0"/>
          <w:sz w:val="24"/>
          <w:szCs w:val="24"/>
          <w:lang w:val="en-US" w:eastAsia="zh-CN"/>
        </w:rPr>
        <w:t>12.4</w:t>
      </w:r>
      <w:r>
        <w:rPr>
          <w:rFonts w:ascii="Times New Roman" w:hAnsi="Times New Roman" w:cs="Times New Roman"/>
          <w:kern w:val="0"/>
          <w:sz w:val="24"/>
          <w:szCs w:val="24"/>
        </w:rPr>
        <w:t>kg/h；</w:t>
      </w:r>
    </w:p>
    <w:p>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jc w:val="left"/>
        <w:textAlignment w:val="auto"/>
        <w:rPr>
          <w:rFonts w:ascii="Times New Roman" w:hAnsi="Times New Roman" w:eastAsia="黑体"/>
          <w:bCs/>
          <w:sz w:val="24"/>
        </w:rPr>
      </w:pPr>
      <w:r>
        <w:rPr>
          <w:rFonts w:hint="eastAsia" w:ascii="Times New Roman" w:hAnsi="Times New Roman" w:eastAsia="宋体" w:cs="Times New Roman"/>
          <w:color w:val="auto"/>
          <w:kern w:val="0"/>
          <w:sz w:val="24"/>
          <w:szCs w:val="24"/>
          <w:lang w:val="en-US" w:eastAsia="zh-CN" w:bidi="ar-SA"/>
        </w:rPr>
        <w:t>2#</w:t>
      </w:r>
      <w:r>
        <w:rPr>
          <w:rFonts w:ascii="Times New Roman" w:hAnsi="Times New Roman" w:eastAsia="宋体" w:cs="Times New Roman"/>
          <w:color w:val="auto"/>
          <w:kern w:val="0"/>
          <w:sz w:val="24"/>
          <w:szCs w:val="24"/>
          <w:lang w:val="zh-CN" w:eastAsia="zh-CN" w:bidi="ar-SA"/>
        </w:rPr>
        <w:t>拌料间</w:t>
      </w:r>
      <w:r>
        <w:rPr>
          <w:rFonts w:ascii="Times New Roman" w:hAnsi="Times New Roman" w:eastAsia="宋体" w:cs="Times New Roman"/>
          <w:color w:val="auto"/>
          <w:kern w:val="0"/>
          <w:sz w:val="24"/>
          <w:szCs w:val="24"/>
          <w:lang w:val="en-US" w:eastAsia="zh-CN" w:bidi="ar-SA"/>
        </w:rPr>
        <w:t>废</w:t>
      </w:r>
      <w:r>
        <w:rPr>
          <w:rFonts w:ascii="Times New Roman" w:hAnsi="Times New Roman" w:cs="Times New Roman"/>
          <w:kern w:val="0"/>
          <w:sz w:val="24"/>
          <w:szCs w:val="24"/>
        </w:rPr>
        <w:t>气</w:t>
      </w:r>
      <w:r>
        <w:rPr>
          <w:rFonts w:hint="eastAsia" w:ascii="Times New Roman" w:hAnsi="Times New Roman" w:cs="Times New Roman"/>
          <w:kern w:val="0"/>
          <w:sz w:val="24"/>
          <w:szCs w:val="24"/>
          <w:lang w:val="en-US" w:eastAsia="zh-CN"/>
        </w:rPr>
        <w:t>颗粒物</w:t>
      </w:r>
      <w:r>
        <w:rPr>
          <w:rFonts w:ascii="Times New Roman" w:hAnsi="Times New Roman" w:cs="Times New Roman"/>
          <w:kern w:val="0"/>
          <w:sz w:val="24"/>
          <w:szCs w:val="24"/>
        </w:rPr>
        <w:t>排放浓度为</w:t>
      </w:r>
      <w:r>
        <w:rPr>
          <w:rFonts w:hint="eastAsia" w:ascii="Times New Roman" w:hAnsi="Times New Roman" w:cs="Times New Roman"/>
          <w:kern w:val="0"/>
          <w:sz w:val="24"/>
          <w:szCs w:val="24"/>
          <w:lang w:val="en-US" w:eastAsia="zh-CN"/>
        </w:rPr>
        <w:t>6.7</w:t>
      </w:r>
      <w:r>
        <w:rPr>
          <w:rFonts w:ascii="Times New Roman" w:hAnsi="Times New Roman" w:cs="Times New Roman"/>
          <w:kern w:val="0"/>
          <w:sz w:val="24"/>
          <w:szCs w:val="24"/>
        </w:rPr>
        <w:t>mg/m3，排放速率为</w:t>
      </w:r>
      <w:r>
        <w:rPr>
          <w:rFonts w:hint="eastAsia" w:ascii="Times New Roman" w:cs="Times New Roman"/>
          <w:kern w:val="0"/>
          <w:sz w:val="24"/>
          <w:szCs w:val="24"/>
          <w:lang w:val="en-US" w:eastAsia="zh-CN"/>
        </w:rPr>
        <w:t>4.07</w:t>
      </w:r>
      <w:r>
        <w:rPr>
          <w:rFonts w:ascii="Times New Roman" w:hAnsi="Times New Roman" w:cs="Times New Roman"/>
          <w:kern w:val="0"/>
          <w:sz w:val="24"/>
          <w:szCs w:val="24"/>
        </w:rPr>
        <w:t>kg/h；</w:t>
      </w:r>
    </w:p>
    <w:p>
      <w:pPr>
        <w:pStyle w:val="2"/>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textAlignment w:val="auto"/>
        <w:rPr>
          <w:rFonts w:ascii="Times New Roman" w:hAnsi="Times New Roman" w:cs="Times New Roman"/>
          <w:color w:val="000000"/>
          <w:kern w:val="0"/>
          <w:sz w:val="24"/>
          <w:szCs w:val="24"/>
        </w:rPr>
      </w:pPr>
      <w:r>
        <w:rPr>
          <w:rFonts w:hint="eastAsia"/>
          <w:lang w:val="en-US" w:eastAsia="zh-CN"/>
        </w:rPr>
        <w:t>上述监测结果均能满足</w:t>
      </w:r>
      <w:r>
        <w:rPr>
          <w:rFonts w:ascii="Times New Roman" w:hAnsi="Times New Roman"/>
          <w:bCs/>
          <w:color w:val="000000"/>
          <w:szCs w:val="21"/>
        </w:rPr>
        <w:t>GB28664-2012</w:t>
      </w:r>
      <w:r>
        <w:rPr>
          <w:rFonts w:ascii="Times New Roman" w:hAnsi="Times New Roman"/>
          <w:color w:val="000000"/>
          <w:szCs w:val="21"/>
        </w:rPr>
        <w:t>《</w:t>
      </w:r>
      <w:r>
        <w:rPr>
          <w:rFonts w:ascii="Times New Roman" w:hAnsi="Times New Roman"/>
          <w:bCs/>
          <w:color w:val="000000"/>
          <w:szCs w:val="21"/>
        </w:rPr>
        <w:t>炼钢工业大气污染物排放标准》表3中钢渣处理限值</w:t>
      </w:r>
      <w:r>
        <w:rPr>
          <w:rFonts w:hint="eastAsia" w:ascii="Times New Roman"/>
          <w:bCs/>
          <w:color w:val="000000"/>
          <w:szCs w:val="21"/>
          <w:lang w:eastAsia="zh-CN"/>
        </w:rPr>
        <w:t>。</w:t>
      </w:r>
    </w:p>
    <w:p>
      <w:pPr>
        <w:autoSpaceDE w:val="0"/>
        <w:autoSpaceDN w:val="0"/>
        <w:spacing w:line="420" w:lineRule="exact"/>
        <w:ind w:firstLine="480" w:firstLineChars="200"/>
        <w:rPr>
          <w:rFonts w:ascii="Microsoft New Tai Lue" w:hAnsi="Microsoft New Tai Lue" w:cs="Microsoft New Tai Lue"/>
          <w:kern w:val="0"/>
          <w:sz w:val="24"/>
          <w:szCs w:val="24"/>
        </w:rPr>
      </w:pPr>
      <w:r>
        <w:rPr>
          <w:rFonts w:ascii="Microsoft New Tai Lue" w:hAnsi="Microsoft New Tai Lue" w:cs="Microsoft New Tai Lue"/>
          <w:kern w:val="0"/>
          <w:sz w:val="24"/>
          <w:szCs w:val="24"/>
        </w:rPr>
        <w:t>2、无组织废气</w:t>
      </w:r>
    </w:p>
    <w:p>
      <w:pPr>
        <w:autoSpaceDE w:val="0"/>
        <w:autoSpaceDN w:val="0"/>
        <w:adjustRightInd w:val="0"/>
        <w:spacing w:line="440" w:lineRule="exact"/>
        <w:ind w:firstLine="480" w:firstLineChars="200"/>
        <w:jc w:val="left"/>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监测期间，4#5#6#</w:t>
      </w:r>
      <w:r>
        <w:rPr>
          <w:rFonts w:ascii="Times New Roman" w:hAnsi="Times New Roman" w:cs="Times New Roman"/>
          <w:color w:val="000000"/>
          <w:kern w:val="0"/>
          <w:sz w:val="24"/>
          <w:szCs w:val="24"/>
          <w:lang w:val="zh-CN"/>
        </w:rPr>
        <w:t>车间</w:t>
      </w:r>
      <w:r>
        <w:rPr>
          <w:rFonts w:ascii="Times New Roman" w:hAnsi="Times New Roman" w:cs="Times New Roman"/>
          <w:color w:val="000000"/>
          <w:kern w:val="0"/>
          <w:sz w:val="24"/>
          <w:szCs w:val="24"/>
        </w:rPr>
        <w:t>无组织颗粒物浓度</w:t>
      </w:r>
      <w:r>
        <w:rPr>
          <w:rFonts w:hint="eastAsia" w:ascii="Times New Roman" w:hAnsi="Times New Roman" w:cs="Times New Roman"/>
          <w:color w:val="000000"/>
          <w:kern w:val="0"/>
          <w:sz w:val="24"/>
          <w:szCs w:val="24"/>
        </w:rPr>
        <w:t>最大值为</w:t>
      </w:r>
      <w:r>
        <w:rPr>
          <w:rFonts w:ascii="Times New Roman" w:hAnsi="Times New Roman" w:cs="Times New Roman"/>
          <w:color w:val="000000"/>
          <w:kern w:val="0"/>
          <w:sz w:val="24"/>
          <w:szCs w:val="24"/>
        </w:rPr>
        <w:t xml:space="preserve"> 0.</w:t>
      </w:r>
      <w:r>
        <w:rPr>
          <w:rFonts w:hint="eastAsia" w:ascii="Times New Roman" w:hAnsi="Times New Roman" w:cs="Times New Roman"/>
          <w:color w:val="000000"/>
          <w:kern w:val="0"/>
          <w:sz w:val="24"/>
          <w:szCs w:val="24"/>
          <w:lang w:val="en-US" w:eastAsia="zh-CN"/>
        </w:rPr>
        <w:t>844</w:t>
      </w:r>
      <w:r>
        <w:rPr>
          <w:rFonts w:ascii="Times New Roman" w:hAnsi="Times New Roman" w:cs="Times New Roman"/>
          <w:color w:val="000000"/>
          <w:kern w:val="0"/>
          <w:sz w:val="24"/>
          <w:szCs w:val="24"/>
        </w:rPr>
        <w:t>mg/m</w:t>
      </w:r>
      <w:r>
        <w:rPr>
          <w:rFonts w:ascii="Times New Roman" w:hAnsi="Times New Roman" w:cs="Times New Roman"/>
          <w:color w:val="000000"/>
          <w:kern w:val="0"/>
          <w:sz w:val="24"/>
          <w:szCs w:val="24"/>
          <w:vertAlign w:val="superscript"/>
        </w:rPr>
        <w:t>3</w:t>
      </w:r>
      <w:r>
        <w:rPr>
          <w:rFonts w:ascii="Times New Roman" w:hAnsi="Times New Roman" w:cs="Times New Roman"/>
          <w:color w:val="000000"/>
          <w:kern w:val="0"/>
          <w:sz w:val="24"/>
          <w:szCs w:val="24"/>
        </w:rPr>
        <w:t>，7#8#</w:t>
      </w:r>
      <w:r>
        <w:rPr>
          <w:rFonts w:ascii="Times New Roman" w:hAnsi="Times New Roman" w:cs="Times New Roman"/>
          <w:color w:val="000000"/>
          <w:kern w:val="0"/>
          <w:sz w:val="24"/>
          <w:szCs w:val="24"/>
          <w:lang w:val="zh-CN"/>
        </w:rPr>
        <w:t>车间</w:t>
      </w:r>
      <w:r>
        <w:rPr>
          <w:rFonts w:ascii="Times New Roman" w:hAnsi="Times New Roman" w:cs="Times New Roman"/>
          <w:color w:val="000000"/>
          <w:kern w:val="0"/>
          <w:sz w:val="24"/>
          <w:szCs w:val="24"/>
        </w:rPr>
        <w:t>无组织颗粒物浓度</w:t>
      </w:r>
      <w:r>
        <w:rPr>
          <w:rFonts w:hint="eastAsia" w:ascii="Times New Roman" w:hAnsi="Times New Roman" w:cs="Times New Roman"/>
          <w:color w:val="000000"/>
          <w:kern w:val="0"/>
          <w:sz w:val="24"/>
          <w:szCs w:val="24"/>
        </w:rPr>
        <w:t>最大值为</w:t>
      </w:r>
      <w:r>
        <w:rPr>
          <w:rFonts w:hint="eastAsia" w:ascii="Times New Roman" w:hAnsi="Times New Roman" w:cs="Times New Roman"/>
          <w:color w:val="000000"/>
          <w:kern w:val="0"/>
          <w:sz w:val="24"/>
          <w:szCs w:val="24"/>
          <w:lang w:val="en-US" w:eastAsia="zh-CN"/>
        </w:rPr>
        <w:t>0.835</w:t>
      </w:r>
      <w:r>
        <w:rPr>
          <w:rFonts w:ascii="Times New Roman" w:hAnsi="Times New Roman" w:cs="Times New Roman"/>
          <w:color w:val="000000"/>
          <w:kern w:val="0"/>
          <w:sz w:val="24"/>
          <w:szCs w:val="24"/>
        </w:rPr>
        <w:t>mg/m</w:t>
      </w:r>
      <w:r>
        <w:rPr>
          <w:rFonts w:ascii="Times New Roman" w:hAnsi="Times New Roman" w:cs="Times New Roman"/>
          <w:color w:val="000000"/>
          <w:kern w:val="0"/>
          <w:sz w:val="24"/>
          <w:szCs w:val="24"/>
          <w:vertAlign w:val="superscript"/>
        </w:rPr>
        <w:t>3</w:t>
      </w:r>
      <w:r>
        <w:rPr>
          <w:rFonts w:ascii="Times New Roman" w:hAnsi="Times New Roman" w:cs="Times New Roman"/>
          <w:color w:val="000000"/>
          <w:kern w:val="0"/>
          <w:sz w:val="24"/>
          <w:szCs w:val="24"/>
        </w:rPr>
        <w:t>，</w:t>
      </w:r>
      <w:r>
        <w:rPr>
          <w:rFonts w:hint="eastAsia" w:ascii="Times New Roman" w:hAnsi="Times New Roman" w:cs="Times New Roman"/>
          <w:color w:val="000000"/>
          <w:kern w:val="0"/>
          <w:sz w:val="24"/>
          <w:szCs w:val="24"/>
          <w:lang w:val="en-US" w:eastAsia="zh-CN"/>
        </w:rPr>
        <w:t>均</w:t>
      </w:r>
      <w:r>
        <w:rPr>
          <w:rFonts w:hint="eastAsia" w:ascii="Times New Roman" w:hAnsi="Times New Roman" w:cs="Times New Roman"/>
          <w:color w:val="000000"/>
          <w:kern w:val="0"/>
          <w:sz w:val="24"/>
          <w:szCs w:val="24"/>
        </w:rPr>
        <w:t>满足</w:t>
      </w:r>
      <w:r>
        <w:rPr>
          <w:rFonts w:ascii="Times New Roman" w:hAnsi="Times New Roman" w:cs="Times New Roman"/>
          <w:color w:val="000000"/>
          <w:kern w:val="0"/>
          <w:sz w:val="24"/>
          <w:szCs w:val="24"/>
        </w:rPr>
        <w:t>《大气污染物综合排放标准》（GB16297-1996）中表 2 相应标准。</w:t>
      </w:r>
    </w:p>
    <w:p>
      <w:pPr>
        <w:autoSpaceDE w:val="0"/>
        <w:autoSpaceDN w:val="0"/>
        <w:spacing w:line="420" w:lineRule="exact"/>
        <w:ind w:firstLine="480" w:firstLineChars="200"/>
        <w:rPr>
          <w:rFonts w:ascii="Microsoft New Tai Lue" w:hAnsi="Microsoft New Tai Lue" w:cs="Microsoft New Tai Lue"/>
          <w:kern w:val="0"/>
          <w:sz w:val="24"/>
          <w:szCs w:val="24"/>
        </w:rPr>
      </w:pPr>
      <w:r>
        <w:rPr>
          <w:rFonts w:ascii="Microsoft New Tai Lue" w:hAnsi="Microsoft New Tai Lue" w:cs="Microsoft New Tai Lue"/>
          <w:kern w:val="0"/>
          <w:sz w:val="24"/>
          <w:szCs w:val="24"/>
        </w:rPr>
        <w:t>（二）噪声</w:t>
      </w:r>
    </w:p>
    <w:p>
      <w:pPr>
        <w:snapToGrid w:val="0"/>
        <w:spacing w:before="156" w:beforeLines="50" w:line="360" w:lineRule="auto"/>
        <w:ind w:firstLine="480" w:firstLineChars="200"/>
        <w:rPr>
          <w:rFonts w:ascii="Times New Roman" w:hAnsi="Times New Roman" w:cs="Times New Roman"/>
          <w:sz w:val="24"/>
          <w:szCs w:val="24"/>
        </w:rPr>
      </w:pPr>
      <w:r>
        <w:rPr>
          <w:rFonts w:ascii="Times New Roman" w:hAnsi="Times New Roman"/>
          <w:sz w:val="24"/>
        </w:rPr>
        <w:t>厂界昼间噪声为</w:t>
      </w:r>
      <w:r>
        <w:rPr>
          <w:rFonts w:hint="eastAsia" w:ascii="Times New Roman" w:hAnsi="Times New Roman"/>
          <w:sz w:val="24"/>
        </w:rPr>
        <w:t>53.8~57.3</w:t>
      </w:r>
      <w:r>
        <w:rPr>
          <w:rFonts w:ascii="Times New Roman" w:hAnsi="Times New Roman"/>
          <w:sz w:val="24"/>
        </w:rPr>
        <w:t xml:space="preserve"> dB(A)，夜间噪声为</w:t>
      </w:r>
      <w:r>
        <w:rPr>
          <w:rFonts w:hint="eastAsia" w:ascii="Times New Roman" w:hAnsi="Times New Roman"/>
          <w:sz w:val="24"/>
        </w:rPr>
        <w:t>46.9~48.4</w:t>
      </w:r>
      <w:r>
        <w:rPr>
          <w:rFonts w:ascii="Times New Roman" w:hAnsi="Times New Roman"/>
          <w:sz w:val="24"/>
        </w:rPr>
        <w:t xml:space="preserve"> dB(A)</w:t>
      </w:r>
      <w:r>
        <w:rPr>
          <w:rFonts w:hint="eastAsia" w:ascii="Times New Roman" w:hAnsi="Times New Roman"/>
          <w:sz w:val="24"/>
          <w:lang w:eastAsia="zh-CN"/>
        </w:rPr>
        <w:t>，</w:t>
      </w:r>
      <w:r>
        <w:rPr>
          <w:rFonts w:ascii="Times New Roman" w:hAnsi="Times New Roman"/>
          <w:sz w:val="24"/>
        </w:rPr>
        <w:t>达到了《工业企业厂界环境噪声排放标准》（GB12348-2008）中2类标准限值</w:t>
      </w:r>
      <w:r>
        <w:rPr>
          <w:rFonts w:hint="eastAsia" w:ascii="Times New Roman" w:hAnsi="Times New Roman"/>
          <w:sz w:val="24"/>
          <w:lang w:eastAsia="zh-CN"/>
        </w:rPr>
        <w:t>。</w:t>
      </w:r>
      <w:r>
        <w:rPr>
          <w:rFonts w:ascii="Times New Roman" w:hAnsi="Times New Roman"/>
          <w:sz w:val="24"/>
        </w:rPr>
        <w:t>2个敏感点昼间噪声为4</w:t>
      </w:r>
      <w:r>
        <w:rPr>
          <w:rFonts w:hint="eastAsia" w:ascii="Times New Roman" w:hAnsi="Times New Roman"/>
          <w:sz w:val="24"/>
        </w:rPr>
        <w:t>7.6</w:t>
      </w:r>
      <w:r>
        <w:rPr>
          <w:rFonts w:ascii="Times New Roman" w:hAnsi="Times New Roman"/>
          <w:sz w:val="24"/>
        </w:rPr>
        <w:t>~</w:t>
      </w:r>
      <w:r>
        <w:rPr>
          <w:rFonts w:hint="eastAsia" w:ascii="Times New Roman" w:hAnsi="Times New Roman"/>
          <w:sz w:val="24"/>
        </w:rPr>
        <w:t>49.7</w:t>
      </w:r>
      <w:r>
        <w:rPr>
          <w:rFonts w:ascii="Times New Roman" w:hAnsi="Times New Roman"/>
          <w:sz w:val="24"/>
        </w:rPr>
        <w:t xml:space="preserve"> dB(A)</w:t>
      </w:r>
      <w:r>
        <w:rPr>
          <w:rFonts w:hint="eastAsia" w:ascii="Times New Roman" w:hAnsi="Times New Roman"/>
          <w:sz w:val="24"/>
          <w:lang w:eastAsia="zh-CN"/>
        </w:rPr>
        <w:t>，</w:t>
      </w:r>
      <w:r>
        <w:rPr>
          <w:rFonts w:ascii="Times New Roman" w:hAnsi="Times New Roman"/>
          <w:sz w:val="24"/>
        </w:rPr>
        <w:t>夜间为</w:t>
      </w:r>
      <w:r>
        <w:rPr>
          <w:rFonts w:hint="eastAsia" w:ascii="Times New Roman" w:hAnsi="Times New Roman"/>
          <w:sz w:val="24"/>
        </w:rPr>
        <w:t>41.4~42.9</w:t>
      </w:r>
      <w:r>
        <w:rPr>
          <w:rFonts w:ascii="Times New Roman" w:hAnsi="Times New Roman"/>
          <w:sz w:val="24"/>
        </w:rPr>
        <w:t>dB(A)</w:t>
      </w:r>
      <w:r>
        <w:rPr>
          <w:rFonts w:hint="eastAsia" w:ascii="Times New Roman" w:hAnsi="Times New Roman"/>
          <w:sz w:val="24"/>
          <w:lang w:eastAsia="zh-CN"/>
        </w:rPr>
        <w:t>，</w:t>
      </w:r>
      <w:r>
        <w:rPr>
          <w:rFonts w:ascii="Times New Roman" w:hAnsi="Times New Roman"/>
          <w:sz w:val="24"/>
        </w:rPr>
        <w:t>均达到《声环境质量标准》（GB3096-2008）中1类标准限值。</w:t>
      </w:r>
    </w:p>
    <w:p>
      <w:pPr>
        <w:pStyle w:val="16"/>
        <w:autoSpaceDE w:val="0"/>
        <w:autoSpaceDN w:val="0"/>
        <w:spacing w:line="420" w:lineRule="exact"/>
        <w:ind w:left="420" w:leftChars="200" w:firstLine="0" w:firstLineChars="0"/>
        <w:rPr>
          <w:rFonts w:ascii="Microsoft New Tai Lue" w:hAnsi="Microsoft New Tai Lue" w:cs="Microsoft New Tai Lue"/>
          <w:kern w:val="0"/>
          <w:sz w:val="24"/>
          <w:szCs w:val="24"/>
        </w:rPr>
      </w:pPr>
      <w:r>
        <w:rPr>
          <w:rFonts w:ascii="Microsoft New Tai Lue" w:hAnsi="Microsoft New Tai Lue" w:cs="Microsoft New Tai Lue"/>
          <w:kern w:val="0"/>
          <w:sz w:val="24"/>
          <w:szCs w:val="24"/>
        </w:rPr>
        <w:t>五、工程建设对环境的影响</w:t>
      </w:r>
    </w:p>
    <w:p>
      <w:pPr>
        <w:spacing w:line="360" w:lineRule="auto"/>
        <w:ind w:firstLine="480" w:firstLineChars="200"/>
        <w:rPr>
          <w:rFonts w:ascii="Microsoft New Tai Lue" w:hAnsi="Microsoft New Tai Lue" w:cs="Microsoft New Tai Lue"/>
          <w:kern w:val="0"/>
          <w:sz w:val="24"/>
          <w:szCs w:val="24"/>
        </w:rPr>
      </w:pPr>
      <w:r>
        <w:rPr>
          <w:rFonts w:ascii="Microsoft New Tai Lue" w:hAnsi="Microsoft New Tai Lue" w:cs="Microsoft New Tai Lue"/>
          <w:kern w:val="0"/>
          <w:sz w:val="24"/>
          <w:szCs w:val="24"/>
        </w:rPr>
        <w:t>在环保设施正常运行的状态下，</w:t>
      </w:r>
      <w:r>
        <w:rPr>
          <w:rFonts w:hint="eastAsia" w:ascii="Microsoft New Tai Lue" w:hAnsi="Microsoft New Tai Lue" w:cs="Microsoft New Tai Lue"/>
          <w:kern w:val="0"/>
          <w:sz w:val="24"/>
          <w:szCs w:val="24"/>
        </w:rPr>
        <w:t>各项废气污染物都可以做到达标排放；</w:t>
      </w:r>
      <w:r>
        <w:rPr>
          <w:rFonts w:ascii="Times New Roman" w:hAnsi="Times New Roman"/>
          <w:kern w:val="0"/>
          <w:sz w:val="24"/>
        </w:rPr>
        <w:t>废水中的生活污水经太钢厂区污水管网进入太钢赵庄污水处理厂处理后回用；生产废水为</w:t>
      </w:r>
      <w:r>
        <w:rPr>
          <w:rFonts w:ascii="Times New Roman" w:hAnsi="Times New Roman"/>
          <w:bCs/>
          <w:color w:val="000000"/>
          <w:sz w:val="24"/>
        </w:rPr>
        <w:t>热焖池产生的冷却水，经沉淀分离后可循环使用</w:t>
      </w:r>
      <w:r>
        <w:rPr>
          <w:rFonts w:ascii="Times New Roman" w:hAnsi="Times New Roman"/>
          <w:kern w:val="0"/>
          <w:sz w:val="24"/>
        </w:rPr>
        <w:t>；</w:t>
      </w:r>
      <w:r>
        <w:rPr>
          <w:rFonts w:ascii="Microsoft New Tai Lue" w:hAnsi="Microsoft New Tai Lue" w:cs="Microsoft New Tai Lue"/>
          <w:kern w:val="0"/>
          <w:sz w:val="24"/>
          <w:szCs w:val="24"/>
        </w:rPr>
        <w:t>厂界昼间夜间噪声监测结果均符合相关标准要求，对外环境影响较小。</w:t>
      </w:r>
    </w:p>
    <w:p>
      <w:pPr>
        <w:spacing w:line="360" w:lineRule="auto"/>
        <w:ind w:firstLine="480" w:firstLineChars="200"/>
      </w:pPr>
      <w:r>
        <w:rPr>
          <w:rFonts w:ascii="Times New Roman" w:hAnsi="Times New Roman"/>
          <w:kern w:val="0"/>
          <w:sz w:val="24"/>
        </w:rPr>
        <w:t>公司产生的废物主要大块钢料、钢渣、废机油、除尘灰以及职工生活垃圾等，生活垃圾统一设置垃圾箱，定期交由环卫部门统一处置；产生的大块钢料送废钢料场进行切割处理；钢渣送入渣钢分离处理线进行分离处理；除尘灰</w:t>
      </w:r>
      <w:r>
        <w:rPr>
          <w:rFonts w:hint="eastAsia" w:ascii="Times New Roman" w:hAnsi="Times New Roman"/>
          <w:kern w:val="0"/>
          <w:sz w:val="24"/>
        </w:rPr>
        <w:t>作为炼钢原料回收</w:t>
      </w:r>
      <w:r>
        <w:rPr>
          <w:rFonts w:ascii="Times New Roman" w:hAnsi="Times New Roman"/>
          <w:kern w:val="0"/>
          <w:sz w:val="24"/>
        </w:rPr>
        <w:t>利用</w:t>
      </w:r>
      <w:r>
        <w:rPr>
          <w:rFonts w:hint="eastAsia" w:ascii="Times New Roman" w:hAnsi="Times New Roman"/>
          <w:kern w:val="0"/>
          <w:sz w:val="24"/>
          <w:lang w:eastAsia="zh-CN"/>
        </w:rPr>
        <w:t>。</w:t>
      </w:r>
    </w:p>
    <w:p>
      <w:pPr>
        <w:pStyle w:val="16"/>
        <w:autoSpaceDE w:val="0"/>
        <w:autoSpaceDN w:val="0"/>
        <w:spacing w:line="420" w:lineRule="exact"/>
        <w:ind w:left="420" w:leftChars="200" w:firstLine="0" w:firstLineChars="0"/>
        <w:rPr>
          <w:rFonts w:ascii="Microsoft New Tai Lue" w:hAnsi="Microsoft New Tai Lue" w:cs="Microsoft New Tai Lue"/>
          <w:kern w:val="0"/>
          <w:sz w:val="24"/>
          <w:szCs w:val="24"/>
        </w:rPr>
      </w:pPr>
      <w:r>
        <w:rPr>
          <w:rFonts w:ascii="Microsoft New Tai Lue" w:hAnsi="Microsoft New Tai Lue" w:cs="Microsoft New Tai Lue"/>
          <w:kern w:val="0"/>
          <w:sz w:val="24"/>
          <w:szCs w:val="24"/>
        </w:rPr>
        <w:t>六、验收结论</w:t>
      </w:r>
    </w:p>
    <w:p>
      <w:pPr>
        <w:autoSpaceDE w:val="0"/>
        <w:autoSpaceDN w:val="0"/>
        <w:spacing w:line="420" w:lineRule="exact"/>
        <w:ind w:firstLine="480" w:firstLineChars="200"/>
        <w:rPr>
          <w:rFonts w:ascii="Microsoft New Tai Lue" w:hAnsi="Microsoft New Tai Lue" w:cs="Microsoft New Tai Lue"/>
          <w:kern w:val="0"/>
          <w:sz w:val="24"/>
          <w:szCs w:val="24"/>
        </w:rPr>
      </w:pPr>
      <w:r>
        <w:rPr>
          <w:rFonts w:ascii="Microsoft New Tai Lue" w:hAnsi="Microsoft New Tai Lue" w:cs="Microsoft New Tai Lue"/>
          <w:kern w:val="0"/>
          <w:sz w:val="24"/>
          <w:szCs w:val="24"/>
        </w:rPr>
        <w:t>该项目履行了环评审批手续，</w:t>
      </w:r>
      <w:r>
        <w:rPr>
          <w:rFonts w:hint="eastAsia" w:ascii="Microsoft New Tai Lue" w:hAnsi="Microsoft New Tai Lue" w:cs="Microsoft New Tai Lue"/>
          <w:kern w:val="0"/>
          <w:sz w:val="24"/>
          <w:szCs w:val="24"/>
        </w:rPr>
        <w:t>建设中</w:t>
      </w:r>
      <w:r>
        <w:rPr>
          <w:rFonts w:ascii="Microsoft New Tai Lue" w:hAnsi="Microsoft New Tai Lue" w:cs="Microsoft New Tai Lue"/>
          <w:kern w:val="0"/>
          <w:sz w:val="24"/>
          <w:szCs w:val="24"/>
        </w:rPr>
        <w:t>按照环评报告</w:t>
      </w:r>
      <w:r>
        <w:rPr>
          <w:rFonts w:hint="eastAsia" w:ascii="Microsoft New Tai Lue" w:hAnsi="Microsoft New Tai Lue" w:cs="Microsoft New Tai Lue"/>
          <w:kern w:val="0"/>
          <w:sz w:val="24"/>
          <w:szCs w:val="24"/>
          <w:lang w:val="en-US" w:eastAsia="zh-CN"/>
        </w:rPr>
        <w:t>表</w:t>
      </w:r>
      <w:r>
        <w:rPr>
          <w:rFonts w:ascii="Microsoft New Tai Lue" w:hAnsi="Microsoft New Tai Lue" w:cs="Microsoft New Tai Lue"/>
          <w:kern w:val="0"/>
          <w:sz w:val="24"/>
          <w:szCs w:val="24"/>
        </w:rPr>
        <w:t>及其批复文件要求建设了相应的环保设施。验收组</w:t>
      </w:r>
      <w:r>
        <w:rPr>
          <w:rFonts w:hint="eastAsia" w:ascii="Microsoft New Tai Lue" w:hAnsi="Microsoft New Tai Lue" w:cs="Microsoft New Tai Lue"/>
          <w:kern w:val="0"/>
          <w:sz w:val="24"/>
          <w:szCs w:val="24"/>
        </w:rPr>
        <w:t>对</w:t>
      </w:r>
      <w:r>
        <w:rPr>
          <w:rFonts w:ascii="Microsoft New Tai Lue" w:hAnsi="Microsoft New Tai Lue" w:cs="Microsoft New Tai Lue"/>
          <w:kern w:val="0"/>
          <w:sz w:val="24"/>
          <w:szCs w:val="24"/>
        </w:rPr>
        <w:t>竣工环保验收报告、验收监测数据报告和其它需要说明的事项进行了核实，按照《建设项目竣工环境保护验收暂行办法》等要求对建设项目配套建设的环境保护设施进行了验收。监测</w:t>
      </w:r>
      <w:r>
        <w:rPr>
          <w:rFonts w:hint="eastAsia" w:ascii="Microsoft New Tai Lue" w:hAnsi="Microsoft New Tai Lue" w:cs="Microsoft New Tai Lue"/>
          <w:kern w:val="0"/>
          <w:sz w:val="24"/>
          <w:szCs w:val="24"/>
        </w:rPr>
        <w:t>结果</w:t>
      </w:r>
      <w:r>
        <w:rPr>
          <w:rFonts w:ascii="Microsoft New Tai Lue" w:hAnsi="Microsoft New Tai Lue" w:cs="Microsoft New Tai Lue"/>
          <w:kern w:val="0"/>
          <w:sz w:val="24"/>
          <w:szCs w:val="24"/>
        </w:rPr>
        <w:t>表明，有组织污染源、厂界无组织污染源、噪声均达标排放，废水、固废均得到合理处理</w:t>
      </w:r>
      <w:r>
        <w:rPr>
          <w:rFonts w:hint="eastAsia" w:ascii="Microsoft New Tai Lue" w:hAnsi="Microsoft New Tai Lue" w:cs="Microsoft New Tai Lue"/>
          <w:kern w:val="0"/>
          <w:sz w:val="24"/>
          <w:szCs w:val="24"/>
        </w:rPr>
        <w:t>和处置</w:t>
      </w:r>
      <w:r>
        <w:rPr>
          <w:rFonts w:ascii="Microsoft New Tai Lue" w:hAnsi="Microsoft New Tai Lue" w:cs="Microsoft New Tai Lue"/>
          <w:kern w:val="0"/>
          <w:sz w:val="24"/>
          <w:szCs w:val="24"/>
        </w:rPr>
        <w:t>，</w:t>
      </w:r>
      <w:r>
        <w:rPr>
          <w:rFonts w:hint="eastAsia" w:ascii="Microsoft New Tai Lue" w:hAnsi="Microsoft New Tai Lue" w:cs="Microsoft New Tai Lue"/>
          <w:kern w:val="0"/>
          <w:sz w:val="24"/>
          <w:szCs w:val="24"/>
        </w:rPr>
        <w:t>污染物排放量</w:t>
      </w:r>
      <w:r>
        <w:rPr>
          <w:rFonts w:ascii="Microsoft New Tai Lue" w:hAnsi="Microsoft New Tai Lue" w:cs="Microsoft New Tai Lue"/>
          <w:kern w:val="0"/>
          <w:sz w:val="24"/>
          <w:szCs w:val="24"/>
        </w:rPr>
        <w:t>满足总量控制要求。在建设过程中不存在违反国家和地方环境保护法律法规的行为，</w:t>
      </w:r>
      <w:r>
        <w:rPr>
          <w:rFonts w:ascii="Microsoft New Tai Lue" w:hAnsi="Microsoft New Tai Lue" w:cs="Microsoft New Tai Lue"/>
          <w:sz w:val="24"/>
          <w:szCs w:val="24"/>
        </w:rPr>
        <w:t>不存在</w:t>
      </w:r>
      <w:r>
        <w:rPr>
          <w:rFonts w:hint="eastAsia" w:ascii="Microsoft New Tai Lue" w:hAnsi="Microsoft New Tai Lue" w:cs="Microsoft New Tai Lue"/>
          <w:sz w:val="24"/>
          <w:szCs w:val="24"/>
        </w:rPr>
        <w:t>环保部</w:t>
      </w:r>
      <w:r>
        <w:rPr>
          <w:rFonts w:ascii="Microsoft New Tai Lue" w:hAnsi="Microsoft New Tai Lue" w:cs="Microsoft New Tai Lue"/>
          <w:sz w:val="24"/>
          <w:szCs w:val="24"/>
        </w:rPr>
        <w:t>规定的验收不合格情形，</w:t>
      </w:r>
      <w:r>
        <w:rPr>
          <w:rFonts w:ascii="Microsoft New Tai Lue" w:hAnsi="Microsoft New Tai Lue" w:cs="Microsoft New Tai Lue"/>
          <w:kern w:val="0"/>
          <w:sz w:val="24"/>
          <w:szCs w:val="24"/>
        </w:rPr>
        <w:t>同意项目通过竣工环境保护验收。</w:t>
      </w:r>
    </w:p>
    <w:p>
      <w:pPr>
        <w:pStyle w:val="2"/>
      </w:pPr>
      <w:bookmarkStart w:id="0" w:name="_GoBack"/>
      <w:bookmarkEnd w:id="0"/>
    </w:p>
    <w:p>
      <w:pPr>
        <w:keepNext w:val="0"/>
        <w:keepLines w:val="0"/>
        <w:pageBreakBefore w:val="0"/>
        <w:widowControl w:val="0"/>
        <w:numPr>
          <w:ilvl w:val="0"/>
          <w:numId w:val="0"/>
        </w:numPr>
        <w:kinsoku/>
        <w:wordWrap/>
        <w:overflowPunct/>
        <w:topLinePunct w:val="0"/>
        <w:autoSpaceDE w:val="0"/>
        <w:autoSpaceDN w:val="0"/>
        <w:bidi w:val="0"/>
        <w:adjustRightInd/>
        <w:snapToGrid/>
        <w:spacing w:line="420" w:lineRule="exact"/>
        <w:textAlignment w:val="auto"/>
        <w:rPr>
          <w:rFonts w:ascii="Microsoft New Tai Lue" w:hAnsi="Microsoft New Tai Lue" w:cs="Microsoft New Tai Lue"/>
          <w:kern w:val="0"/>
          <w:sz w:val="24"/>
          <w:szCs w:val="24"/>
        </w:rPr>
      </w:pPr>
    </w:p>
    <w:p>
      <w:pPr>
        <w:keepNext w:val="0"/>
        <w:keepLines w:val="0"/>
        <w:pageBreakBefore w:val="0"/>
        <w:widowControl w:val="0"/>
        <w:numPr>
          <w:ilvl w:val="0"/>
          <w:numId w:val="0"/>
        </w:numPr>
        <w:kinsoku/>
        <w:wordWrap/>
        <w:overflowPunct/>
        <w:topLinePunct w:val="0"/>
        <w:autoSpaceDE w:val="0"/>
        <w:autoSpaceDN w:val="0"/>
        <w:bidi w:val="0"/>
        <w:adjustRightInd/>
        <w:snapToGrid/>
        <w:spacing w:line="420" w:lineRule="exact"/>
        <w:textAlignment w:val="auto"/>
        <w:rPr>
          <w:rFonts w:ascii="Microsoft New Tai Lue" w:hAnsi="Microsoft New Tai Lue" w:cs="Microsoft New Tai Lue"/>
          <w:kern w:val="0"/>
          <w:sz w:val="24"/>
          <w:szCs w:val="24"/>
        </w:rPr>
      </w:pPr>
    </w:p>
    <w:p>
      <w:pPr>
        <w:keepNext w:val="0"/>
        <w:keepLines w:val="0"/>
        <w:pageBreakBefore w:val="0"/>
        <w:widowControl w:val="0"/>
        <w:numPr>
          <w:ilvl w:val="0"/>
          <w:numId w:val="0"/>
        </w:numPr>
        <w:kinsoku/>
        <w:wordWrap/>
        <w:overflowPunct/>
        <w:topLinePunct w:val="0"/>
        <w:autoSpaceDE w:val="0"/>
        <w:autoSpaceDN w:val="0"/>
        <w:bidi w:val="0"/>
        <w:adjustRightInd/>
        <w:snapToGrid/>
        <w:spacing w:line="420" w:lineRule="exact"/>
        <w:jc w:val="right"/>
        <w:textAlignment w:val="auto"/>
        <w:rPr>
          <w:rFonts w:hint="default" w:ascii="Microsoft New Tai Lue" w:hAnsi="Microsoft New Tai Lue" w:eastAsia="宋体" w:cs="Microsoft New Tai Lue"/>
          <w:kern w:val="0"/>
          <w:sz w:val="24"/>
          <w:szCs w:val="24"/>
          <w:lang w:val="en-US" w:eastAsia="zh-CN"/>
        </w:rPr>
      </w:pPr>
      <w:r>
        <w:rPr>
          <w:rFonts w:hint="eastAsia" w:ascii="Microsoft New Tai Lue" w:hAnsi="Microsoft New Tai Lue" w:cs="Microsoft New Tai Lue"/>
          <w:kern w:val="0"/>
          <w:sz w:val="24"/>
          <w:szCs w:val="24"/>
          <w:lang w:val="en-US" w:eastAsia="zh-CN"/>
        </w:rPr>
        <w:t>2020年4月27日</w:t>
      </w:r>
    </w:p>
    <w:p>
      <w:pPr>
        <w:autoSpaceDE w:val="0"/>
        <w:autoSpaceDN w:val="0"/>
        <w:adjustRightInd w:val="0"/>
        <w:spacing w:line="540" w:lineRule="exact"/>
        <w:ind w:firstLine="480" w:firstLineChars="200"/>
        <w:rPr>
          <w:rFonts w:ascii="Microsoft New Tai Lue" w:hAnsi="Microsoft New Tai Lue" w:cs="Microsoft New Tai Lue"/>
          <w:kern w:val="0"/>
          <w:sz w:val="24"/>
          <w:szCs w:val="24"/>
        </w:rPr>
      </w:pPr>
    </w:p>
    <w:sectPr>
      <w:pgSz w:w="11906" w:h="16838"/>
      <w:pgMar w:top="1701" w:right="1417" w:bottom="1417"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crosoft New Tai Lue">
    <w:panose1 w:val="020B0502040204020203"/>
    <w:charset w:val="00"/>
    <w:family w:val="swiss"/>
    <w:pitch w:val="default"/>
    <w:sig w:usb0="00000003" w:usb1="00000000" w:usb2="8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9B2E9D"/>
    <w:multiLevelType w:val="multilevel"/>
    <w:tmpl w:val="149B2E9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2993"/>
    <w:rsid w:val="002543B6"/>
    <w:rsid w:val="00322993"/>
    <w:rsid w:val="003A33D7"/>
    <w:rsid w:val="004807E1"/>
    <w:rsid w:val="00483C2F"/>
    <w:rsid w:val="00532776"/>
    <w:rsid w:val="005D2832"/>
    <w:rsid w:val="005F7F5F"/>
    <w:rsid w:val="006A61C7"/>
    <w:rsid w:val="006D50D2"/>
    <w:rsid w:val="009B4C6D"/>
    <w:rsid w:val="00A404F9"/>
    <w:rsid w:val="00AE6A79"/>
    <w:rsid w:val="00BF05FC"/>
    <w:rsid w:val="00C158D1"/>
    <w:rsid w:val="00C80B95"/>
    <w:rsid w:val="00CA1C7F"/>
    <w:rsid w:val="00F30985"/>
    <w:rsid w:val="10025621"/>
    <w:rsid w:val="25BE4C40"/>
    <w:rsid w:val="317A2463"/>
    <w:rsid w:val="34C217D8"/>
    <w:rsid w:val="43D7250B"/>
    <w:rsid w:val="504B297E"/>
    <w:rsid w:val="52C96A8F"/>
    <w:rsid w:val="552D3739"/>
    <w:rsid w:val="59861624"/>
    <w:rsid w:val="5ADA0537"/>
    <w:rsid w:val="668D196C"/>
    <w:rsid w:val="6B7D2D3B"/>
    <w:rsid w:val="71470CA7"/>
    <w:rsid w:val="78BF4385"/>
    <w:rsid w:val="7C6A28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Calibri" w:hAnsi="Calibri" w:eastAsia="宋体" w:cs="黑体"/>
      <w:kern w:val="2"/>
      <w:sz w:val="21"/>
      <w:szCs w:val="22"/>
      <w:lang w:val="en-US" w:eastAsia="zh-CN" w:bidi="ar-SA"/>
    </w:rPr>
  </w:style>
  <w:style w:type="paragraph" w:styleId="3">
    <w:name w:val="heading 1"/>
    <w:basedOn w:val="1"/>
    <w:next w:val="1"/>
    <w:qFormat/>
    <w:uiPriority w:val="99"/>
    <w:pPr>
      <w:keepNext/>
      <w:keepLines/>
      <w:spacing w:before="340" w:after="330" w:line="578" w:lineRule="auto"/>
      <w:outlineLvl w:val="0"/>
    </w:pPr>
    <w:rPr>
      <w:b/>
      <w:bCs/>
      <w:kern w:val="44"/>
      <w:sz w:val="44"/>
      <w:szCs w:val="44"/>
    </w:rPr>
  </w:style>
  <w:style w:type="character" w:default="1" w:styleId="11">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4">
    <w:name w:val="annotation text"/>
    <w:basedOn w:val="1"/>
    <w:qFormat/>
    <w:uiPriority w:val="0"/>
    <w:pPr>
      <w:jc w:val="left"/>
    </w:pPr>
    <w:rPr>
      <w:rFonts w:asciiTheme="minorHAnsi" w:hAnsiTheme="minorHAnsi" w:eastAsiaTheme="minorEastAsia" w:cstheme="minorBidi"/>
    </w:rPr>
  </w:style>
  <w:style w:type="paragraph" w:styleId="5">
    <w:name w:val="Body Text Indent"/>
    <w:basedOn w:val="1"/>
    <w:qFormat/>
    <w:uiPriority w:val="0"/>
    <w:pPr>
      <w:spacing w:after="120"/>
      <w:ind w:left="420" w:leftChars="200"/>
    </w:pPr>
    <w:rPr>
      <w:rFonts w:cs="Times New Roman"/>
    </w:rPr>
  </w:style>
  <w:style w:type="paragraph" w:styleId="6">
    <w:name w:val="Plain Text"/>
    <w:basedOn w:val="1"/>
    <w:link w:val="17"/>
    <w:qFormat/>
    <w:uiPriority w:val="0"/>
    <w:pPr>
      <w:spacing w:line="360" w:lineRule="auto"/>
    </w:pPr>
    <w:rPr>
      <w:rFonts w:ascii="宋体" w:hAnsi="Courier New" w:cs="Times New Roman"/>
      <w:sz w:val="24"/>
      <w:szCs w:val="24"/>
    </w:rPr>
  </w:style>
  <w:style w:type="paragraph" w:styleId="7">
    <w:name w:val="footer"/>
    <w:basedOn w:val="1"/>
    <w:link w:val="14"/>
    <w:qFormat/>
    <w:uiPriority w:val="0"/>
    <w:pPr>
      <w:tabs>
        <w:tab w:val="center" w:pos="4153"/>
        <w:tab w:val="right" w:pos="8306"/>
      </w:tabs>
      <w:snapToGrid w:val="0"/>
      <w:jc w:val="left"/>
    </w:pPr>
    <w:rPr>
      <w:sz w:val="18"/>
      <w:szCs w:val="18"/>
    </w:rPr>
  </w:style>
  <w:style w:type="paragraph" w:styleId="8">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table" w:styleId="10">
    <w:name w:val="Table Grid"/>
    <w:basedOn w:val="9"/>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2">
    <w:name w:val="正文文本缩进 Char"/>
    <w:link w:val="13"/>
    <w:semiHidden/>
    <w:qFormat/>
    <w:uiPriority w:val="0"/>
    <w:rPr>
      <w:rFonts w:ascii="Calibri" w:hAnsi="Calibri" w:eastAsia="宋体" w:cs="Times New Roman"/>
    </w:rPr>
  </w:style>
  <w:style w:type="paragraph" w:customStyle="1" w:styleId="13">
    <w:name w:val="正文文本缩进1"/>
    <w:basedOn w:val="1"/>
    <w:link w:val="12"/>
    <w:qFormat/>
    <w:uiPriority w:val="0"/>
    <w:pPr>
      <w:spacing w:after="120"/>
      <w:ind w:left="420" w:leftChars="200"/>
    </w:pPr>
    <w:rPr>
      <w:rFonts w:cs="Times New Roman"/>
    </w:rPr>
  </w:style>
  <w:style w:type="character" w:customStyle="1" w:styleId="14">
    <w:name w:val="页脚 Char"/>
    <w:link w:val="7"/>
    <w:semiHidden/>
    <w:qFormat/>
    <w:uiPriority w:val="0"/>
    <w:rPr>
      <w:sz w:val="18"/>
      <w:szCs w:val="18"/>
    </w:rPr>
  </w:style>
  <w:style w:type="character" w:customStyle="1" w:styleId="15">
    <w:name w:val="页眉 Char"/>
    <w:link w:val="8"/>
    <w:semiHidden/>
    <w:qFormat/>
    <w:uiPriority w:val="0"/>
    <w:rPr>
      <w:sz w:val="18"/>
      <w:szCs w:val="18"/>
    </w:rPr>
  </w:style>
  <w:style w:type="paragraph" w:customStyle="1" w:styleId="16">
    <w:name w:val="列出段落1"/>
    <w:basedOn w:val="1"/>
    <w:qFormat/>
    <w:uiPriority w:val="0"/>
    <w:pPr>
      <w:ind w:firstLine="420" w:firstLineChars="200"/>
    </w:pPr>
  </w:style>
  <w:style w:type="character" w:customStyle="1" w:styleId="17">
    <w:name w:val="纯文本 Char"/>
    <w:basedOn w:val="11"/>
    <w:link w:val="6"/>
    <w:qFormat/>
    <w:uiPriority w:val="0"/>
    <w:rPr>
      <w:rFonts w:ascii="宋体" w:hAnsi="Courier New"/>
      <w:kern w:val="2"/>
      <w:sz w:val="24"/>
      <w:szCs w:val="24"/>
    </w:rPr>
  </w:style>
  <w:style w:type="character" w:customStyle="1" w:styleId="18">
    <w:name w:val="表格 Char Char"/>
    <w:link w:val="19"/>
    <w:qFormat/>
    <w:uiPriority w:val="0"/>
    <w:rPr>
      <w:rFonts w:ascii="宋体" w:hAnsi="宋体"/>
      <w:kern w:val="28"/>
      <w:szCs w:val="21"/>
    </w:rPr>
  </w:style>
  <w:style w:type="paragraph" w:customStyle="1" w:styleId="19">
    <w:name w:val="表格"/>
    <w:basedOn w:val="1"/>
    <w:link w:val="18"/>
    <w:qFormat/>
    <w:uiPriority w:val="0"/>
    <w:pPr>
      <w:jc w:val="center"/>
    </w:pPr>
    <w:rPr>
      <w:rFonts w:ascii="宋体" w:hAnsi="宋体" w:cs="Times New Roman"/>
      <w:kern w:val="28"/>
      <w:sz w:val="20"/>
      <w:szCs w:val="21"/>
    </w:rPr>
  </w:style>
  <w:style w:type="paragraph" w:customStyle="1" w:styleId="20">
    <w:name w:val="p0"/>
    <w:basedOn w:val="1"/>
    <w:qFormat/>
    <w:uiPriority w:val="0"/>
    <w:pPr>
      <w:widowControl/>
      <w:jc w:val="left"/>
    </w:pPr>
    <w:rPr>
      <w:rFonts w:cs="宋体"/>
      <w:kern w:val="0"/>
      <w:szCs w:val="21"/>
    </w:rPr>
  </w:style>
  <w:style w:type="paragraph" w:customStyle="1" w:styleId="21">
    <w:name w:val="验收监测表 标题1"/>
    <w:basedOn w:val="3"/>
    <w:qFormat/>
    <w:uiPriority w:val="0"/>
    <w:pPr>
      <w:tabs>
        <w:tab w:val="left" w:pos="480"/>
      </w:tabs>
      <w:adjustRightInd w:val="0"/>
      <w:snapToGrid w:val="0"/>
      <w:spacing w:before="0" w:after="0" w:line="240" w:lineRule="auto"/>
      <w:ind w:left="851"/>
      <w:jc w:val="left"/>
    </w:pPr>
    <w:rPr>
      <w:rFonts w:eastAsia="黑体" w:cs="Arial" w:asciiTheme="minorHAnsi" w:hAnsiTheme="minorHAnsi"/>
      <w:bCs w:val="0"/>
      <w:snapToGrid w:val="0"/>
      <w:sz w:val="30"/>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7</Pages>
  <Words>766</Words>
  <Characters>4368</Characters>
  <Lines>36</Lines>
  <Paragraphs>10</Paragraphs>
  <TotalTime>4</TotalTime>
  <ScaleCrop>false</ScaleCrop>
  <LinksUpToDate>false</LinksUpToDate>
  <CharactersWithSpaces>5124</CharactersWithSpaces>
  <Application>WPS Office_11.1.0.9739_F1E327BC-269C-435d-A152-05C5408002CA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2019-01-18T11:47:00Z</dcterms:created>
  <dc:creator>刘黎</dc:creator>
  <cp:lastModifiedBy>曲朝峰</cp:lastModifiedBy>
  <cp:lastPrinted>2019-01-22T08:31:00Z</cp:lastPrinted>
  <dcterms:modified xsi:type="dcterms:W3CDTF">2020-06-24T09:12:03Z</dcterms:modified>
  <dc:title>Administrator</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