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山西太钢不锈钢股份有限公司硅钢冷连轧技术改造项目</w:t>
      </w:r>
    </w:p>
    <w:p>
      <w:pPr>
        <w:adjustRightInd w:val="0"/>
        <w:snapToGrid w:val="0"/>
        <w:spacing w:line="500" w:lineRule="exact"/>
        <w:jc w:val="center"/>
        <w:rPr>
          <w:rFonts w:ascii="Times New Roman" w:hAnsi="Times New Roman" w:cs="Times New Roman"/>
          <w:bCs/>
          <w:kern w:val="0"/>
          <w:sz w:val="28"/>
          <w:szCs w:val="28"/>
        </w:rPr>
      </w:pPr>
      <w:r>
        <w:rPr>
          <w:rFonts w:ascii="Times New Roman" w:hAnsi="Times New Roman" w:cs="Times New Roman"/>
          <w:b/>
          <w:kern w:val="0"/>
          <w:sz w:val="32"/>
          <w:szCs w:val="32"/>
        </w:rPr>
        <w:t>竣工环境保护验收意见</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2020年4月27日，山西太钢不锈钢股份有限公司根据《</w:t>
      </w:r>
      <w:bookmarkStart w:id="0" w:name="_Hlk5136271"/>
      <w:r>
        <w:rPr>
          <w:rFonts w:ascii="Times New Roman" w:hAnsi="Times New Roman" w:cs="Times New Roman"/>
          <w:kern w:val="0"/>
          <w:sz w:val="28"/>
          <w:szCs w:val="28"/>
        </w:rPr>
        <w:t>山西太钢不锈钢股份有限公司</w:t>
      </w:r>
      <w:r>
        <w:rPr>
          <w:rFonts w:ascii="Times New Roman" w:hAnsi="Times New Roman" w:cs="Times New Roman"/>
          <w:bCs/>
          <w:kern w:val="0"/>
          <w:sz w:val="28"/>
          <w:szCs w:val="28"/>
        </w:rPr>
        <w:t>硅钢冷连轧技术改造项目</w:t>
      </w:r>
      <w:bookmarkEnd w:id="0"/>
      <w:r>
        <w:rPr>
          <w:rFonts w:ascii="Times New Roman" w:hAnsi="Times New Roman" w:cs="Times New Roman"/>
          <w:kern w:val="0"/>
          <w:sz w:val="28"/>
          <w:szCs w:val="28"/>
        </w:rPr>
        <w:t>竣工环境保护验收监测报告》并对照《建设项目竣工环境保护验收暂行办法》、《山西省环境保护厅关于做好建设项目环境保护管理相关工作的通知》，严格依照国家有关法律法规、建设项目竣工环境保护验收技术规范、本项目环境影响报告书和审批部门审批决定等要求对本项目进行验收。</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根据原国家环境保护部和原山西省环境保护厅相关规定，本次验收全部为项目建设单位自主验收。固废控制设施采取一次合并现场验收方式进行，但需报有审批权限的生态环境主管部门提出验收意见。</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参加验收的有</w:t>
      </w:r>
      <w:r>
        <w:rPr>
          <w:rFonts w:hint="eastAsia" w:ascii="Times New Roman" w:hAnsi="Times New Roman" w:cs="Times New Roman"/>
          <w:kern w:val="0"/>
          <w:sz w:val="28"/>
          <w:szCs w:val="28"/>
        </w:rPr>
        <w:t>项目设计单位太钢工程技术有限公司、监理单位山西震益工程监理公司、</w:t>
      </w:r>
      <w:r>
        <w:rPr>
          <w:rFonts w:ascii="Times New Roman" w:hAnsi="Times New Roman" w:cs="Times New Roman"/>
          <w:kern w:val="0"/>
          <w:sz w:val="28"/>
          <w:szCs w:val="28"/>
        </w:rPr>
        <w:t>监测及项目竣工环境保护验收监测报告编制单位</w:t>
      </w:r>
      <w:r>
        <w:rPr>
          <w:rFonts w:ascii="Times New Roman" w:hAnsi="Times New Roman" w:cs="Times New Roman"/>
          <w:sz w:val="28"/>
          <w:szCs w:val="28"/>
        </w:rPr>
        <w:t>中铁三局集团有限公司环境监测站</w:t>
      </w:r>
      <w:r>
        <w:rPr>
          <w:rFonts w:ascii="Times New Roman" w:hAnsi="Times New Roman" w:cs="Times New Roman"/>
          <w:kern w:val="0"/>
          <w:sz w:val="28"/>
          <w:szCs w:val="28"/>
        </w:rPr>
        <w:t>的代表及应邀专家。与会代表检查了项目现场，听取了建设单位对工程建设和环保设施调试的情况介绍以及监测单位对项目竣工验收监测情况的介绍，验收组（名单附后）</w:t>
      </w:r>
      <w:r>
        <w:rPr>
          <w:rFonts w:ascii="Times New Roman" w:hAnsi="Times New Roman" w:cs="Times New Roman"/>
          <w:color w:val="000000"/>
          <w:sz w:val="28"/>
          <w:szCs w:val="28"/>
        </w:rPr>
        <w:t>提出验收意见如下：</w:t>
      </w:r>
    </w:p>
    <w:p>
      <w:pPr>
        <w:pStyle w:val="79"/>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一、工程建设基本情况</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（一）建设地点、规模、主要建设内容</w:t>
      </w:r>
    </w:p>
    <w:p>
      <w:pPr>
        <w:shd w:val="clear" w:color="auto" w:fill="FFFFFF"/>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color w:val="000000"/>
          <w:sz w:val="28"/>
          <w:szCs w:val="28"/>
        </w:rPr>
        <w:t>建设地点：</w:t>
      </w:r>
      <w:r>
        <w:rPr>
          <w:rFonts w:ascii="Times New Roman" w:hAnsi="Times New Roman" w:cs="Times New Roman"/>
          <w:sz w:val="28"/>
          <w:szCs w:val="28"/>
        </w:rPr>
        <w:t>山西省太原市尖草坪太钢厂区北部.</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建设性质：技术改造</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建设规模：年产100万吨中低牌号无取向硅钢产品。</w:t>
      </w:r>
    </w:p>
    <w:p>
      <w:pPr>
        <w:adjustRightInd w:val="0"/>
        <w:snapToGrid w:val="0"/>
        <w:spacing w:line="500" w:lineRule="exact"/>
        <w:ind w:firstLine="560" w:firstLineChars="200"/>
        <w:jc w:val="left"/>
        <w:rPr>
          <w:rFonts w:ascii="Times New Roman" w:hAnsi="Times New Roman" w:cs="Times New Roman"/>
          <w:sz w:val="28"/>
          <w:szCs w:val="28"/>
        </w:rPr>
      </w:pPr>
      <w:r>
        <w:rPr>
          <w:rFonts w:ascii="Times New Roman" w:hAnsi="Times New Roman" w:cs="Times New Roman"/>
          <w:color w:val="000000"/>
          <w:sz w:val="28"/>
          <w:szCs w:val="28"/>
        </w:rPr>
        <w:t>工程组成与建设内容：</w:t>
      </w:r>
      <w:r>
        <w:rPr>
          <w:rFonts w:ascii="Times New Roman" w:hAnsi="Times New Roman" w:cs="Times New Roman"/>
          <w:sz w:val="28"/>
          <w:szCs w:val="28"/>
        </w:rPr>
        <w:t>项目包括主体工程、辅助工程、公用工程、环保工程等，主要建设内容：</w:t>
      </w:r>
      <w:r>
        <w:rPr>
          <w:rFonts w:ascii="Times New Roman" w:hAnsi="Times New Roman" w:cs="Times New Roman"/>
          <w:color w:val="000000"/>
          <w:sz w:val="28"/>
          <w:szCs w:val="28"/>
        </w:rPr>
        <w:t>主体工程建设主要为</w:t>
      </w:r>
      <w:r>
        <w:rPr>
          <w:rFonts w:ascii="Times New Roman" w:hAnsi="Times New Roman" w:cs="Times New Roman"/>
          <w:sz w:val="28"/>
          <w:szCs w:val="28"/>
        </w:rPr>
        <w:t>一条酸洗轧机联合机组、四条硅钢连续退火机组、四条硅钢重卷机组、</w:t>
      </w:r>
      <w:r>
        <w:rPr>
          <w:rFonts w:ascii="Times New Roman" w:hAnsi="Times New Roman" w:cs="Times New Roman"/>
          <w:color w:val="000000"/>
          <w:sz w:val="28"/>
          <w:szCs w:val="28"/>
        </w:rPr>
        <w:t>两条半</w:t>
      </w:r>
      <w:r>
        <w:rPr>
          <w:rFonts w:ascii="Times New Roman" w:hAnsi="Times New Roman" w:cs="Times New Roman"/>
          <w:sz w:val="28"/>
          <w:szCs w:val="28"/>
        </w:rPr>
        <w:t>自动包装机组、</w:t>
      </w:r>
      <w:r>
        <w:rPr>
          <w:rFonts w:ascii="Times New Roman" w:hAnsi="Times New Roman" w:cs="Times New Roman"/>
          <w:color w:val="000000"/>
          <w:sz w:val="28"/>
          <w:szCs w:val="28"/>
        </w:rPr>
        <w:t>冷轧磨辊车间的改造和建设</w:t>
      </w:r>
      <w:r>
        <w:rPr>
          <w:rFonts w:ascii="Times New Roman" w:hAnsi="Times New Roman" w:cs="Times New Roman"/>
          <w:sz w:val="28"/>
          <w:szCs w:val="28"/>
        </w:rPr>
        <w:t>，生产辅助配套设施为建设脱盐水站、循环水处理站等，公用工程包括供水、供热、供燃气、空压系统等、环保工程为酸再生站、布袋除尘系统、酸雾净化塔、碱雾净化塔、油雾处理器等设施建设。</w:t>
      </w:r>
    </w:p>
    <w:p>
      <w:pPr>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工程组成与建设内容见表1。</w:t>
      </w:r>
    </w:p>
    <w:p>
      <w:pPr>
        <w:spacing w:line="520" w:lineRule="exact"/>
        <w:jc w:val="center"/>
        <w:rPr>
          <w:rFonts w:ascii="Times New Roman" w:hAnsi="Times New Roman" w:cs="Times New Roman"/>
          <w:b/>
          <w:bCs/>
          <w:sz w:val="24"/>
        </w:rPr>
      </w:pPr>
      <w:r>
        <w:rPr>
          <w:rFonts w:ascii="Times New Roman" w:hAnsi="Times New Roman" w:cs="Times New Roman"/>
          <w:b/>
          <w:bCs/>
          <w:sz w:val="24"/>
        </w:rPr>
        <w:t>表1 项目组成及建设内容表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2682"/>
        <w:gridCol w:w="4394"/>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389"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工程</w:t>
            </w:r>
          </w:p>
          <w:p>
            <w:pPr>
              <w:overflowPunct w:val="0"/>
              <w:jc w:val="center"/>
              <w:rPr>
                <w:rFonts w:ascii="Times New Roman" w:hAnsi="Times New Roman" w:cs="Times New Roman"/>
                <w:b/>
                <w:szCs w:val="21"/>
              </w:rPr>
            </w:pPr>
            <w:r>
              <w:rPr>
                <w:rFonts w:ascii="Times New Roman" w:hAnsi="Times New Roman" w:cs="Times New Roman"/>
                <w:b/>
                <w:szCs w:val="21"/>
              </w:rPr>
              <w:t>类别</w:t>
            </w:r>
          </w:p>
        </w:tc>
        <w:tc>
          <w:tcPr>
            <w:tcW w:w="151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环评阶段设计</w:t>
            </w:r>
          </w:p>
        </w:tc>
        <w:tc>
          <w:tcPr>
            <w:tcW w:w="2487"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实际建设</w:t>
            </w:r>
          </w:p>
        </w:tc>
        <w:tc>
          <w:tcPr>
            <w:tcW w:w="606"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主体工程</w:t>
            </w: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一条酸洗轧机联合机组、四条硅钢连续退火机组、四条硅钢重卷机组、两条半自动包装机组、冷轧磨辊车间</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建设主厂房一座，主厂房内建设一条酸洗-轧机联合机组、四条硅钢连续退火机组、四条硅钢重卷机组、两条半自动包装机组、冷轧磨辊车间。</w:t>
            </w:r>
          </w:p>
        </w:tc>
        <w:tc>
          <w:tcPr>
            <w:tcW w:w="606"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辅助工程</w:t>
            </w: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脱盐水站：新建一座处理能力为60m³/h的脱盐水站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未建设</w:t>
            </w:r>
          </w:p>
        </w:tc>
        <w:tc>
          <w:tcPr>
            <w:tcW w:w="606" w:type="pct"/>
            <w:vAlign w:val="center"/>
          </w:tcPr>
          <w:p>
            <w:pPr>
              <w:snapToGrid w:val="0"/>
              <w:jc w:val="center"/>
              <w:rPr>
                <w:rFonts w:ascii="Times New Roman" w:hAnsi="Times New Roman" w:cs="Times New Roman"/>
              </w:rPr>
            </w:pPr>
            <w:r>
              <w:rPr>
                <w:rFonts w:hint="eastAsia" w:ascii="Times New Roman" w:hAnsi="Times New Roman" w:cs="Times New Roman"/>
                <w:szCs w:val="21"/>
              </w:rPr>
              <w:t>变更为</w:t>
            </w:r>
            <w:r>
              <w:rPr>
                <w:rFonts w:ascii="Times New Roman" w:hAnsi="Times New Roman" w:cs="Times New Roman"/>
                <w:szCs w:val="21"/>
              </w:rPr>
              <w:t>依托厂区除</w:t>
            </w:r>
            <w:r>
              <w:rPr>
                <w:rFonts w:hint="eastAsia" w:ascii="Times New Roman" w:hAnsi="Times New Roman" w:cs="Times New Roman"/>
                <w:szCs w:val="21"/>
              </w:rPr>
              <w:t>盐</w:t>
            </w:r>
            <w:r>
              <w:rPr>
                <w:rFonts w:ascii="Times New Roman" w:hAnsi="Times New Roman" w:cs="Times New Roman"/>
                <w:szCs w:val="21"/>
              </w:rPr>
              <w:t>水管网提供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一级除盐水站，设计水量 170m³/h，为循环水系统排污水及过滤器反冲洗水，废水处理站酸、碱系统排水。</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未建设</w:t>
            </w:r>
          </w:p>
        </w:tc>
        <w:tc>
          <w:tcPr>
            <w:tcW w:w="606" w:type="pct"/>
            <w:vAlign w:val="center"/>
          </w:tcPr>
          <w:p>
            <w:pPr>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循环水处理站：位于硅钢厂北侧。</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循环水处理站：位于硅钢厂北侧。</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restart"/>
            <w:tcBorders>
              <w:top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公用工程</w:t>
            </w: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空压站：</w:t>
            </w:r>
            <w:r>
              <w:rPr>
                <w:rFonts w:ascii="Times New Roman" w:hAnsi="Times New Roman" w:cs="Times New Roman"/>
                <w:kern w:val="0"/>
                <w:szCs w:val="21"/>
              </w:rPr>
              <w:t>公司管网统一供给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项目压缩空气消耗量为119.6Nm³/min，由太钢公司厂区仪表压缩空气管网统一供给。</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供电：在项目区域内设一座110/10kV总降压变电站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建设一座110/10KV总降压变电站，设三台110/10KV、50MVA有载调压电力变压器</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燃气：从厂区管网接出DN800城市焦炉煤气及DN600天然气，调压后合并为1根DN800管道进入车间</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各机组所需燃气为焦炉煤气、天然气、氢气，均由太钢全厂管网接出，经车间外网、车间内网送至各用点。</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氮气：本工程所需氮气由厂区管网统一供给。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氮气：本工程所需氮气由厂区管网统一供给。</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蒸汽：公司蒸汽管网统一供给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工程生产用蒸汽平均消耗量为：71.2t/h，压力：0.2~0.4Mpa，温度：140~170℃，均由公司厂区蒸汽管网供给</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供水：公司管网统一供给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本工程给水工程由厂区统一供水管网提供。工程生产工程中用新水80m³/h、除盐水170m³/h，所需水量分别有由厂区新水、除盐水供水管网提供。</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环保工程</w:t>
            </w: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酸再生站</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项目建设酸再生站一座，安装酸再生焙烧炉一台。</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拉矫布袋除尘系统</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拉矫机设1台布袋除尘器净化，除尘效率为99%，净化后的废气由风机经35m高烟囱排放，处理风量均为120000m³/h</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酸再生氧化铁粉除尘系统</w:t>
            </w:r>
          </w:p>
        </w:tc>
        <w:tc>
          <w:tcPr>
            <w:tcW w:w="248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酸再生站建设1套氧化铁粉除尘系统，</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5"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盐酸酸雾净化塔</w:t>
            </w:r>
          </w:p>
        </w:tc>
        <w:tc>
          <w:tcPr>
            <w:tcW w:w="2487" w:type="pct"/>
            <w:vAlign w:val="center"/>
          </w:tcPr>
          <w:p>
            <w:pPr>
              <w:overflowPunct w:val="0"/>
              <w:snapToGrid w:val="0"/>
              <w:ind w:firstLine="420" w:firstLineChars="200"/>
              <w:jc w:val="center"/>
              <w:rPr>
                <w:rFonts w:ascii="Times New Roman" w:hAnsi="Times New Roman" w:cs="Times New Roman"/>
                <w:szCs w:val="21"/>
              </w:rPr>
            </w:pPr>
            <w:r>
              <w:rPr>
                <w:rFonts w:ascii="Times New Roman" w:hAnsi="Times New Roman" w:cs="Times New Roman"/>
                <w:szCs w:val="21"/>
              </w:rPr>
              <w:t>酸洗处理时4个酸槽处产生盐酸雾，安装1个酸雾净化塔对盐酸华进行净化处理，单台酸雾净化塔气量标称30000m³/H,塔直径为4m、高6m，处理效率为85%，处理后的废气经30m的烟囱排放。</w:t>
            </w:r>
          </w:p>
        </w:tc>
        <w:tc>
          <w:tcPr>
            <w:tcW w:w="606" w:type="pct"/>
            <w:vAlign w:val="center"/>
          </w:tcPr>
          <w:p>
            <w:pPr>
              <w:snapToGrid w:val="0"/>
              <w:jc w:val="center"/>
              <w:rPr>
                <w:rFonts w:ascii="Times New Roman" w:hAnsi="Times New Roman" w:cs="Times New Roman"/>
              </w:rPr>
            </w:pPr>
            <w:r>
              <w:rPr>
                <w:rFonts w:ascii="Times New Roman" w:hAnsi="Times New Roman" w:cs="Times New Roman"/>
                <w:szCs w:val="21"/>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8" w:hRule="atLeast"/>
          <w:jc w:val="center"/>
        </w:trPr>
        <w:tc>
          <w:tcPr>
            <w:tcW w:w="389"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环保工程</w:t>
            </w: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铬酸酸雾净化塔</w:t>
            </w:r>
          </w:p>
        </w:tc>
        <w:tc>
          <w:tcPr>
            <w:tcW w:w="2487" w:type="pct"/>
            <w:vAlign w:val="center"/>
          </w:tcPr>
          <w:p>
            <w:pPr>
              <w:overflowPunct w:val="0"/>
              <w:snapToGrid w:val="0"/>
              <w:ind w:firstLine="420" w:firstLineChars="200"/>
              <w:jc w:val="center"/>
              <w:rPr>
                <w:rFonts w:ascii="Times New Roman" w:hAnsi="Times New Roman" w:cs="Times New Roman"/>
                <w:szCs w:val="21"/>
              </w:rPr>
            </w:pPr>
            <w:r>
              <w:rPr>
                <w:rFonts w:ascii="Times New Roman" w:hAnsi="Times New Roman" w:cs="Times New Roman"/>
                <w:szCs w:val="21"/>
              </w:rPr>
              <w:t>铬酸雾经负压收集后送净化塔进行喷淋（喷淋水为去离子水或漂洗水），单台铬酸雾净化塔处理风量为8000m³/h，阻损为396~494Pa，处理效率为95%。项目共建设4套铬酸雾净化塔。</w:t>
            </w:r>
          </w:p>
        </w:tc>
        <w:tc>
          <w:tcPr>
            <w:tcW w:w="606" w:type="pct"/>
          </w:tcPr>
          <w:p>
            <w:pPr>
              <w:snapToGrid w:val="0"/>
              <w:jc w:val="center"/>
              <w:rPr>
                <w:rFonts w:ascii="Times New Roman" w:hAnsi="Times New Roman" w:cs="Times New Roman"/>
              </w:rPr>
            </w:pPr>
            <w:r>
              <w:rPr>
                <w:rFonts w:ascii="Times New Roman" w:hAnsi="Times New Roman" w:cs="Times New Roman"/>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碱雾净化塔</w:t>
            </w:r>
          </w:p>
        </w:tc>
        <w:tc>
          <w:tcPr>
            <w:tcW w:w="2487" w:type="pct"/>
            <w:vAlign w:val="center"/>
          </w:tcPr>
          <w:p>
            <w:pPr>
              <w:overflowPunct w:val="0"/>
              <w:snapToGrid w:val="0"/>
              <w:ind w:firstLine="420" w:firstLineChars="200"/>
              <w:jc w:val="center"/>
              <w:rPr>
                <w:rFonts w:ascii="Times New Roman" w:hAnsi="Times New Roman" w:cs="Times New Roman"/>
                <w:szCs w:val="21"/>
              </w:rPr>
            </w:pPr>
            <w:r>
              <w:rPr>
                <w:rFonts w:ascii="Times New Roman" w:hAnsi="Times New Roman" w:cs="Times New Roman"/>
                <w:szCs w:val="21"/>
              </w:rPr>
              <w:t>项目对4处碱喷淋工序处的碱槽加盖密封，并设抽风系统，使槽内呈负压，抽出碱雾送往碱雾净化塔，经碱雾净化塔分离后排入大气。单台净化塔处理风量均为220000m³/h，运行阻损396~494Pa，处理效率为80%</w:t>
            </w:r>
          </w:p>
        </w:tc>
        <w:tc>
          <w:tcPr>
            <w:tcW w:w="606" w:type="pct"/>
          </w:tcPr>
          <w:p>
            <w:pPr>
              <w:snapToGrid w:val="0"/>
              <w:jc w:val="center"/>
              <w:rPr>
                <w:rFonts w:ascii="Times New Roman" w:hAnsi="Times New Roman" w:cs="Times New Roman"/>
              </w:rPr>
            </w:pPr>
            <w:r>
              <w:rPr>
                <w:rFonts w:ascii="Times New Roman" w:hAnsi="Times New Roman" w:cs="Times New Roman"/>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油雾处理器</w:t>
            </w:r>
          </w:p>
        </w:tc>
        <w:tc>
          <w:tcPr>
            <w:tcW w:w="2487" w:type="pct"/>
            <w:vAlign w:val="center"/>
          </w:tcPr>
          <w:p>
            <w:pPr>
              <w:overflowPunct w:val="0"/>
              <w:snapToGrid w:val="0"/>
              <w:ind w:firstLine="420" w:firstLineChars="200"/>
              <w:jc w:val="center"/>
              <w:rPr>
                <w:rFonts w:ascii="Times New Roman" w:hAnsi="Times New Roman" w:cs="Times New Roman"/>
                <w:szCs w:val="21"/>
              </w:rPr>
            </w:pPr>
            <w:r>
              <w:rPr>
                <w:rFonts w:ascii="Times New Roman" w:hAnsi="Times New Roman" w:cs="Times New Roman"/>
                <w:szCs w:val="21"/>
              </w:rPr>
              <w:t>轧机在轧制钢板过程中产生形成油雾，其粒径一般在10-2~102um之间，项目建设油雾净化器对油雾进行收集。</w:t>
            </w:r>
          </w:p>
        </w:tc>
        <w:tc>
          <w:tcPr>
            <w:tcW w:w="606" w:type="pct"/>
          </w:tcPr>
          <w:p>
            <w:pPr>
              <w:snapToGrid w:val="0"/>
              <w:jc w:val="center"/>
              <w:rPr>
                <w:rFonts w:ascii="Times New Roman" w:hAnsi="Times New Roman" w:cs="Times New Roman"/>
              </w:rPr>
            </w:pPr>
            <w:r>
              <w:rPr>
                <w:rFonts w:ascii="Times New Roman" w:hAnsi="Times New Roman" w:cs="Times New Roman"/>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Merge w:val="continue"/>
            <w:vAlign w:val="center"/>
          </w:tcPr>
          <w:p>
            <w:pPr>
              <w:adjustRightInd w:val="0"/>
              <w:snapToGrid w:val="0"/>
              <w:jc w:val="center"/>
              <w:rPr>
                <w:rFonts w:ascii="Times New Roman" w:hAnsi="Times New Roman" w:cs="Times New Roman"/>
                <w:szCs w:val="21"/>
              </w:rPr>
            </w:pPr>
          </w:p>
        </w:tc>
        <w:tc>
          <w:tcPr>
            <w:tcW w:w="1518"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含油及乳化液处理系统（不在本工程范围内）</w:t>
            </w:r>
          </w:p>
        </w:tc>
        <w:tc>
          <w:tcPr>
            <w:tcW w:w="2487" w:type="pct"/>
            <w:tcBorders>
              <w:right w:val="single" w:color="auto" w:sz="4" w:space="0"/>
            </w:tcBorders>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含油及乳化液处理系统（不在本工程范围内）</w:t>
            </w:r>
          </w:p>
        </w:tc>
        <w:tc>
          <w:tcPr>
            <w:tcW w:w="606" w:type="pct"/>
          </w:tcPr>
          <w:p>
            <w:pPr>
              <w:snapToGrid w:val="0"/>
              <w:jc w:val="center"/>
              <w:rPr>
                <w:rFonts w:ascii="Times New Roman" w:hAnsi="Times New Roman" w:cs="Times New Roman"/>
              </w:rPr>
            </w:pPr>
            <w:r>
              <w:rPr>
                <w:rFonts w:ascii="Times New Roman" w:hAnsi="Times New Roman" w:cs="Times New Roman"/>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储运工程</w:t>
            </w: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氮气球罐、酸再生站</w:t>
            </w:r>
          </w:p>
        </w:tc>
        <w:tc>
          <w:tcPr>
            <w:tcW w:w="2487"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氮气球罐、酸再生站</w:t>
            </w:r>
          </w:p>
        </w:tc>
        <w:tc>
          <w:tcPr>
            <w:tcW w:w="606" w:type="pct"/>
          </w:tcPr>
          <w:p>
            <w:pPr>
              <w:snapToGrid w:val="0"/>
              <w:jc w:val="center"/>
              <w:rPr>
                <w:rFonts w:ascii="Times New Roman" w:hAnsi="Times New Roman" w:cs="Times New Roman"/>
              </w:rPr>
            </w:pPr>
            <w:r>
              <w:rPr>
                <w:rFonts w:ascii="Times New Roman" w:hAnsi="Times New Roman" w:cs="Times New Roman"/>
              </w:rPr>
              <w:t>与环评设计一致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依托工程</w:t>
            </w:r>
          </w:p>
        </w:tc>
        <w:tc>
          <w:tcPr>
            <w:tcW w:w="1518"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含铬废水及稀酸碱废水中和处理系统（中和处理三站）、综合处理站</w:t>
            </w:r>
          </w:p>
        </w:tc>
        <w:tc>
          <w:tcPr>
            <w:tcW w:w="2487" w:type="pct"/>
            <w:tcBorders>
              <w:right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含铬废水及稀酸碱废水中和处理系统（中和处理三站）、综合处理站</w:t>
            </w:r>
          </w:p>
        </w:tc>
        <w:tc>
          <w:tcPr>
            <w:tcW w:w="606" w:type="pct"/>
          </w:tcPr>
          <w:p>
            <w:pPr>
              <w:snapToGrid w:val="0"/>
              <w:jc w:val="center"/>
              <w:rPr>
                <w:rFonts w:ascii="Times New Roman" w:hAnsi="Times New Roman" w:cs="Times New Roman"/>
              </w:rPr>
            </w:pPr>
            <w:r>
              <w:rPr>
                <w:rFonts w:ascii="Times New Roman" w:hAnsi="Times New Roman" w:cs="Times New Roman"/>
              </w:rPr>
              <w:t>与环评设计一致</w:t>
            </w:r>
          </w:p>
        </w:tc>
      </w:tr>
    </w:tbl>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（二）建设过程及环保审批情况</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1、项目环境影响报告表编制与审批情况</w:t>
      </w:r>
    </w:p>
    <w:p>
      <w:pPr>
        <w:autoSpaceDE w:val="0"/>
        <w:autoSpaceDN w:val="0"/>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原山西省经济和信息化委员会于2012年5月24日以晋经信投资字[2012]233号文对该项目进行了备案；山西环境科学研究院于2012年9月编制完成了《山西太钢不锈钢股份有限公司硅钢冷连轧技术改造项目环境影响报告书》（送审本）。原山西省环境保护厅于2012年12月3日以晋环函[2012]2577号文对该项目环境影响报告书进行了批复。</w:t>
      </w:r>
    </w:p>
    <w:p>
      <w:pPr>
        <w:shd w:val="clear" w:color="auto" w:fill="FFFFFF"/>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color w:val="000000"/>
          <w:sz w:val="28"/>
          <w:szCs w:val="28"/>
        </w:rPr>
        <w:t>开工与竣工时间、调试运行时间</w:t>
      </w:r>
    </w:p>
    <w:p>
      <w:pPr>
        <w:shd w:val="clear" w:color="auto" w:fill="FFFFFF"/>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于2012年12月开工建设，于2018年9月竣工，于2018年9月3日至12月2日进行试生产并进行环保设施调试。调试期间，委托中铁三局集团有限公司环境监测站于2018年11月14日至11月21日按照验收监测方案开展了验收监测和环境管理检查。</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3、排污许可证申领情况</w:t>
      </w:r>
    </w:p>
    <w:p>
      <w:pPr>
        <w:overflowPunct w:val="0"/>
        <w:adjustRightInd w:val="0"/>
        <w:snapToGrid w:val="0"/>
        <w:spacing w:line="500" w:lineRule="exact"/>
        <w:ind w:firstLine="560" w:firstLineChars="200"/>
        <w:rPr>
          <w:rFonts w:ascii="Times New Roman" w:hAnsi="Times New Roman" w:cs="Times New Roman"/>
          <w:sz w:val="28"/>
          <w:szCs w:val="28"/>
        </w:rPr>
      </w:pPr>
      <w:bookmarkStart w:id="1" w:name="_Hlk5126001"/>
      <w:r>
        <w:rPr>
          <w:rFonts w:ascii="Times New Roman" w:hAnsi="Times New Roman" w:cs="Times New Roman"/>
          <w:color w:val="000000"/>
          <w:sz w:val="28"/>
          <w:szCs w:val="28"/>
        </w:rPr>
        <w:t>山西太钢不锈钢股份有限公司</w:t>
      </w:r>
      <w:bookmarkEnd w:id="1"/>
      <w:r>
        <w:rPr>
          <w:rFonts w:ascii="Times New Roman" w:hAnsi="Times New Roman" w:cs="Times New Roman"/>
          <w:color w:val="000000"/>
          <w:sz w:val="28"/>
          <w:szCs w:val="28"/>
        </w:rPr>
        <w:t>于</w:t>
      </w:r>
      <w:r>
        <w:rPr>
          <w:rFonts w:ascii="Times New Roman" w:hAnsi="Times New Roman" w:cs="Times New Roman"/>
          <w:sz w:val="28"/>
          <w:szCs w:val="28"/>
        </w:rPr>
        <w:t>2018年</w:t>
      </w:r>
      <w:r>
        <w:rPr>
          <w:rFonts w:ascii="Times New Roman" w:hAnsi="Times New Roman" w:cs="Times New Roman"/>
          <w:color w:val="000000"/>
          <w:sz w:val="28"/>
          <w:szCs w:val="28"/>
        </w:rPr>
        <w:t>9月20日申领了排污许可证，许可证编</w:t>
      </w:r>
      <w:r>
        <w:rPr>
          <w:rFonts w:ascii="Times New Roman" w:hAnsi="Times New Roman" w:cs="Times New Roman"/>
          <w:sz w:val="28"/>
          <w:szCs w:val="28"/>
        </w:rPr>
        <w:t>号91140000701011888X001P。</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4、项目从立项至调试过程中无环境投诉、违法或处罚记录等。</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（三）投资情况</w:t>
      </w:r>
    </w:p>
    <w:p>
      <w:pPr>
        <w:tabs>
          <w:tab w:val="left" w:pos="4305"/>
        </w:tabs>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sz w:val="28"/>
          <w:szCs w:val="28"/>
        </w:rPr>
        <w:t>项目实际</w:t>
      </w:r>
      <w:r>
        <w:rPr>
          <w:rFonts w:ascii="Times New Roman" w:hAnsi="Times New Roman" w:cs="Times New Roman"/>
          <w:color w:val="000000"/>
          <w:sz w:val="28"/>
          <w:szCs w:val="28"/>
        </w:rPr>
        <w:t>总投资</w:t>
      </w:r>
      <w:r>
        <w:rPr>
          <w:rFonts w:ascii="Times New Roman" w:hAnsi="Times New Roman" w:cs="Times New Roman"/>
          <w:sz w:val="28"/>
          <w:szCs w:val="28"/>
        </w:rPr>
        <w:t>268602.77万元，其中环保投资22760万元</w:t>
      </w:r>
      <w:r>
        <w:rPr>
          <w:rFonts w:ascii="Times New Roman" w:hAnsi="Times New Roman" w:cs="Times New Roman"/>
          <w:color w:val="000000"/>
          <w:sz w:val="28"/>
          <w:szCs w:val="28"/>
        </w:rPr>
        <w:t>，占总投资的8.5%。</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（四）验收范围</w:t>
      </w:r>
    </w:p>
    <w:p>
      <w:pPr>
        <w:overflowPunct w:val="0"/>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color w:val="000000"/>
          <w:sz w:val="28"/>
          <w:szCs w:val="28"/>
        </w:rPr>
        <w:t>本次竣工环</w:t>
      </w:r>
      <w:r>
        <w:rPr>
          <w:rFonts w:ascii="Times New Roman" w:hAnsi="Times New Roman" w:cs="Times New Roman"/>
          <w:sz w:val="28"/>
          <w:szCs w:val="28"/>
        </w:rPr>
        <w:t>境保护验收包括太钢不锈钢股份有限公司硅钢冷连轧技术改造项目（年产100万吨中低牌号无取向硅钢）的主体工程、辅助工程、环保工程及公辅设施等。</w:t>
      </w:r>
    </w:p>
    <w:p>
      <w:pPr>
        <w:pStyle w:val="79"/>
        <w:adjustRightInd w:val="0"/>
        <w:snapToGrid w:val="0"/>
        <w:spacing w:before="0" w:beforeAutospacing="0" w:after="0" w:afterAutospacing="0" w:line="500" w:lineRule="exact"/>
        <w:ind w:firstLine="562" w:firstLineChars="200"/>
        <w:jc w:val="both"/>
        <w:outlineLvl w:val="0"/>
        <w:rPr>
          <w:rFonts w:ascii="Times New Roman" w:hAnsi="Times New Roman" w:cs="Times New Roman"/>
          <w:b/>
          <w:sz w:val="28"/>
          <w:szCs w:val="28"/>
        </w:rPr>
      </w:pPr>
      <w:r>
        <w:rPr>
          <w:rFonts w:ascii="Times New Roman" w:hAnsi="Times New Roman" w:cs="Times New Roman"/>
          <w:b/>
          <w:sz w:val="28"/>
          <w:szCs w:val="28"/>
        </w:rPr>
        <w:t>二、工程变动情况</w:t>
      </w:r>
    </w:p>
    <w:p>
      <w:pPr>
        <w:overflowPunct w:val="0"/>
        <w:adjustRightInd w:val="0"/>
        <w:snapToGrid w:val="0"/>
        <w:spacing w:line="500" w:lineRule="exact"/>
        <w:ind w:firstLine="560" w:firstLineChars="200"/>
        <w:rPr>
          <w:rFonts w:ascii="Times New Roman" w:hAnsi="Times New Roman" w:cs="Times New Roman"/>
          <w:bCs/>
        </w:rPr>
      </w:pPr>
      <w:r>
        <w:rPr>
          <w:rFonts w:ascii="Times New Roman" w:hAnsi="Times New Roman" w:cs="Times New Roman"/>
          <w:sz w:val="28"/>
          <w:szCs w:val="28"/>
        </w:rPr>
        <w:t>经现场调查和与建设单位核实，该项目在选址、生产规模、生产工艺技术条件和生产设备、环保工程</w:t>
      </w:r>
      <w:r>
        <w:rPr>
          <w:rFonts w:hint="eastAsia" w:ascii="Times New Roman" w:hAnsi="Times New Roman" w:cs="Times New Roman"/>
          <w:sz w:val="28"/>
          <w:szCs w:val="28"/>
        </w:rPr>
        <w:t>各项</w:t>
      </w:r>
      <w:r>
        <w:rPr>
          <w:rFonts w:ascii="Times New Roman" w:hAnsi="Times New Roman" w:cs="Times New Roman"/>
          <w:sz w:val="28"/>
          <w:szCs w:val="28"/>
        </w:rPr>
        <w:t>与环评阶段保持一致，仅项目建设内容发生少许变化，即原设计建设的脱盐水站和一级脱盐水站未建设，</w:t>
      </w:r>
      <w:r>
        <w:rPr>
          <w:rFonts w:hint="eastAsia" w:ascii="Times New Roman" w:hAnsi="Times New Roman" w:cs="Times New Roman"/>
          <w:sz w:val="28"/>
          <w:szCs w:val="28"/>
        </w:rPr>
        <w:t>项目所需</w:t>
      </w:r>
      <w:r>
        <w:rPr>
          <w:rFonts w:ascii="Times New Roman" w:hAnsi="Times New Roman" w:cs="Times New Roman"/>
          <w:sz w:val="28"/>
          <w:szCs w:val="28"/>
        </w:rPr>
        <w:t>除盐水改由太钢厂区除盐水管网提供；另外，依托工程中和三站</w:t>
      </w:r>
      <w:r>
        <w:rPr>
          <w:rFonts w:hint="eastAsia" w:ascii="Times New Roman" w:hAnsi="Times New Roman" w:cs="Times New Roman"/>
          <w:sz w:val="28"/>
          <w:szCs w:val="28"/>
        </w:rPr>
        <w:t>处理</w:t>
      </w:r>
      <w:r>
        <w:rPr>
          <w:rFonts w:ascii="Times New Roman" w:hAnsi="Times New Roman" w:cs="Times New Roman"/>
          <w:sz w:val="28"/>
          <w:szCs w:val="28"/>
        </w:rPr>
        <w:t>含酸废水产生的中和污泥原设计为送太钢东山大槐树沟固废处置填埋场，现实际改为送本公司烧结工序参与配料。</w:t>
      </w:r>
    </w:p>
    <w:p>
      <w:pPr>
        <w:autoSpaceDE w:val="0"/>
        <w:autoSpaceDN w:val="0"/>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本项目建设过程中发生的主要变动见表2。</w:t>
      </w:r>
    </w:p>
    <w:p>
      <w:pPr>
        <w:autoSpaceDE w:val="0"/>
        <w:autoSpaceDN w:val="0"/>
        <w:adjustRightInd w:val="0"/>
        <w:snapToGrid w:val="0"/>
        <w:spacing w:line="500" w:lineRule="exact"/>
        <w:jc w:val="center"/>
        <w:rPr>
          <w:rFonts w:ascii="Times New Roman" w:hAnsi="Times New Roman" w:cs="Times New Roman"/>
          <w:b/>
          <w:bCs/>
          <w:sz w:val="24"/>
        </w:rPr>
      </w:pPr>
      <w:r>
        <w:rPr>
          <w:rFonts w:ascii="Times New Roman" w:hAnsi="Times New Roman" w:cs="Times New Roman"/>
          <w:b/>
          <w:bCs/>
          <w:sz w:val="24"/>
        </w:rPr>
        <w:t>表2 项目变动情况表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747"/>
        <w:gridCol w:w="3140"/>
        <w:gridCol w:w="2390"/>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349"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szCs w:val="21"/>
              </w:rPr>
            </w:pPr>
            <w:r>
              <w:rPr>
                <w:rFonts w:ascii="Times New Roman" w:hAnsi="Times New Roman" w:cs="Times New Roman"/>
                <w:b/>
                <w:szCs w:val="21"/>
              </w:rPr>
              <w:t>名称</w:t>
            </w:r>
          </w:p>
        </w:tc>
        <w:tc>
          <w:tcPr>
            <w:tcW w:w="423"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szCs w:val="21"/>
              </w:rPr>
            </w:pPr>
            <w:r>
              <w:rPr>
                <w:rFonts w:ascii="Times New Roman" w:hAnsi="Times New Roman" w:cs="Times New Roman"/>
                <w:b/>
                <w:szCs w:val="21"/>
              </w:rPr>
              <w:t>工程内容</w:t>
            </w:r>
          </w:p>
        </w:tc>
        <w:tc>
          <w:tcPr>
            <w:tcW w:w="1777"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szCs w:val="21"/>
              </w:rPr>
            </w:pPr>
            <w:r>
              <w:rPr>
                <w:rFonts w:ascii="Times New Roman" w:hAnsi="Times New Roman" w:cs="Times New Roman"/>
                <w:b/>
                <w:szCs w:val="21"/>
              </w:rPr>
              <w:t>环评设计内容、规格</w:t>
            </w:r>
          </w:p>
        </w:tc>
        <w:tc>
          <w:tcPr>
            <w:tcW w:w="1353"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szCs w:val="21"/>
              </w:rPr>
            </w:pPr>
            <w:r>
              <w:rPr>
                <w:rFonts w:ascii="Times New Roman" w:hAnsi="Times New Roman" w:cs="Times New Roman"/>
                <w:b/>
                <w:szCs w:val="21"/>
              </w:rPr>
              <w:t>实际建设内容</w:t>
            </w:r>
          </w:p>
        </w:tc>
        <w:tc>
          <w:tcPr>
            <w:tcW w:w="1098"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cs="Times New Roman"/>
                <w:b/>
                <w:szCs w:val="21"/>
              </w:rPr>
            </w:pPr>
            <w:r>
              <w:rPr>
                <w:rFonts w:ascii="Times New Roman" w:hAnsi="Times New Roman" w:cs="Times New Roman"/>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 w:type="pct"/>
            <w:vMerge w:val="restart"/>
            <w:vAlign w:val="center"/>
          </w:tcPr>
          <w:p>
            <w:pPr>
              <w:overflowPunct w:val="0"/>
              <w:snapToGrid w:val="0"/>
              <w:jc w:val="center"/>
              <w:rPr>
                <w:rFonts w:ascii="Times New Roman" w:hAnsi="Times New Roman" w:cs="Times New Roman"/>
                <w:color w:val="000000"/>
                <w:szCs w:val="21"/>
              </w:rPr>
            </w:pPr>
            <w:r>
              <w:rPr>
                <w:rFonts w:ascii="Times New Roman" w:hAnsi="Times New Roman" w:cs="Times New Roman"/>
                <w:color w:val="000000"/>
                <w:szCs w:val="21"/>
              </w:rPr>
              <w:t>公用工程</w:t>
            </w:r>
          </w:p>
        </w:tc>
        <w:tc>
          <w:tcPr>
            <w:tcW w:w="423" w:type="pct"/>
            <w:tcBorders>
              <w:right w:val="single" w:color="auto" w:sz="4" w:space="0"/>
            </w:tcBorders>
            <w:vAlign w:val="center"/>
          </w:tcPr>
          <w:p>
            <w:pPr>
              <w:adjustRightInd w:val="0"/>
              <w:snapToGrid w:val="0"/>
              <w:rPr>
                <w:rFonts w:ascii="Times New Roman" w:hAnsi="Times New Roman" w:cs="Times New Roman"/>
                <w:szCs w:val="21"/>
              </w:rPr>
            </w:pPr>
            <w:r>
              <w:rPr>
                <w:rFonts w:ascii="Times New Roman" w:hAnsi="Times New Roman" w:cs="Times New Roman"/>
                <w:szCs w:val="21"/>
              </w:rPr>
              <w:t>脱盐水站</w:t>
            </w:r>
          </w:p>
        </w:tc>
        <w:tc>
          <w:tcPr>
            <w:tcW w:w="177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新建一座处理能力为60m³/h的脱盐水站</w:t>
            </w:r>
          </w:p>
        </w:tc>
        <w:tc>
          <w:tcPr>
            <w:tcW w:w="1353" w:type="pct"/>
            <w:vAlign w:val="center"/>
          </w:tcPr>
          <w:p>
            <w:pPr>
              <w:snapToGrid w:val="0"/>
              <w:rPr>
                <w:rFonts w:ascii="Times New Roman" w:hAnsi="Times New Roman" w:cs="Times New Roman"/>
              </w:rPr>
            </w:pPr>
            <w:r>
              <w:rPr>
                <w:rFonts w:ascii="Times New Roman" w:hAnsi="Times New Roman" w:cs="Times New Roman"/>
                <w:szCs w:val="21"/>
              </w:rPr>
              <w:t>未建设，项目所需除盐水依托厂区除盐水供水管网提供</w:t>
            </w:r>
          </w:p>
        </w:tc>
        <w:tc>
          <w:tcPr>
            <w:tcW w:w="1098" w:type="pct"/>
            <w:vAlign w:val="center"/>
          </w:tcPr>
          <w:p>
            <w:pPr>
              <w:overflowPunct w:val="0"/>
              <w:snapToGrid w:val="0"/>
              <w:rPr>
                <w:rFonts w:ascii="Times New Roman" w:hAnsi="Times New Roman" w:cs="Times New Roman"/>
                <w:szCs w:val="21"/>
              </w:rPr>
            </w:pPr>
            <w:r>
              <w:rPr>
                <w:rFonts w:ascii="Times New Roman" w:hAnsi="Times New Roman" w:cs="Times New Roman"/>
                <w:szCs w:val="21"/>
              </w:rPr>
              <w:t>经平衡，依托企业现有除盐水可以满足项目需求。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 w:type="pct"/>
            <w:vMerge w:val="continue"/>
            <w:vAlign w:val="center"/>
          </w:tcPr>
          <w:p>
            <w:pPr>
              <w:overflowPunct w:val="0"/>
              <w:snapToGrid w:val="0"/>
              <w:jc w:val="center"/>
              <w:rPr>
                <w:rFonts w:ascii="Times New Roman" w:hAnsi="Times New Roman" w:cs="Times New Roman"/>
                <w:color w:val="000000"/>
                <w:szCs w:val="21"/>
              </w:rPr>
            </w:pPr>
          </w:p>
        </w:tc>
        <w:tc>
          <w:tcPr>
            <w:tcW w:w="423" w:type="pct"/>
            <w:tcBorders>
              <w:right w:val="single" w:color="auto" w:sz="4" w:space="0"/>
            </w:tcBorders>
            <w:vAlign w:val="center"/>
          </w:tcPr>
          <w:p>
            <w:pPr>
              <w:adjustRightInd w:val="0"/>
              <w:snapToGrid w:val="0"/>
              <w:rPr>
                <w:rFonts w:ascii="Times New Roman" w:hAnsi="Times New Roman" w:cs="Times New Roman"/>
                <w:szCs w:val="21"/>
              </w:rPr>
            </w:pPr>
            <w:r>
              <w:rPr>
                <w:rFonts w:ascii="Times New Roman" w:hAnsi="Times New Roman" w:cs="Times New Roman"/>
                <w:szCs w:val="21"/>
              </w:rPr>
              <w:t>一级除盐水站</w:t>
            </w:r>
          </w:p>
        </w:tc>
        <w:tc>
          <w:tcPr>
            <w:tcW w:w="177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设计水量 170m³/h，为循环水系统排污水及过滤器反冲洗水，废水处理站酸、碱系统排水。</w:t>
            </w:r>
          </w:p>
        </w:tc>
        <w:tc>
          <w:tcPr>
            <w:tcW w:w="1353" w:type="pct"/>
            <w:vAlign w:val="center"/>
          </w:tcPr>
          <w:p>
            <w:pPr>
              <w:snapToGrid w:val="0"/>
              <w:rPr>
                <w:rFonts w:ascii="Times New Roman" w:hAnsi="Times New Roman" w:cs="Times New Roman"/>
                <w:szCs w:val="21"/>
              </w:rPr>
            </w:pPr>
            <w:r>
              <w:rPr>
                <w:rFonts w:ascii="Times New Roman" w:hAnsi="Times New Roman" w:cs="Times New Roman"/>
                <w:szCs w:val="21"/>
              </w:rPr>
              <w:t>未建设</w:t>
            </w:r>
          </w:p>
        </w:tc>
        <w:tc>
          <w:tcPr>
            <w:tcW w:w="1098" w:type="pct"/>
            <w:vAlign w:val="center"/>
          </w:tcPr>
          <w:p>
            <w:pPr>
              <w:overflowPunct w:val="0"/>
              <w:snapToGrid w:val="0"/>
              <w:jc w:val="center"/>
              <w:rPr>
                <w:rFonts w:ascii="Times New Roman" w:hAnsi="Times New Roman" w:cs="Times New Roman"/>
                <w:color w:val="FF0000"/>
                <w:szCs w:val="21"/>
              </w:rPr>
            </w:pPr>
            <w:r>
              <w:rPr>
                <w:rFonts w:ascii="Times New Roman" w:hAnsi="Times New Roman" w:cs="Times New Roman"/>
                <w:color w:val="FF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49" w:type="pct"/>
            <w:vAlign w:val="center"/>
          </w:tcPr>
          <w:p>
            <w:pPr>
              <w:overflowPunct w:val="0"/>
              <w:snapToGrid w:val="0"/>
              <w:jc w:val="center"/>
              <w:rPr>
                <w:rFonts w:ascii="Times New Roman" w:hAnsi="Times New Roman" w:cs="Times New Roman"/>
                <w:color w:val="000000"/>
                <w:szCs w:val="21"/>
              </w:rPr>
            </w:pPr>
            <w:r>
              <w:rPr>
                <w:rFonts w:ascii="Times New Roman" w:hAnsi="Times New Roman" w:cs="Times New Roman"/>
                <w:color w:val="000000"/>
                <w:szCs w:val="21"/>
              </w:rPr>
              <w:t>环保工程</w:t>
            </w:r>
          </w:p>
        </w:tc>
        <w:tc>
          <w:tcPr>
            <w:tcW w:w="423" w:type="pct"/>
            <w:tcBorders>
              <w:right w:val="single" w:color="auto" w:sz="4" w:space="0"/>
            </w:tcBorders>
            <w:vAlign w:val="center"/>
          </w:tcPr>
          <w:p>
            <w:pPr>
              <w:adjustRightInd w:val="0"/>
              <w:snapToGrid w:val="0"/>
              <w:rPr>
                <w:rFonts w:ascii="Times New Roman" w:hAnsi="Times New Roman" w:cs="Times New Roman"/>
                <w:szCs w:val="21"/>
              </w:rPr>
            </w:pPr>
            <w:r>
              <w:rPr>
                <w:rFonts w:ascii="Times New Roman" w:hAnsi="Times New Roman" w:cs="Times New Roman"/>
                <w:szCs w:val="21"/>
              </w:rPr>
              <w:t>中和三站</w:t>
            </w:r>
          </w:p>
        </w:tc>
        <w:tc>
          <w:tcPr>
            <w:tcW w:w="1777" w:type="pct"/>
            <w:vAlign w:val="center"/>
          </w:tcPr>
          <w:p>
            <w:pPr>
              <w:overflowPunct w:val="0"/>
              <w:snapToGrid w:val="0"/>
              <w:jc w:val="center"/>
              <w:rPr>
                <w:rFonts w:ascii="Times New Roman" w:hAnsi="Times New Roman" w:cs="Times New Roman"/>
                <w:szCs w:val="21"/>
              </w:rPr>
            </w:pPr>
            <w:r>
              <w:rPr>
                <w:rFonts w:ascii="Times New Roman" w:hAnsi="Times New Roman" w:cs="Times New Roman"/>
                <w:szCs w:val="21"/>
              </w:rPr>
              <w:t>含酸废水处理系统产生的中和污泥送太钢东山大槐树沟固废处置填埋场</w:t>
            </w:r>
          </w:p>
        </w:tc>
        <w:tc>
          <w:tcPr>
            <w:tcW w:w="1353" w:type="pct"/>
            <w:vAlign w:val="center"/>
          </w:tcPr>
          <w:p>
            <w:pPr>
              <w:snapToGrid w:val="0"/>
              <w:rPr>
                <w:rFonts w:ascii="Times New Roman" w:hAnsi="Times New Roman" w:cs="Times New Roman"/>
                <w:szCs w:val="21"/>
              </w:rPr>
            </w:pPr>
            <w:r>
              <w:rPr>
                <w:rFonts w:ascii="Times New Roman" w:hAnsi="Times New Roman" w:cs="Times New Roman"/>
                <w:szCs w:val="21"/>
              </w:rPr>
              <w:t>含酸废水处理系统产生的中和污泥送烧结参与配料</w:t>
            </w:r>
          </w:p>
        </w:tc>
        <w:tc>
          <w:tcPr>
            <w:tcW w:w="1098" w:type="pct"/>
            <w:vAlign w:val="center"/>
          </w:tcPr>
          <w:p>
            <w:pPr>
              <w:overflowPunct w:val="0"/>
              <w:snapToGrid w:val="0"/>
              <w:jc w:val="center"/>
              <w:rPr>
                <w:rFonts w:ascii="Times New Roman" w:hAnsi="Times New Roman" w:cs="Times New Roman"/>
                <w:color w:val="000000"/>
                <w:szCs w:val="21"/>
              </w:rPr>
            </w:pPr>
            <w:r>
              <w:rPr>
                <w:rFonts w:hint="eastAsia" w:ascii="Times New Roman" w:hAnsi="Times New Roman" w:cs="Times New Roman"/>
                <w:color w:val="000000"/>
                <w:szCs w:val="21"/>
              </w:rPr>
              <w:t>实现资源化利用</w:t>
            </w:r>
          </w:p>
        </w:tc>
      </w:tr>
    </w:tbl>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color w:val="FF0000"/>
          <w:sz w:val="28"/>
          <w:szCs w:val="28"/>
        </w:rPr>
      </w:pPr>
      <w:r>
        <w:rPr>
          <w:rFonts w:ascii="Times New Roman" w:hAnsi="Times New Roman" w:cs="Times New Roman"/>
          <w:color w:val="000000"/>
          <w:sz w:val="28"/>
          <w:szCs w:val="28"/>
        </w:rPr>
        <w:t>由上表可知，项目建设过程中，</w:t>
      </w:r>
      <w:r>
        <w:rPr>
          <w:rFonts w:ascii="Times New Roman" w:hAnsi="Times New Roman" w:cs="Times New Roman"/>
          <w:sz w:val="28"/>
          <w:szCs w:val="28"/>
        </w:rPr>
        <w:t>根据企业实际对辅助工程的建设内容和依托工程的固废处置方案进行了调整，有利于资源合理利用和减少污染排放，验收组认为工程变动不属于重大变</w:t>
      </w:r>
      <w:r>
        <w:rPr>
          <w:rFonts w:hint="eastAsia" w:ascii="Times New Roman" w:hAnsi="Times New Roman" w:cs="Times New Roman"/>
          <w:sz w:val="28"/>
          <w:szCs w:val="28"/>
        </w:rPr>
        <w:t>动</w:t>
      </w:r>
      <w:r>
        <w:rPr>
          <w:rFonts w:ascii="Times New Roman" w:hAnsi="Times New Roman" w:cs="Times New Roman"/>
          <w:sz w:val="28"/>
          <w:szCs w:val="28"/>
        </w:rPr>
        <w:t>。</w:t>
      </w:r>
    </w:p>
    <w:p>
      <w:pPr>
        <w:pStyle w:val="79"/>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三、环境保护设施建设情况</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w:t>
      </w:r>
      <w:bookmarkStart w:id="2" w:name="_Toc38435337"/>
      <w:bookmarkStart w:id="3" w:name="_Toc30146497"/>
      <w:bookmarkStart w:id="4" w:name="_Toc6472482"/>
      <w:bookmarkStart w:id="5" w:name="_Toc517789857"/>
      <w:r>
        <w:rPr>
          <w:rFonts w:ascii="Times New Roman" w:hAnsi="Times New Roman" w:cs="Times New Roman"/>
          <w:bCs/>
          <w:color w:val="000000"/>
          <w:sz w:val="28"/>
          <w:szCs w:val="28"/>
        </w:rPr>
        <w:t>废水</w:t>
      </w:r>
      <w:bookmarkEnd w:id="2"/>
      <w:bookmarkEnd w:id="3"/>
      <w:bookmarkEnd w:id="4"/>
      <w:bookmarkEnd w:id="5"/>
      <w:r>
        <w:rPr>
          <w:rFonts w:ascii="Times New Roman" w:hAnsi="Times New Roman" w:cs="Times New Roman"/>
          <w:bCs/>
          <w:color w:val="000000"/>
          <w:sz w:val="28"/>
          <w:szCs w:val="28"/>
        </w:rPr>
        <w:t>产生与治理设施</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本项目产生的废水主要包括：酸洗过程中产生的含酸废水、碱喷淋后刷洗机产生的含碱废水，涂层机组清洗、铬酸雾净化塔产生的含铬废水，退火炉环水及浊环水系统产生的排水</w:t>
      </w:r>
      <w:bookmarkStart w:id="6" w:name="_Toc133724684"/>
      <w:r>
        <w:rPr>
          <w:rFonts w:ascii="Times New Roman" w:hAnsi="Times New Roman" w:cs="Times New Roman"/>
          <w:bCs/>
          <w:color w:val="000000"/>
          <w:sz w:val="28"/>
          <w:szCs w:val="28"/>
        </w:rPr>
        <w:t>。</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1、含酸废水</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盐酸酸洗后部的刷洗机产生的含酸废水，送至</w:t>
      </w:r>
      <w:r>
        <w:rPr>
          <w:rFonts w:hint="eastAsia" w:ascii="Times New Roman" w:hAnsi="Times New Roman" w:cs="Times New Roman"/>
          <w:bCs/>
          <w:color w:val="000000"/>
          <w:sz w:val="28"/>
          <w:szCs w:val="28"/>
        </w:rPr>
        <w:t>依托工程</w:t>
      </w:r>
      <w:r>
        <w:rPr>
          <w:rFonts w:ascii="Times New Roman" w:hAnsi="Times New Roman" w:cs="Times New Roman"/>
          <w:bCs/>
          <w:color w:val="000000"/>
          <w:sz w:val="28"/>
          <w:szCs w:val="28"/>
        </w:rPr>
        <w:t>太钢中和三站含酸废水处理系统进行中和处理</w:t>
      </w:r>
      <w:r>
        <w:rPr>
          <w:rFonts w:hint="eastAsia" w:ascii="Times New Roman" w:hAnsi="Times New Roman" w:cs="Times New Roman"/>
          <w:bCs/>
          <w:color w:val="000000"/>
          <w:sz w:val="28"/>
          <w:szCs w:val="28"/>
        </w:rPr>
        <w:t>，然后通过</w:t>
      </w:r>
      <w:r>
        <w:rPr>
          <w:rFonts w:ascii="Times New Roman" w:hAnsi="Times New Roman" w:cs="Times New Roman"/>
          <w:bCs/>
          <w:color w:val="000000"/>
          <w:sz w:val="28"/>
          <w:szCs w:val="28"/>
        </w:rPr>
        <w:t>厂区排水系统，进入太钢污水处理场五期进行</w:t>
      </w:r>
      <w:r>
        <w:rPr>
          <w:rFonts w:hint="eastAsia" w:ascii="Times New Roman" w:hAnsi="Times New Roman" w:cs="Times New Roman"/>
          <w:bCs/>
          <w:color w:val="000000"/>
          <w:sz w:val="28"/>
          <w:szCs w:val="28"/>
        </w:rPr>
        <w:t>深度</w:t>
      </w:r>
      <w:r>
        <w:rPr>
          <w:rFonts w:ascii="Times New Roman" w:hAnsi="Times New Roman" w:cs="Times New Roman"/>
          <w:bCs/>
          <w:color w:val="000000"/>
          <w:sz w:val="28"/>
          <w:szCs w:val="28"/>
        </w:rPr>
        <w:t>处理，处理后的水进入太钢循环水处理系统。</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sz w:val="28"/>
          <w:szCs w:val="28"/>
        </w:rPr>
      </w:pPr>
      <w:r>
        <w:rPr>
          <w:rFonts w:ascii="Times New Roman" w:hAnsi="Times New Roman" w:cs="Times New Roman"/>
          <w:bCs/>
          <w:sz w:val="28"/>
          <w:szCs w:val="28"/>
        </w:rPr>
        <w:t>2、碱油废水</w:t>
      </w:r>
    </w:p>
    <w:p>
      <w:pPr>
        <w:overflowPunct w:val="0"/>
        <w:autoSpaceDE w:val="0"/>
        <w:autoSpaceDN w:val="0"/>
        <w:adjustRightInd w:val="0"/>
        <w:snapToGrid w:val="0"/>
        <w:spacing w:line="500" w:lineRule="exact"/>
        <w:ind w:firstLine="560" w:firstLineChars="200"/>
        <w:jc w:val="left"/>
        <w:rPr>
          <w:rFonts w:hint="eastAsia" w:ascii="Times New Roman" w:hAnsi="Times New Roman" w:cs="Times New Roman"/>
          <w:bCs/>
          <w:sz w:val="28"/>
          <w:szCs w:val="28"/>
        </w:rPr>
      </w:pPr>
      <w:r>
        <w:rPr>
          <w:rFonts w:ascii="Times New Roman" w:hAnsi="Times New Roman" w:cs="Times New Roman"/>
          <w:bCs/>
          <w:sz w:val="28"/>
          <w:szCs w:val="28"/>
        </w:rPr>
        <w:t>碱喷淋过程中产生的碱油废水及碱雾净化塔产生的废碱水，经管线送</w:t>
      </w:r>
      <w:r>
        <w:rPr>
          <w:rFonts w:hint="eastAsia" w:ascii="Times New Roman" w:hAnsi="Times New Roman" w:cs="Times New Roman"/>
          <w:bCs/>
          <w:sz w:val="28"/>
          <w:szCs w:val="28"/>
        </w:rPr>
        <w:t>依托工程太钢</w:t>
      </w:r>
      <w:r>
        <w:rPr>
          <w:rFonts w:ascii="Times New Roman" w:hAnsi="Times New Roman" w:cs="Times New Roman"/>
          <w:bCs/>
          <w:sz w:val="28"/>
          <w:szCs w:val="28"/>
        </w:rPr>
        <w:t>公司综合处理站的碱油废水处理系统处理。进入太钢赵庄污水处理场五期进行进一步处理，合格后进入太钢循环水处理系统。</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sz w:val="28"/>
          <w:szCs w:val="28"/>
        </w:rPr>
      </w:pPr>
      <w:r>
        <w:rPr>
          <w:rFonts w:ascii="Times New Roman" w:hAnsi="Times New Roman" w:cs="Times New Roman"/>
          <w:bCs/>
          <w:sz w:val="28"/>
          <w:szCs w:val="28"/>
        </w:rPr>
        <w:t xml:space="preserve">3、含铬废水 </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项目含铬废水主要来源于涂层设备冲洗水、铬酸雾净化</w:t>
      </w:r>
      <w:r>
        <w:rPr>
          <w:rFonts w:hint="eastAsia" w:ascii="Times New Roman" w:hAnsi="Times New Roman" w:cs="Times New Roman"/>
          <w:bCs/>
          <w:color w:val="000000"/>
          <w:sz w:val="28"/>
          <w:szCs w:val="28"/>
        </w:rPr>
        <w:t>塔</w:t>
      </w:r>
      <w:r>
        <w:rPr>
          <w:rFonts w:ascii="Times New Roman" w:hAnsi="Times New Roman" w:cs="Times New Roman"/>
          <w:bCs/>
          <w:color w:val="000000"/>
          <w:sz w:val="28"/>
          <w:szCs w:val="28"/>
        </w:rPr>
        <w:t>产生的废水</w:t>
      </w:r>
      <w:r>
        <w:rPr>
          <w:rFonts w:hint="eastAsia" w:ascii="Times New Roman" w:hAnsi="Times New Roman" w:cs="Times New Roman"/>
          <w:bCs/>
          <w:color w:val="000000"/>
          <w:sz w:val="28"/>
          <w:szCs w:val="28"/>
        </w:rPr>
        <w:t>，</w:t>
      </w:r>
      <w:r>
        <w:rPr>
          <w:rFonts w:ascii="Times New Roman" w:hAnsi="Times New Roman" w:cs="Times New Roman"/>
          <w:bCs/>
          <w:color w:val="000000"/>
          <w:sz w:val="28"/>
          <w:szCs w:val="28"/>
        </w:rPr>
        <w:t>统一送</w:t>
      </w:r>
      <w:r>
        <w:rPr>
          <w:rFonts w:hint="eastAsia" w:ascii="Times New Roman" w:hAnsi="Times New Roman" w:cs="Times New Roman"/>
          <w:bCs/>
          <w:color w:val="000000"/>
          <w:sz w:val="28"/>
          <w:szCs w:val="28"/>
        </w:rPr>
        <w:t>依托工程太钢</w:t>
      </w:r>
      <w:r>
        <w:rPr>
          <w:rFonts w:ascii="Times New Roman" w:hAnsi="Times New Roman" w:cs="Times New Roman"/>
          <w:bCs/>
          <w:color w:val="000000"/>
          <w:sz w:val="28"/>
          <w:szCs w:val="28"/>
        </w:rPr>
        <w:t>公司中和三站含铬废水处理系统</w:t>
      </w:r>
      <w:r>
        <w:rPr>
          <w:rFonts w:hint="eastAsia" w:ascii="Times New Roman" w:hAnsi="Times New Roman" w:cs="Times New Roman"/>
          <w:bCs/>
          <w:color w:val="000000"/>
          <w:sz w:val="28"/>
          <w:szCs w:val="28"/>
        </w:rPr>
        <w:t>，</w:t>
      </w:r>
      <w:r>
        <w:rPr>
          <w:rFonts w:ascii="Times New Roman" w:hAnsi="Times New Roman" w:cs="Times New Roman"/>
          <w:bCs/>
          <w:color w:val="000000"/>
          <w:sz w:val="28"/>
          <w:szCs w:val="28"/>
        </w:rPr>
        <w:t>加盐酸调节pH后投加FeCl2作为还原剂对六价铬进行还原处理，最终使铬离子沉淀。中和站处理后的含铬废水</w:t>
      </w:r>
      <w:bookmarkStart w:id="7" w:name="_Hlk38873329"/>
      <w:r>
        <w:rPr>
          <w:rFonts w:ascii="Times New Roman" w:hAnsi="Times New Roman" w:cs="Times New Roman"/>
          <w:bCs/>
          <w:color w:val="000000"/>
          <w:sz w:val="28"/>
          <w:szCs w:val="28"/>
        </w:rPr>
        <w:t>进入太钢赵庄污水处理场五期进行进一步处理，合格后进入太钢循环水处理系统。</w:t>
      </w:r>
    </w:p>
    <w:bookmarkEnd w:id="6"/>
    <w:bookmarkEnd w:id="7"/>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4、循环水系统排污水</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退火炉净环水系统定期排放的废水进入</w:t>
      </w:r>
      <w:r>
        <w:rPr>
          <w:rFonts w:hint="eastAsia" w:ascii="Times New Roman" w:hAnsi="Times New Roman" w:cs="Times New Roman"/>
          <w:bCs/>
          <w:color w:val="000000"/>
          <w:sz w:val="28"/>
          <w:szCs w:val="28"/>
        </w:rPr>
        <w:t>依托工程</w:t>
      </w:r>
      <w:r>
        <w:rPr>
          <w:rFonts w:ascii="Times New Roman" w:hAnsi="Times New Roman" w:cs="Times New Roman"/>
          <w:bCs/>
          <w:color w:val="000000"/>
          <w:sz w:val="28"/>
          <w:szCs w:val="28"/>
        </w:rPr>
        <w:t>太钢赵庄污水处理厂五期进行处理，处理后太钢厂内循环回用。</w:t>
      </w:r>
      <w:bookmarkStart w:id="8" w:name="bookmark14"/>
      <w:bookmarkEnd w:id="8"/>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color w:val="000000"/>
          <w:sz w:val="28"/>
          <w:szCs w:val="28"/>
        </w:rPr>
        <w:t>（二）废气产生及治理设施</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本项目产生大气污染物的有拉矫含尘废气、酸洗酸雾、轧机油雾、碱洗碱雾、退火炉废气、干燥炉废气、涂层废气、酸再生废气等。</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1、拉矫含尘气体：拉矫机在清除氧化铁磷过程中产生少量的粉尘，</w:t>
      </w:r>
      <w:r>
        <w:rPr>
          <w:rFonts w:hint="eastAsia" w:ascii="Times New Roman" w:hAnsi="Times New Roman" w:cs="Times New Roman"/>
          <w:bCs/>
          <w:color w:val="000000"/>
          <w:sz w:val="28"/>
          <w:szCs w:val="28"/>
        </w:rPr>
        <w:t>经集气罩收集后送</w:t>
      </w:r>
      <w:r>
        <w:rPr>
          <w:rFonts w:ascii="Times New Roman" w:hAnsi="Times New Roman" w:cs="Times New Roman"/>
          <w:bCs/>
          <w:color w:val="000000"/>
          <w:sz w:val="28"/>
          <w:szCs w:val="28"/>
        </w:rPr>
        <w:t>布袋除尘器净化</w:t>
      </w:r>
      <w:r>
        <w:rPr>
          <w:rFonts w:hint="eastAsia" w:ascii="Times New Roman" w:hAnsi="Times New Roman" w:cs="Times New Roman"/>
          <w:bCs/>
          <w:color w:val="000000"/>
          <w:sz w:val="28"/>
          <w:szCs w:val="28"/>
        </w:rPr>
        <w:t>，</w:t>
      </w:r>
      <w:r>
        <w:rPr>
          <w:rFonts w:ascii="Times New Roman" w:hAnsi="Times New Roman" w:cs="Times New Roman"/>
          <w:bCs/>
          <w:color w:val="000000"/>
          <w:sz w:val="28"/>
          <w:szCs w:val="28"/>
        </w:rPr>
        <w:t>经35m高烟囱排放，处理风量均为120000m³/h</w:t>
      </w:r>
      <w:r>
        <w:rPr>
          <w:rFonts w:hint="eastAsia" w:ascii="Times New Roman" w:hAnsi="Times New Roman" w:cs="Times New Roman"/>
          <w:bCs/>
          <w:color w:val="000000"/>
          <w:sz w:val="28"/>
          <w:szCs w:val="28"/>
        </w:rPr>
        <w:t>。</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2、酸洗酸雾：酸洗机组酸洗钢板过程中产生酸雾，</w:t>
      </w:r>
      <w:r>
        <w:rPr>
          <w:rFonts w:ascii="Times New Roman" w:hAnsi="Times New Roman" w:cs="Times New Roman"/>
          <w:bCs/>
          <w:sz w:val="28"/>
          <w:szCs w:val="28"/>
        </w:rPr>
        <w:t>盐酸储槽</w:t>
      </w:r>
      <w:r>
        <w:rPr>
          <w:rFonts w:hint="eastAsia" w:ascii="Times New Roman" w:hAnsi="Times New Roman" w:cs="Times New Roman"/>
          <w:bCs/>
          <w:sz w:val="28"/>
          <w:szCs w:val="28"/>
        </w:rPr>
        <w:t>、</w:t>
      </w:r>
      <w:r>
        <w:rPr>
          <w:rFonts w:ascii="Times New Roman" w:hAnsi="Times New Roman" w:cs="Times New Roman"/>
          <w:bCs/>
          <w:sz w:val="28"/>
          <w:szCs w:val="28"/>
        </w:rPr>
        <w:t>酸</w:t>
      </w:r>
      <w:r>
        <w:rPr>
          <w:rFonts w:hint="eastAsia" w:ascii="Times New Roman" w:hAnsi="Times New Roman" w:cs="Times New Roman"/>
          <w:bCs/>
          <w:sz w:val="28"/>
          <w:szCs w:val="28"/>
        </w:rPr>
        <w:t>洗槽</w:t>
      </w:r>
      <w:r>
        <w:rPr>
          <w:rFonts w:ascii="Times New Roman" w:hAnsi="Times New Roman" w:cs="Times New Roman"/>
          <w:bCs/>
          <w:color w:val="000000"/>
          <w:sz w:val="28"/>
          <w:szCs w:val="28"/>
        </w:rPr>
        <w:t>加盖密封，设抽风系统，抽出的酸雾送往净化塔处理。酸雾净化塔净化系统气量为30000m³/h，处理后的废气经30m的烟囱排放；</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3、轧机油雾：</w:t>
      </w:r>
      <w:bookmarkStart w:id="9" w:name="_Hlk38783697"/>
      <w:r>
        <w:rPr>
          <w:rFonts w:ascii="Times New Roman" w:hAnsi="Times New Roman" w:cs="Times New Roman"/>
          <w:bCs/>
          <w:color w:val="000000"/>
          <w:sz w:val="28"/>
          <w:szCs w:val="28"/>
        </w:rPr>
        <w:t>轧制过程中，钢板与轧机接触过程中需要用乳化液进行润滑、冷却和清洗，产生乳化液油雾，</w:t>
      </w:r>
      <w:bookmarkEnd w:id="9"/>
      <w:r>
        <w:rPr>
          <w:rFonts w:hint="eastAsia" w:ascii="Times New Roman" w:hAnsi="Times New Roman" w:cs="Times New Roman"/>
          <w:bCs/>
          <w:color w:val="000000"/>
          <w:sz w:val="28"/>
          <w:szCs w:val="28"/>
        </w:rPr>
        <w:t>经收集后由</w:t>
      </w:r>
      <w:r>
        <w:rPr>
          <w:rFonts w:ascii="Times New Roman" w:hAnsi="Times New Roman" w:cs="Times New Roman"/>
          <w:bCs/>
          <w:color w:val="000000"/>
          <w:sz w:val="28"/>
          <w:szCs w:val="28"/>
        </w:rPr>
        <w:t>油雾净化器</w:t>
      </w:r>
      <w:r>
        <w:rPr>
          <w:rFonts w:hint="eastAsia" w:ascii="Times New Roman" w:hAnsi="Times New Roman" w:cs="Times New Roman"/>
          <w:bCs/>
          <w:color w:val="000000"/>
          <w:sz w:val="28"/>
          <w:szCs w:val="28"/>
        </w:rPr>
        <w:t>采用</w:t>
      </w:r>
      <w:r>
        <w:rPr>
          <w:rFonts w:ascii="Times New Roman" w:hAnsi="Times New Roman" w:cs="Times New Roman"/>
          <w:bCs/>
          <w:color w:val="000000"/>
          <w:sz w:val="28"/>
          <w:szCs w:val="28"/>
        </w:rPr>
        <w:t>滤芯过滤</w:t>
      </w:r>
      <w:r>
        <w:rPr>
          <w:rFonts w:hint="eastAsia" w:ascii="Times New Roman" w:hAnsi="Times New Roman" w:cs="Times New Roman"/>
          <w:bCs/>
          <w:color w:val="000000"/>
          <w:sz w:val="28"/>
          <w:szCs w:val="28"/>
        </w:rPr>
        <w:t>净化，</w:t>
      </w:r>
      <w:r>
        <w:rPr>
          <w:rFonts w:ascii="Times New Roman" w:hAnsi="Times New Roman" w:cs="Times New Roman"/>
          <w:bCs/>
          <w:color w:val="000000"/>
          <w:sz w:val="28"/>
          <w:szCs w:val="28"/>
        </w:rPr>
        <w:t>处理风量为320000m³/h，排气筒高度为35m</w:t>
      </w:r>
      <w:r>
        <w:rPr>
          <w:rFonts w:hint="eastAsia" w:ascii="Times New Roman" w:hAnsi="Times New Roman" w:cs="Times New Roman"/>
          <w:bCs/>
          <w:color w:val="000000"/>
          <w:sz w:val="28"/>
          <w:szCs w:val="28"/>
        </w:rPr>
        <w:t>。</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4、碱洗碱雾：碱喷淋钢板过程中产生碱雾，</w:t>
      </w:r>
      <w:r>
        <w:rPr>
          <w:rFonts w:hint="eastAsia" w:ascii="Times New Roman" w:hAnsi="Times New Roman" w:cs="Times New Roman"/>
          <w:bCs/>
          <w:color w:val="000000"/>
          <w:sz w:val="28"/>
          <w:szCs w:val="28"/>
        </w:rPr>
        <w:t>项目</w:t>
      </w:r>
      <w:r>
        <w:rPr>
          <w:rFonts w:ascii="Times New Roman" w:hAnsi="Times New Roman" w:cs="Times New Roman"/>
          <w:bCs/>
          <w:color w:val="000000"/>
          <w:sz w:val="28"/>
          <w:szCs w:val="28"/>
        </w:rPr>
        <w:t>设置了4套碱雾净化塔</w:t>
      </w:r>
      <w:r>
        <w:rPr>
          <w:rFonts w:hint="eastAsia" w:ascii="Times New Roman" w:hAnsi="Times New Roman" w:cs="Times New Roman"/>
          <w:bCs/>
          <w:color w:val="000000"/>
          <w:sz w:val="28"/>
          <w:szCs w:val="28"/>
        </w:rPr>
        <w:t>进行净化</w:t>
      </w:r>
      <w:r>
        <w:rPr>
          <w:rFonts w:ascii="Times New Roman" w:hAnsi="Times New Roman" w:cs="Times New Roman"/>
          <w:bCs/>
          <w:color w:val="000000"/>
          <w:sz w:val="28"/>
          <w:szCs w:val="28"/>
        </w:rPr>
        <w:t>，处理风量为22000m³/h，排气筒高度为30m</w:t>
      </w:r>
      <w:r>
        <w:rPr>
          <w:rFonts w:hint="eastAsia" w:ascii="Times New Roman" w:hAnsi="Times New Roman" w:cs="Times New Roman"/>
          <w:bCs/>
          <w:color w:val="000000"/>
          <w:sz w:val="28"/>
          <w:szCs w:val="28"/>
        </w:rPr>
        <w:t>。</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5、退火炉废气：退火炉加热过程产生燃烧废气，主要污染物烟尘、SO2、NOx；退火炉燃料为焦炉煤气，每座退火炉分别设置3个排气筒，燃烧后废气经排气筒直接外排，其处理风量、排气筒高度均为10000m³、35m</w:t>
      </w:r>
      <w:r>
        <w:rPr>
          <w:rFonts w:hint="eastAsia" w:ascii="Times New Roman" w:hAnsi="Times New Roman" w:cs="Times New Roman"/>
          <w:bCs/>
          <w:color w:val="000000"/>
          <w:sz w:val="28"/>
          <w:szCs w:val="28"/>
        </w:rPr>
        <w:t>。</w:t>
      </w:r>
    </w:p>
    <w:p>
      <w:pPr>
        <w:overflowPunct w:val="0"/>
        <w:adjustRightInd w:val="0"/>
        <w:snapToGrid w:val="0"/>
        <w:spacing w:line="500" w:lineRule="exact"/>
        <w:ind w:firstLine="560" w:firstLineChars="200"/>
        <w:rPr>
          <w:rFonts w:ascii="Times New Roman" w:hAnsi="Times New Roman" w:cs="Times New Roman"/>
          <w:bCs/>
          <w:sz w:val="28"/>
          <w:szCs w:val="28"/>
        </w:rPr>
      </w:pPr>
      <w:r>
        <w:rPr>
          <w:rFonts w:ascii="Times New Roman" w:hAnsi="Times New Roman" w:cs="Times New Roman"/>
          <w:bCs/>
          <w:color w:val="000000"/>
          <w:sz w:val="28"/>
          <w:szCs w:val="28"/>
        </w:rPr>
        <w:t>6、干燥炉废气：</w:t>
      </w:r>
      <w:bookmarkStart w:id="10" w:name="_Hlk38783822"/>
      <w:r>
        <w:rPr>
          <w:rFonts w:ascii="Times New Roman" w:hAnsi="Times New Roman" w:cs="Times New Roman"/>
          <w:bCs/>
          <w:color w:val="000000"/>
          <w:sz w:val="28"/>
          <w:szCs w:val="28"/>
        </w:rPr>
        <w:t>干燥炉加热过程产生燃烧废气，</w:t>
      </w:r>
      <w:bookmarkEnd w:id="10"/>
      <w:r>
        <w:rPr>
          <w:rFonts w:ascii="Times New Roman" w:hAnsi="Times New Roman" w:cs="Times New Roman"/>
          <w:bCs/>
          <w:color w:val="000000"/>
          <w:sz w:val="28"/>
          <w:szCs w:val="28"/>
        </w:rPr>
        <w:t>主要污染物烟尘、SO2、NOx，干燥炉燃料为焦炉煤气，燃烧后废气经4个排气筒直接外排，</w:t>
      </w:r>
      <w:r>
        <w:rPr>
          <w:rFonts w:ascii="Times New Roman" w:hAnsi="Times New Roman" w:cs="Times New Roman"/>
          <w:bCs/>
          <w:sz w:val="28"/>
          <w:szCs w:val="28"/>
        </w:rPr>
        <w:t>处理风量</w:t>
      </w:r>
      <w:r>
        <w:rPr>
          <w:rFonts w:hint="eastAsia" w:ascii="Times New Roman" w:hAnsi="Times New Roman" w:cs="Times New Roman"/>
          <w:bCs/>
          <w:sz w:val="28"/>
          <w:szCs w:val="28"/>
        </w:rPr>
        <w:t>均</w:t>
      </w:r>
      <w:r>
        <w:rPr>
          <w:rFonts w:ascii="Times New Roman" w:hAnsi="Times New Roman" w:cs="Times New Roman"/>
          <w:bCs/>
          <w:sz w:val="28"/>
          <w:szCs w:val="28"/>
        </w:rPr>
        <w:t>为8500m³/h，排气筒高度均为35m</w:t>
      </w:r>
      <w:r>
        <w:rPr>
          <w:rFonts w:hint="eastAsia" w:ascii="Times New Roman" w:hAnsi="Times New Roman" w:cs="Times New Roman"/>
          <w:bCs/>
          <w:sz w:val="28"/>
          <w:szCs w:val="28"/>
        </w:rPr>
        <w:t>。</w:t>
      </w:r>
    </w:p>
    <w:p>
      <w:pPr>
        <w:overflowPunct w:val="0"/>
        <w:adjustRightInd w:val="0"/>
        <w:snapToGrid w:val="0"/>
        <w:spacing w:line="500" w:lineRule="exact"/>
        <w:ind w:firstLine="560" w:firstLineChars="200"/>
        <w:rPr>
          <w:rFonts w:ascii="Times New Roman" w:hAnsi="Times New Roman" w:cs="Times New Roman"/>
          <w:bCs/>
          <w:sz w:val="28"/>
          <w:szCs w:val="28"/>
        </w:rPr>
      </w:pPr>
      <w:r>
        <w:rPr>
          <w:rFonts w:ascii="Times New Roman" w:hAnsi="Times New Roman" w:cs="Times New Roman"/>
          <w:bCs/>
          <w:color w:val="000000"/>
          <w:sz w:val="28"/>
          <w:szCs w:val="28"/>
        </w:rPr>
        <w:t>7、涂层废气：钢板在涂绝缘层过程中产生铬酸雾（涂层材料中含铬，其主要成分为：氧化锌、氧化镁、7%~10%铬酸等），</w:t>
      </w:r>
      <w:r>
        <w:rPr>
          <w:rFonts w:hint="eastAsia" w:ascii="Times New Roman" w:hAnsi="Times New Roman" w:cs="Times New Roman"/>
          <w:bCs/>
          <w:color w:val="000000"/>
          <w:sz w:val="28"/>
          <w:szCs w:val="28"/>
        </w:rPr>
        <w:t>项目</w:t>
      </w:r>
      <w:r>
        <w:rPr>
          <w:rFonts w:hint="eastAsia" w:ascii="Times New Roman" w:hAnsi="Times New Roman" w:cs="Times New Roman"/>
          <w:bCs/>
          <w:sz w:val="28"/>
          <w:szCs w:val="28"/>
        </w:rPr>
        <w:t>配置了</w:t>
      </w:r>
      <w:r>
        <w:rPr>
          <w:rFonts w:ascii="Times New Roman" w:hAnsi="Times New Roman" w:cs="Times New Roman"/>
          <w:bCs/>
          <w:sz w:val="28"/>
          <w:szCs w:val="28"/>
        </w:rPr>
        <w:t>4套铬酸雾净化塔，处理风量</w:t>
      </w:r>
      <w:r>
        <w:rPr>
          <w:rFonts w:hint="eastAsia" w:ascii="Times New Roman" w:hAnsi="Times New Roman" w:cs="Times New Roman"/>
          <w:bCs/>
          <w:sz w:val="28"/>
          <w:szCs w:val="28"/>
        </w:rPr>
        <w:t>分别</w:t>
      </w:r>
      <w:r>
        <w:rPr>
          <w:rFonts w:ascii="Times New Roman" w:hAnsi="Times New Roman" w:cs="Times New Roman"/>
          <w:bCs/>
          <w:sz w:val="28"/>
          <w:szCs w:val="28"/>
        </w:rPr>
        <w:t>为8000m³/h，排气筒高度为30m</w:t>
      </w:r>
      <w:r>
        <w:rPr>
          <w:rFonts w:hint="eastAsia" w:ascii="Times New Roman" w:hAnsi="Times New Roman" w:cs="Times New Roman"/>
          <w:bCs/>
          <w:sz w:val="28"/>
          <w:szCs w:val="28"/>
        </w:rPr>
        <w:t>。</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8、酸再生废气：</w:t>
      </w:r>
      <w:r>
        <w:rPr>
          <w:rFonts w:hint="eastAsia" w:ascii="Times New Roman" w:hAnsi="Times New Roman" w:cs="Times New Roman"/>
          <w:bCs/>
          <w:color w:val="000000"/>
          <w:sz w:val="28"/>
          <w:szCs w:val="28"/>
        </w:rPr>
        <w:t>废</w:t>
      </w:r>
      <w:r>
        <w:rPr>
          <w:rFonts w:ascii="Times New Roman" w:hAnsi="Times New Roman" w:cs="Times New Roman"/>
          <w:bCs/>
          <w:color w:val="000000"/>
          <w:sz w:val="28"/>
          <w:szCs w:val="28"/>
        </w:rPr>
        <w:t>盐酸再生过程中产生的废气，主要污染物为HCl、Cl2、氧化铁粉尘、烟尘、SO2、NOx，废气经吸收塔+除氯塔+洗涤塔处理后，形成HCl溶液，回用于酸洗槽，微量的HCl、Cl2气体与天然气燃烧后的废气共同经烟囱排放，排气量为30000m³/h，排气筒高度为35m。</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1" w:name="_Toc5029893"/>
      <w:r>
        <w:rPr>
          <w:rFonts w:ascii="Times New Roman" w:hAnsi="Times New Roman" w:cs="Times New Roman"/>
          <w:color w:val="000000"/>
          <w:sz w:val="28"/>
          <w:szCs w:val="28"/>
        </w:rPr>
        <w:t>（三）固体废物</w:t>
      </w:r>
      <w:bookmarkEnd w:id="11"/>
    </w:p>
    <w:p>
      <w:pPr>
        <w:pStyle w:val="6"/>
        <w:adjustRightInd w:val="0"/>
        <w:snapToGrid w:val="0"/>
        <w:spacing w:line="500" w:lineRule="exact"/>
        <w:ind w:firstLine="560" w:firstLineChars="200"/>
        <w:rPr>
          <w:bCs/>
          <w:color w:val="000000"/>
          <w:sz w:val="28"/>
          <w:szCs w:val="28"/>
        </w:rPr>
      </w:pPr>
      <w:r>
        <w:rPr>
          <w:bCs/>
          <w:color w:val="000000"/>
          <w:sz w:val="28"/>
          <w:szCs w:val="28"/>
        </w:rPr>
        <w:t>项目产生的固体废物主要包括</w:t>
      </w:r>
      <w:bookmarkStart w:id="12" w:name="_Hlk5135346"/>
      <w:r>
        <w:rPr>
          <w:bCs/>
          <w:color w:val="000000"/>
          <w:sz w:val="28"/>
          <w:szCs w:val="28"/>
        </w:rPr>
        <w:t>切头、切边、切尾；铁鳞；中和站污泥、氧化铁粉；酸再生泥饼等一般固废以及酸洗废酸、废乳化液、碱油废水、含铬污泥等危险废物。</w:t>
      </w:r>
    </w:p>
    <w:p>
      <w:pPr>
        <w:pStyle w:val="6"/>
        <w:adjustRightInd w:val="0"/>
        <w:snapToGrid w:val="0"/>
        <w:spacing w:line="500" w:lineRule="exact"/>
        <w:ind w:firstLine="560" w:firstLineChars="200"/>
        <w:rPr>
          <w:bCs/>
          <w:color w:val="000000"/>
          <w:sz w:val="28"/>
          <w:szCs w:val="28"/>
        </w:rPr>
      </w:pPr>
      <w:r>
        <w:rPr>
          <w:bCs/>
          <w:color w:val="000000"/>
          <w:sz w:val="28"/>
          <w:szCs w:val="28"/>
        </w:rPr>
        <w:t>1、一般固体废物污染防治措施</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bookmarkStart w:id="13" w:name="_Hlk38784387"/>
      <w:r>
        <w:rPr>
          <w:rFonts w:ascii="Times New Roman" w:hAnsi="Times New Roman" w:cs="Times New Roman"/>
          <w:bCs/>
          <w:color w:val="000000"/>
          <w:sz w:val="28"/>
          <w:szCs w:val="28"/>
        </w:rPr>
        <w:t>（1）切头、切边、切尾</w:t>
      </w:r>
      <w:bookmarkEnd w:id="13"/>
      <w:r>
        <w:rPr>
          <w:rFonts w:ascii="Times New Roman" w:hAnsi="Times New Roman" w:cs="Times New Roman"/>
          <w:bCs/>
          <w:color w:val="000000"/>
          <w:sz w:val="28"/>
          <w:szCs w:val="28"/>
        </w:rPr>
        <w:t>。钢板在横切、纵切过程中切割下的钢板边角料，返回</w:t>
      </w:r>
      <w:r>
        <w:rPr>
          <w:rFonts w:hint="eastAsia" w:ascii="Times New Roman" w:hAnsi="Times New Roman" w:cs="Times New Roman"/>
          <w:bCs/>
          <w:color w:val="000000"/>
          <w:sz w:val="28"/>
          <w:szCs w:val="28"/>
        </w:rPr>
        <w:t>本公司</w:t>
      </w:r>
      <w:r>
        <w:rPr>
          <w:rFonts w:ascii="Times New Roman" w:hAnsi="Times New Roman" w:cs="Times New Roman"/>
          <w:bCs/>
          <w:color w:val="000000"/>
          <w:sz w:val="28"/>
          <w:szCs w:val="28"/>
        </w:rPr>
        <w:t>炼钢厂作为废钢原料进行综合利用。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（2）铁磷。拉矫机产生铁磷，全部送</w:t>
      </w:r>
      <w:r>
        <w:rPr>
          <w:rFonts w:hint="eastAsia" w:ascii="Times New Roman" w:hAnsi="Times New Roman" w:cs="Times New Roman"/>
          <w:bCs/>
          <w:color w:val="000000"/>
          <w:sz w:val="28"/>
          <w:szCs w:val="28"/>
        </w:rPr>
        <w:t>本公</w:t>
      </w:r>
      <w:r>
        <w:rPr>
          <w:rFonts w:hint="eastAsia" w:ascii="Times New Roman" w:hAnsi="Times New Roman" w:cs="Times New Roman"/>
          <w:bCs/>
          <w:sz w:val="28"/>
          <w:szCs w:val="28"/>
        </w:rPr>
        <w:t>司</w:t>
      </w:r>
      <w:r>
        <w:rPr>
          <w:rFonts w:ascii="Times New Roman" w:hAnsi="Times New Roman" w:cs="Times New Roman"/>
          <w:bCs/>
          <w:sz w:val="28"/>
          <w:szCs w:val="28"/>
        </w:rPr>
        <w:t>烧结</w:t>
      </w:r>
      <w:r>
        <w:rPr>
          <w:rFonts w:hint="eastAsia" w:ascii="Times New Roman" w:hAnsi="Times New Roman" w:cs="Times New Roman"/>
          <w:bCs/>
          <w:sz w:val="28"/>
          <w:szCs w:val="28"/>
        </w:rPr>
        <w:t>工序</w:t>
      </w:r>
      <w:r>
        <w:rPr>
          <w:rFonts w:ascii="Times New Roman" w:hAnsi="Times New Roman" w:cs="Times New Roman"/>
          <w:bCs/>
          <w:sz w:val="28"/>
          <w:szCs w:val="28"/>
        </w:rPr>
        <w:t>回收</w:t>
      </w:r>
      <w:r>
        <w:rPr>
          <w:rFonts w:ascii="Times New Roman" w:hAnsi="Times New Roman" w:cs="Times New Roman"/>
          <w:bCs/>
          <w:color w:val="000000"/>
          <w:sz w:val="28"/>
          <w:szCs w:val="28"/>
        </w:rPr>
        <w:t>利用。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（3）中和三站污泥。中和三站污泥经高密度污泥处理工艺处理后的污泥送入</w:t>
      </w:r>
      <w:r>
        <w:rPr>
          <w:rFonts w:hint="eastAsia" w:ascii="Times New Roman" w:hAnsi="Times New Roman" w:cs="Times New Roman"/>
          <w:bCs/>
          <w:color w:val="000000"/>
          <w:sz w:val="28"/>
          <w:szCs w:val="28"/>
        </w:rPr>
        <w:t>本公司</w:t>
      </w:r>
      <w:r>
        <w:rPr>
          <w:rFonts w:ascii="Times New Roman" w:hAnsi="Times New Roman" w:cs="Times New Roman"/>
          <w:bCs/>
          <w:color w:val="000000"/>
          <w:sz w:val="28"/>
          <w:szCs w:val="28"/>
        </w:rPr>
        <w:t>烧结</w:t>
      </w:r>
      <w:r>
        <w:rPr>
          <w:rFonts w:hint="eastAsia" w:ascii="Times New Roman" w:hAnsi="Times New Roman" w:cs="Times New Roman"/>
          <w:bCs/>
          <w:color w:val="000000"/>
          <w:sz w:val="28"/>
          <w:szCs w:val="28"/>
        </w:rPr>
        <w:t>工序</w:t>
      </w:r>
      <w:r>
        <w:rPr>
          <w:rFonts w:ascii="Times New Roman" w:hAnsi="Times New Roman" w:cs="Times New Roman"/>
          <w:bCs/>
          <w:color w:val="000000"/>
          <w:sz w:val="28"/>
          <w:szCs w:val="28"/>
        </w:rPr>
        <w:t>参与配料。</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（4）氧化铁粉。酸再生过程产生的氧化铁粉全部外售。</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（5）泥饼。硅钢酸洗过程产生的废酸中含有少量的Fe等金属，经酸再生系统处理后，产生泥饼经中性化处理后，送</w:t>
      </w:r>
      <w:r>
        <w:rPr>
          <w:rFonts w:hint="eastAsia" w:ascii="Times New Roman" w:hAnsi="Times New Roman" w:cs="Times New Roman"/>
          <w:bCs/>
          <w:color w:val="000000"/>
          <w:sz w:val="28"/>
          <w:szCs w:val="28"/>
        </w:rPr>
        <w:t>本公司</w:t>
      </w:r>
      <w:r>
        <w:rPr>
          <w:rFonts w:ascii="Times New Roman" w:hAnsi="Times New Roman" w:cs="Times New Roman"/>
          <w:bCs/>
          <w:color w:val="000000"/>
          <w:sz w:val="28"/>
          <w:szCs w:val="28"/>
        </w:rPr>
        <w:t>烧结</w:t>
      </w:r>
      <w:r>
        <w:rPr>
          <w:rFonts w:hint="eastAsia" w:ascii="Times New Roman" w:hAnsi="Times New Roman" w:cs="Times New Roman"/>
          <w:bCs/>
          <w:color w:val="000000"/>
          <w:sz w:val="28"/>
          <w:szCs w:val="28"/>
        </w:rPr>
        <w:t>工序</w:t>
      </w:r>
      <w:r>
        <w:rPr>
          <w:rFonts w:ascii="Times New Roman" w:hAnsi="Times New Roman" w:cs="Times New Roman"/>
          <w:bCs/>
          <w:color w:val="000000"/>
          <w:sz w:val="28"/>
          <w:szCs w:val="28"/>
        </w:rPr>
        <w:t>参与配料。</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FF0000"/>
          <w:sz w:val="28"/>
          <w:szCs w:val="28"/>
        </w:rPr>
      </w:pPr>
      <w:r>
        <w:rPr>
          <w:rFonts w:ascii="Times New Roman" w:hAnsi="Times New Roman" w:cs="Times New Roman"/>
          <w:bCs/>
          <w:color w:val="000000"/>
          <w:sz w:val="28"/>
          <w:szCs w:val="28"/>
        </w:rPr>
        <w:t>2、危险固体废物污染防治措施</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（1）酸洗废酸。酸洗废酸产生量为7.5m³/h，送项目配套建设</w:t>
      </w:r>
      <w:r>
        <w:rPr>
          <w:rFonts w:hint="eastAsia" w:ascii="Times New Roman" w:hAnsi="Times New Roman" w:cs="Times New Roman"/>
          <w:bCs/>
          <w:color w:val="000000"/>
          <w:sz w:val="28"/>
          <w:szCs w:val="28"/>
        </w:rPr>
        <w:t>的</w:t>
      </w:r>
      <w:r>
        <w:rPr>
          <w:rFonts w:ascii="Times New Roman" w:hAnsi="Times New Roman" w:cs="Times New Roman"/>
          <w:bCs/>
          <w:color w:val="000000"/>
          <w:sz w:val="28"/>
          <w:szCs w:val="28"/>
        </w:rPr>
        <w:t>酸再生装置再生</w:t>
      </w:r>
      <w:r>
        <w:rPr>
          <w:rFonts w:hint="eastAsia" w:ascii="Times New Roman" w:hAnsi="Times New Roman" w:cs="Times New Roman"/>
          <w:bCs/>
          <w:color w:val="000000"/>
          <w:sz w:val="28"/>
          <w:szCs w:val="28"/>
        </w:rPr>
        <w:t>回收</w:t>
      </w:r>
      <w:r>
        <w:rPr>
          <w:rFonts w:ascii="Times New Roman" w:hAnsi="Times New Roman" w:cs="Times New Roman"/>
          <w:bCs/>
          <w:color w:val="000000"/>
          <w:sz w:val="28"/>
          <w:szCs w:val="28"/>
        </w:rPr>
        <w:t>利用。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（2）废乳化液、碱油废水。项目废乳化液产生量为2m³/h、碱油废水产生量84 m³/h，经管道送</w:t>
      </w:r>
      <w:r>
        <w:rPr>
          <w:rFonts w:hint="eastAsia" w:ascii="Times New Roman" w:hAnsi="Times New Roman" w:cs="Times New Roman"/>
          <w:bCs/>
          <w:color w:val="000000"/>
          <w:sz w:val="28"/>
          <w:szCs w:val="28"/>
        </w:rPr>
        <w:t>依托工程</w:t>
      </w:r>
      <w:r>
        <w:rPr>
          <w:rFonts w:ascii="Times New Roman" w:hAnsi="Times New Roman" w:cs="Times New Roman"/>
          <w:bCs/>
          <w:color w:val="000000"/>
          <w:sz w:val="28"/>
          <w:szCs w:val="28"/>
        </w:rPr>
        <w:t>太钢综合处理站统一处理后回用。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（3</w:t>
      </w:r>
      <w:r>
        <w:rPr>
          <w:rFonts w:ascii="Times New Roman" w:hAnsi="Times New Roman" w:cs="Times New Roman"/>
          <w:bCs/>
          <w:sz w:val="28"/>
          <w:szCs w:val="28"/>
        </w:rPr>
        <w:t>）中和三站含铬污泥。含铬废水处理产生的污泥</w:t>
      </w:r>
      <w:r>
        <w:rPr>
          <w:rFonts w:hint="eastAsia" w:ascii="Times New Roman" w:hAnsi="Times New Roman" w:cs="Times New Roman"/>
          <w:bCs/>
          <w:sz w:val="28"/>
          <w:szCs w:val="28"/>
        </w:rPr>
        <w:t xml:space="preserve">量 </w:t>
      </w:r>
      <w:r>
        <w:rPr>
          <w:rFonts w:ascii="Times New Roman" w:hAnsi="Times New Roman" w:cs="Times New Roman"/>
          <w:bCs/>
          <w:sz w:val="28"/>
          <w:szCs w:val="28"/>
        </w:rPr>
        <w:t>2t/a，</w:t>
      </w:r>
      <w:r>
        <w:rPr>
          <w:rFonts w:ascii="Times New Roman" w:hAnsi="Times New Roman" w:cs="Times New Roman"/>
          <w:bCs/>
          <w:color w:val="000000"/>
          <w:sz w:val="28"/>
          <w:szCs w:val="28"/>
        </w:rPr>
        <w:t>送</w:t>
      </w:r>
      <w:r>
        <w:rPr>
          <w:rFonts w:hint="eastAsia" w:ascii="Times New Roman" w:hAnsi="Times New Roman" w:cs="Times New Roman"/>
          <w:bCs/>
          <w:color w:val="000000"/>
          <w:sz w:val="28"/>
          <w:szCs w:val="28"/>
        </w:rPr>
        <w:t>本公司</w:t>
      </w:r>
      <w:r>
        <w:rPr>
          <w:rFonts w:ascii="Times New Roman" w:hAnsi="Times New Roman" w:cs="Times New Roman"/>
          <w:bCs/>
          <w:color w:val="000000"/>
          <w:sz w:val="28"/>
          <w:szCs w:val="28"/>
        </w:rPr>
        <w:t>烧结</w:t>
      </w:r>
      <w:r>
        <w:rPr>
          <w:rFonts w:hint="eastAsia" w:ascii="Times New Roman" w:hAnsi="Times New Roman" w:cs="Times New Roman"/>
          <w:bCs/>
          <w:color w:val="000000"/>
          <w:sz w:val="28"/>
          <w:szCs w:val="28"/>
        </w:rPr>
        <w:t>工序</w:t>
      </w:r>
      <w:r>
        <w:rPr>
          <w:rFonts w:ascii="Times New Roman" w:hAnsi="Times New Roman" w:cs="Times New Roman"/>
          <w:bCs/>
          <w:color w:val="000000"/>
          <w:sz w:val="28"/>
          <w:szCs w:val="28"/>
        </w:rPr>
        <w:t>参与配料。</w:t>
      </w:r>
    </w:p>
    <w:bookmarkEnd w:id="12"/>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bookmarkStart w:id="14" w:name="_Toc5029894"/>
      <w:r>
        <w:rPr>
          <w:rFonts w:ascii="Times New Roman" w:hAnsi="Times New Roman" w:cs="Times New Roman"/>
          <w:bCs/>
          <w:color w:val="000000"/>
          <w:kern w:val="2"/>
          <w:sz w:val="28"/>
          <w:szCs w:val="28"/>
        </w:rPr>
        <w:t>（四）噪声</w:t>
      </w:r>
      <w:bookmarkEnd w:id="14"/>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本项目噪声源主要有</w:t>
      </w:r>
      <w:r>
        <w:rPr>
          <w:rFonts w:hint="eastAsia" w:ascii="Times New Roman" w:hAnsi="Times New Roman" w:cs="Times New Roman"/>
          <w:bCs/>
          <w:color w:val="000000"/>
          <w:sz w:val="28"/>
          <w:szCs w:val="28"/>
        </w:rPr>
        <w:t>碎边剪</w:t>
      </w:r>
      <w:r>
        <w:rPr>
          <w:rFonts w:ascii="Times New Roman" w:hAnsi="Times New Roman" w:cs="Times New Roman"/>
          <w:bCs/>
          <w:color w:val="000000"/>
          <w:sz w:val="28"/>
          <w:szCs w:val="28"/>
        </w:rPr>
        <w:t>、</w:t>
      </w:r>
      <w:r>
        <w:rPr>
          <w:rFonts w:hint="eastAsia" w:ascii="Times New Roman" w:hAnsi="Times New Roman" w:cs="Times New Roman"/>
          <w:bCs/>
          <w:color w:val="000000"/>
          <w:sz w:val="28"/>
          <w:szCs w:val="28"/>
        </w:rPr>
        <w:t>拉矫机、离心机、干燥机、</w:t>
      </w:r>
      <w:r>
        <w:rPr>
          <w:rFonts w:ascii="Times New Roman" w:hAnsi="Times New Roman" w:cs="Times New Roman"/>
          <w:bCs/>
          <w:color w:val="000000"/>
          <w:sz w:val="28"/>
          <w:szCs w:val="28"/>
        </w:rPr>
        <w:t>风机及泵类等设备</w:t>
      </w:r>
      <w:r>
        <w:rPr>
          <w:rFonts w:hint="eastAsia" w:ascii="Times New Roman" w:hAnsi="Times New Roman" w:cs="Times New Roman"/>
          <w:bCs/>
          <w:color w:val="000000"/>
          <w:sz w:val="28"/>
          <w:szCs w:val="28"/>
        </w:rPr>
        <w:t>运转</w:t>
      </w:r>
      <w:r>
        <w:rPr>
          <w:rFonts w:ascii="Times New Roman" w:hAnsi="Times New Roman" w:cs="Times New Roman"/>
          <w:bCs/>
          <w:color w:val="000000"/>
          <w:sz w:val="28"/>
          <w:szCs w:val="28"/>
        </w:rPr>
        <w:t>产生的空气动力性噪声、电磁噪声及机械噪声等。</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防振降噪的环保措施为：选取低噪声设备，从噪声源头控制噪声产生的强度；对生产过程中的空气动力性噪声源采取消声、隔声措施，对机械动力性噪声采取隔声、基础减振等措施，利用厂房建筑有效地降低设备噪声。</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hint="eastAsia" w:ascii="Times New Roman" w:hAnsi="Times New Roman" w:cs="Times New Roman"/>
          <w:color w:val="000000"/>
          <w:sz w:val="28"/>
          <w:szCs w:val="28"/>
        </w:rPr>
        <w:t>五</w:t>
      </w:r>
      <w:r>
        <w:rPr>
          <w:rFonts w:ascii="Times New Roman" w:hAnsi="Times New Roman" w:cs="Times New Roman"/>
          <w:color w:val="000000"/>
          <w:sz w:val="28"/>
          <w:szCs w:val="28"/>
        </w:rPr>
        <w:t>）其他环境保护设施</w:t>
      </w:r>
    </w:p>
    <w:p>
      <w:pPr>
        <w:overflowPunct w:val="0"/>
        <w:adjustRightInd w:val="0"/>
        <w:snapToGrid w:val="0"/>
        <w:spacing w:line="500" w:lineRule="exact"/>
        <w:ind w:firstLine="560" w:firstLineChars="200"/>
        <w:outlineLvl w:val="2"/>
        <w:rPr>
          <w:rFonts w:ascii="Times New Roman" w:hAnsi="Times New Roman" w:cs="Times New Roman"/>
          <w:bCs/>
          <w:color w:val="000000"/>
          <w:sz w:val="28"/>
          <w:szCs w:val="28"/>
        </w:rPr>
      </w:pPr>
      <w:r>
        <w:rPr>
          <w:rFonts w:ascii="Times New Roman" w:hAnsi="Times New Roman" w:cs="Times New Roman"/>
          <w:bCs/>
          <w:color w:val="000000"/>
          <w:sz w:val="28"/>
          <w:szCs w:val="28"/>
        </w:rPr>
        <w:t>1、废水事故排放风险防范设施</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太钢现已形成车间、事故缓冲系统、公司污水处理场三级废水防控体系，根据不同事故状态，将事故废水截留到相应防线内处置，在总排口设有在线监测装置并与市环保系统联网，防止外排废水对汾河的影响。</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项目车间污水系统设置事故应急池，进入应急池的冲洗废液最终排入废水处理站处理，处理合格后外排。</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中和三站设立了含铬废水从处理装置排口到含铬废水来水调节池的通道，确保含铬废水系统发生故障运行不正常时，含铬超标废水不外排。</w:t>
      </w:r>
      <w:bookmarkStart w:id="15" w:name="_Toc6472488"/>
      <w:bookmarkStart w:id="16" w:name="_Toc30146503"/>
      <w:bookmarkStart w:id="17" w:name="_Toc38435343"/>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2、储罐泄露事故风险防范措施</w:t>
      </w:r>
      <w:bookmarkEnd w:id="15"/>
      <w:bookmarkEnd w:id="16"/>
      <w:bookmarkEnd w:id="17"/>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本项目涉及的有毒有害危险化学品主要为：盐酸、氨水、氢氧化钠。</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盐酸储罐（420m³×6），盐酸储罐单罐尺寸Φ8×8.4m，单罐储量392.78t，储罐区均进行了地面防渗、并且四周设有围堰，围堰尺寸25×15m，同时设有事故罐，在发生原料泄露时，可以及时控制泄漏。</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氨水罐（20m³×1），单罐尺寸Φ2.5×4m，单罐储量14.7t氨水罐区进行了地面防渗，罐体周围设置事故围堰及引导沟，围堰尺寸7×7m。氨水储罐发生泄漏或全部破裂时，外泄的液体全部自流引入围堰，泄漏时，设置固定式气体检测报警器，以随时监测泄漏情况。</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氢氧化钠外购固态粉末，以固态贮存，生产中溶解后使用。</w:t>
      </w:r>
      <w:bookmarkStart w:id="18" w:name="_Toc6472489"/>
      <w:bookmarkStart w:id="19" w:name="_Toc30146504"/>
      <w:bookmarkStart w:id="20" w:name="_Toc38435344"/>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3、事故报警系统</w:t>
      </w:r>
      <w:bookmarkEnd w:id="18"/>
      <w:bookmarkEnd w:id="19"/>
      <w:bookmarkEnd w:id="20"/>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设立了储罐液位自动监测报警系统。当发生泄漏时，报警器迅速反应并报警。罐区设立报警装置，发生泄漏时，立即成立专门抢险组，抢险组人员经过专门的培训。</w:t>
      </w:r>
      <w:bookmarkStart w:id="21" w:name="_Toc6472490"/>
      <w:bookmarkStart w:id="22" w:name="_Toc30146505"/>
      <w:bookmarkStart w:id="23" w:name="_Toc38435345"/>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4、防渗措施</w:t>
      </w:r>
      <w:bookmarkEnd w:id="21"/>
      <w:bookmarkEnd w:id="22"/>
      <w:bookmarkEnd w:id="23"/>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由于本项目所在位置的特殊性，建设单位在以下特殊部位进行了防渗处理：污染装置区、各类酸碱罐区及厂内各类污水处理管线、物料输送泵房、事故水池、排水渠道、厂区内所有地下工程。</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（1）污染装置区防渗措施</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装置区主要包括酸洗生产线、碱洗线、酸再生处理区、酸雾处理设施区、碱雾处理设施区、油雾处理设施区等，采取的防渗措施为：</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①</w:t>
      </w:r>
      <w:r>
        <w:rPr>
          <w:rFonts w:ascii="Times New Roman" w:hAnsi="Times New Roman" w:cs="Times New Roman"/>
          <w:bCs/>
          <w:color w:val="000000"/>
          <w:sz w:val="28"/>
          <w:szCs w:val="28"/>
        </w:rPr>
        <w:t>一般污染防治区，刚性防渗结构层渗透系数≤1.0×10-8㎝/s，防渗措施为在厚0.5m的压实粘土基层上铺设土工布防渗膜，防渗膜上铺1.0m以上的压实粘土层和0.3m厚的钢筋混凝土地面</w:t>
      </w:r>
      <w:r>
        <w:rPr>
          <w:rFonts w:hint="eastAsia" w:ascii="Times New Roman" w:hAnsi="Times New Roman" w:cs="Times New Roman"/>
          <w:bCs/>
          <w:color w:val="000000"/>
          <w:sz w:val="28"/>
          <w:szCs w:val="28"/>
        </w:rPr>
        <w:t>。</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②</w:t>
      </w:r>
      <w:r>
        <w:rPr>
          <w:rFonts w:ascii="Times New Roman" w:hAnsi="Times New Roman" w:cs="Times New Roman"/>
          <w:bCs/>
          <w:color w:val="000000"/>
          <w:sz w:val="28"/>
          <w:szCs w:val="28"/>
        </w:rPr>
        <w:t>酸、碱储存及处置区，刚性防渗结构层渗透系数≤1.0×10-10㎝/s，防泄漏收集池池底及池壁铺有土工布防渗膜，并在表面刷有防渗涂料，除做防渗处理外，进行防腐处理。</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（2）储罐区防渗措施</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储罐区包括再生酸储罐区、废酸储罐区、盐酸储罐区、乳化液储存区、地下油库、碱液储存罐区等，采取的防渗措施为;</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①</w:t>
      </w:r>
      <w:r>
        <w:rPr>
          <w:rFonts w:ascii="Times New Roman" w:hAnsi="Times New Roman" w:cs="Times New Roman"/>
          <w:bCs/>
          <w:color w:val="000000"/>
          <w:sz w:val="28"/>
          <w:szCs w:val="28"/>
        </w:rPr>
        <w:t>环墙基础罐底板下采用柔性防渗结构，柔性防渗结构与环墙基础严密连接；</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②</w:t>
      </w:r>
      <w:r>
        <w:rPr>
          <w:rFonts w:ascii="Times New Roman" w:hAnsi="Times New Roman" w:cs="Times New Roman"/>
          <w:bCs/>
          <w:color w:val="000000"/>
          <w:sz w:val="28"/>
          <w:szCs w:val="28"/>
        </w:rPr>
        <w:t>渗漏液设导排和收集设施，收集液集中处理；</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③</w:t>
      </w:r>
      <w:r>
        <w:rPr>
          <w:rFonts w:ascii="Times New Roman" w:hAnsi="Times New Roman" w:cs="Times New Roman"/>
          <w:bCs/>
          <w:color w:val="000000"/>
          <w:sz w:val="28"/>
          <w:szCs w:val="28"/>
        </w:rPr>
        <w:t>储罐基础至防火堤间区域采用复合或柔性防渗处理结构型式，柔性防渗材料应与防火堤、隔堤及其它设施基础严密连接；</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④</w:t>
      </w:r>
      <w:r>
        <w:rPr>
          <w:rFonts w:ascii="Times New Roman" w:hAnsi="Times New Roman" w:cs="Times New Roman"/>
          <w:bCs/>
          <w:color w:val="000000"/>
          <w:sz w:val="28"/>
          <w:szCs w:val="28"/>
        </w:rPr>
        <w:t>管道穿柔性防渗材料处严密封闭。</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宋体" w:hAnsi="宋体" w:cs="宋体"/>
          <w:bCs/>
          <w:color w:val="000000"/>
          <w:sz w:val="28"/>
          <w:szCs w:val="28"/>
        </w:rPr>
        <w:t>⑤</w:t>
      </w:r>
      <w:r>
        <w:rPr>
          <w:rFonts w:ascii="Times New Roman" w:hAnsi="Times New Roman" w:cs="Times New Roman"/>
          <w:bCs/>
          <w:color w:val="000000"/>
          <w:sz w:val="28"/>
          <w:szCs w:val="28"/>
        </w:rPr>
        <w:t>储罐区刚性防渗结构层渗透系数不大于1.0×10-10㎝/s，防泄漏收集池池底及池壁铺有土工布防渗膜，并在表面刷有防渗涂料，除做防渗处理外，进行防腐处理并按规范设置围堰进行收集。</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（3）地下污水管线及污水收集、储存、处理设施防渗设计</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地下污水管线及污水收集、储存、处理设施主要包括酸水管线、碱水管线、给水、循环水、地下污水管线、电缆管沟等，采取的防渗措施为；</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特殊污染防治区中的污水池采用刚性防渗结构，生产污水和污染雨水管道采用柔性防渗结构，渗透系数均不大于1.0×10-12cm/s；预先设置穿过污水池壁的管道和预埋。 </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（4）厂房防渗措施</w:t>
      </w:r>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为防止生产过程中原料、产品和固体废弃物堆放对地下水的影响，本项目厂房下地面采取铺设1.0m以上的压实粘土层和0.5m厚的钢筋混凝土地面的双重防渗措施，渗透系数≤1.0×10-5cm/s。</w:t>
      </w:r>
    </w:p>
    <w:p>
      <w:pPr>
        <w:overflowPunct w:val="0"/>
        <w:adjustRightInd w:val="0"/>
        <w:snapToGrid w:val="0"/>
        <w:spacing w:line="500" w:lineRule="exact"/>
        <w:ind w:firstLine="560" w:firstLineChars="200"/>
        <w:outlineLvl w:val="2"/>
        <w:rPr>
          <w:rFonts w:ascii="Times New Roman" w:hAnsi="Times New Roman" w:cs="Times New Roman"/>
          <w:bCs/>
          <w:color w:val="000000"/>
          <w:sz w:val="28"/>
          <w:szCs w:val="28"/>
        </w:rPr>
      </w:pPr>
      <w:bookmarkStart w:id="24" w:name="_Toc38435346"/>
      <w:bookmarkStart w:id="25" w:name="_Toc30146506"/>
      <w:bookmarkStart w:id="26" w:name="_Toc6472491"/>
      <w:r>
        <w:rPr>
          <w:rFonts w:ascii="Times New Roman" w:hAnsi="Times New Roman" w:cs="Times New Roman"/>
          <w:bCs/>
          <w:color w:val="000000"/>
          <w:sz w:val="28"/>
          <w:szCs w:val="28"/>
        </w:rPr>
        <w:t>5、初期雨水收集系统</w:t>
      </w:r>
      <w:bookmarkEnd w:id="24"/>
      <w:bookmarkEnd w:id="25"/>
      <w:bookmarkEnd w:id="26"/>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Times New Roman" w:hAnsi="Times New Roman" w:cs="Times New Roman"/>
          <w:bCs/>
          <w:sz w:val="28"/>
          <w:szCs w:val="28"/>
        </w:rPr>
        <w:t>厂区</w:t>
      </w:r>
      <w:r>
        <w:rPr>
          <w:rFonts w:ascii="Times New Roman" w:hAnsi="Times New Roman" w:cs="Times New Roman"/>
          <w:bCs/>
          <w:sz w:val="28"/>
          <w:szCs w:val="28"/>
        </w:rPr>
        <w:t>建</w:t>
      </w:r>
      <w:r>
        <w:rPr>
          <w:rFonts w:hint="eastAsia" w:ascii="Times New Roman" w:hAnsi="Times New Roman" w:cs="Times New Roman"/>
          <w:bCs/>
          <w:sz w:val="28"/>
          <w:szCs w:val="28"/>
        </w:rPr>
        <w:t>有</w:t>
      </w:r>
      <w:r>
        <w:rPr>
          <w:rFonts w:ascii="Times New Roman" w:hAnsi="Times New Roman" w:cs="Times New Roman"/>
          <w:bCs/>
          <w:sz w:val="28"/>
          <w:szCs w:val="28"/>
        </w:rPr>
        <w:t>初期雨水收集系统，</w:t>
      </w:r>
      <w:r>
        <w:rPr>
          <w:rFonts w:ascii="Times New Roman" w:hAnsi="Times New Roman" w:cs="Times New Roman"/>
          <w:bCs/>
          <w:color w:val="000000"/>
          <w:sz w:val="28"/>
          <w:szCs w:val="28"/>
        </w:rPr>
        <w:t>太钢整个厂区雨水和消防水共用一趟排水管网，当下雨或发生火灾时，立即关闭全厂的雨水排口，确保全部污水都集中在厂区内部，再通过移动泵分批送污水处理站处理。</w:t>
      </w:r>
    </w:p>
    <w:p>
      <w:pPr>
        <w:overflowPunct w:val="0"/>
        <w:adjustRightInd w:val="0"/>
        <w:snapToGrid w:val="0"/>
        <w:spacing w:line="500" w:lineRule="exact"/>
        <w:ind w:firstLine="560" w:firstLineChars="200"/>
        <w:outlineLvl w:val="2"/>
        <w:rPr>
          <w:rFonts w:ascii="Times New Roman" w:hAnsi="Times New Roman" w:cs="Times New Roman"/>
          <w:bCs/>
          <w:color w:val="000000"/>
          <w:sz w:val="28"/>
          <w:szCs w:val="28"/>
        </w:rPr>
      </w:pPr>
      <w:bookmarkStart w:id="27" w:name="_Toc6472492"/>
      <w:bookmarkStart w:id="28" w:name="_Toc30146507"/>
      <w:bookmarkStart w:id="29" w:name="_Toc38435347"/>
      <w:r>
        <w:rPr>
          <w:rFonts w:ascii="Times New Roman" w:hAnsi="Times New Roman" w:cs="Times New Roman"/>
          <w:bCs/>
          <w:color w:val="000000"/>
          <w:sz w:val="28"/>
          <w:szCs w:val="28"/>
        </w:rPr>
        <w:t>6、突发环境事件应急预案</w:t>
      </w:r>
      <w:bookmarkEnd w:id="27"/>
      <w:bookmarkEnd w:id="28"/>
      <w:bookmarkEnd w:id="29"/>
    </w:p>
    <w:p>
      <w:pPr>
        <w:overflowPunct w:val="0"/>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山西太钢不锈钢股份有限公司编制了《山西太钢不锈钢股份有限公司突发环境事件应急预案》，并于2016年12月7日在</w:t>
      </w:r>
      <w:r>
        <w:rPr>
          <w:rFonts w:hint="eastAsia" w:ascii="Times New Roman" w:hAnsi="Times New Roman" w:cs="Times New Roman"/>
          <w:bCs/>
          <w:color w:val="000000"/>
          <w:sz w:val="28"/>
          <w:szCs w:val="28"/>
        </w:rPr>
        <w:t>原</w:t>
      </w:r>
      <w:r>
        <w:rPr>
          <w:rFonts w:ascii="Times New Roman" w:hAnsi="Times New Roman" w:cs="Times New Roman"/>
          <w:bCs/>
          <w:color w:val="000000"/>
          <w:sz w:val="28"/>
          <w:szCs w:val="28"/>
        </w:rPr>
        <w:t>太原市环境监察支队备案，备案编号：1401002016008H</w:t>
      </w:r>
      <w:r>
        <w:rPr>
          <w:rFonts w:hint="eastAsia" w:ascii="Times New Roman" w:hAnsi="Times New Roman" w:cs="Times New Roman"/>
          <w:bCs/>
          <w:color w:val="000000"/>
          <w:sz w:val="28"/>
          <w:szCs w:val="28"/>
        </w:rPr>
        <w:t>，目前正在修订中。</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（七）环保设施建设情况与环评报告及批复对照</w:t>
      </w:r>
    </w:p>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color w:val="000000"/>
          <w:sz w:val="28"/>
          <w:szCs w:val="28"/>
        </w:rPr>
        <w:t>环保设施建设情况与环评报告要求对照见表3。</w:t>
      </w: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表3  环保设施建设情况与环评报告对照表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1"/>
        <w:gridCol w:w="1147"/>
        <w:gridCol w:w="850"/>
        <w:gridCol w:w="3120"/>
        <w:gridCol w:w="3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295" w:type="pc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类别</w:t>
            </w:r>
          </w:p>
        </w:tc>
        <w:tc>
          <w:tcPr>
            <w:tcW w:w="649" w:type="pc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污染源</w:t>
            </w:r>
          </w:p>
        </w:tc>
        <w:tc>
          <w:tcPr>
            <w:tcW w:w="481" w:type="pc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污染物</w:t>
            </w:r>
          </w:p>
        </w:tc>
        <w:tc>
          <w:tcPr>
            <w:tcW w:w="1766" w:type="pc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环评要求</w:t>
            </w:r>
          </w:p>
        </w:tc>
        <w:tc>
          <w:tcPr>
            <w:tcW w:w="1809" w:type="pc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实际建设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restar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废水</w:t>
            </w: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含酸废水</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HCl等</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送中和三站含酸废水处理系统</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送中和三站含酸废水处理系统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含碱废水</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NaOH等</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送中和三站含碱废水处理系统</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送中和三站含碱废水处理系统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含铬废水</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六价铬</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送中和三站含铬废水处理系统</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送原中和三站含铬废水处理系统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循环水系统排水</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SS、盐类</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净循环废水排入浊循环系统回用；浊循环废水进入太钢冶炼废水处理系统</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净循环废水排入浊循环系统回用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restar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废气</w:t>
            </w: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轧机</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油烟</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油雾净化器，除烟效率90%</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设置1套油雾净化器对油雾进行收集，其工艺为滤芯过滤，其处理风量分别为320000m³/h，排气筒高度为35m，直径为2.5m；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拉矫</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颗粒物</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布袋除尘器，除尘效率99%</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拉矫工序设1套布袋除尘器，除尘效率为99%，净化后的废气由风机经35m高烟囱排放，处理风量均为120000m³/h；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盐酸酸洗</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HCl</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酸雾净化塔，处理效率85%</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酸洗机组共设有4个盐酸储槽，酸槽加盖密封，加设抽风系统，槽内呈负压，抽出的酸雾送往1套净化塔处理。酸雾净化塔净化系统气量为30000m³/h，塔直径为4m、高6m，处理效率为85%，处理后的废气经30m的烟囱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退火炉</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颗粒物、SO</w:t>
            </w:r>
            <w:r>
              <w:rPr>
                <w:rFonts w:ascii="Times New Roman" w:hAnsi="Times New Roman" w:cs="Times New Roman"/>
                <w:szCs w:val="21"/>
                <w:vertAlign w:val="subscript"/>
              </w:rPr>
              <w:t>2</w:t>
            </w:r>
            <w:r>
              <w:rPr>
                <w:rFonts w:ascii="Times New Roman" w:hAnsi="Times New Roman" w:cs="Times New Roman"/>
                <w:szCs w:val="21"/>
              </w:rPr>
              <w:t>、NOx</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高空排放</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退火炉加热过程产生燃烧废气，主要污染物烟尘、SO</w:t>
            </w:r>
            <w:r>
              <w:rPr>
                <w:rFonts w:ascii="Times New Roman" w:hAnsi="Times New Roman" w:cs="Times New Roman"/>
                <w:szCs w:val="21"/>
                <w:vertAlign w:val="subscript"/>
              </w:rPr>
              <w:t>2</w:t>
            </w:r>
            <w:r>
              <w:rPr>
                <w:rFonts w:ascii="Times New Roman" w:hAnsi="Times New Roman" w:cs="Times New Roman"/>
                <w:szCs w:val="21"/>
              </w:rPr>
              <w:t>、NOx；4座退火炉加热燃料均为焦炉煤气，每座退火炉分别设置3个排气筒，燃烧后废气经排气筒直接外排，其处理风量、排气筒高度、直径均为10000m³、35m、0.7m；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碱喷淋</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NaOH</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碱雾净化塔，处理效率80%</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碱雾治理共设置了4套碱雾净化塔，其处理风量为22000m³/h，排气筒高度为30m，直径为0.8m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干燥烧结</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颗粒物、SO</w:t>
            </w:r>
            <w:r>
              <w:rPr>
                <w:rFonts w:ascii="Times New Roman" w:hAnsi="Times New Roman" w:cs="Times New Roman"/>
                <w:szCs w:val="21"/>
                <w:vertAlign w:val="subscript"/>
              </w:rPr>
              <w:t>2</w:t>
            </w:r>
            <w:r>
              <w:rPr>
                <w:rFonts w:ascii="Times New Roman" w:hAnsi="Times New Roman" w:cs="Times New Roman"/>
                <w:szCs w:val="21"/>
              </w:rPr>
              <w:t>、NOx</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高空排放</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干燥炉加热过程产生燃烧废气，主要污染物烟尘、SO</w:t>
            </w:r>
            <w:r>
              <w:rPr>
                <w:rFonts w:ascii="Times New Roman" w:hAnsi="Times New Roman" w:cs="Times New Roman"/>
                <w:szCs w:val="21"/>
                <w:vertAlign w:val="subscript"/>
              </w:rPr>
              <w:t>2</w:t>
            </w:r>
            <w:r>
              <w:rPr>
                <w:rFonts w:ascii="Times New Roman" w:hAnsi="Times New Roman" w:cs="Times New Roman"/>
                <w:szCs w:val="21"/>
              </w:rPr>
              <w:t>、NOx，干燥炉加热燃料为焦炉煤气，燃烧后废气经4个排气筒直接外排，其处理风量为8500m³/h，排气筒高度均为35m，直径为0.8m；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涂层</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铬酸雾</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酸雾净化塔，处理效率95%</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涂层装置产生的铬酸雾设置了4套净化塔，其处理风量为8000m³/h，排气筒高度为30m，直径为0.8m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焙烧炉</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颗粒物、SO</w:t>
            </w:r>
            <w:r>
              <w:rPr>
                <w:rFonts w:ascii="Times New Roman" w:hAnsi="Times New Roman" w:cs="Times New Roman"/>
                <w:szCs w:val="21"/>
                <w:vertAlign w:val="subscript"/>
              </w:rPr>
              <w:t>2</w:t>
            </w:r>
            <w:r>
              <w:rPr>
                <w:rFonts w:ascii="Times New Roman" w:hAnsi="Times New Roman" w:cs="Times New Roman"/>
                <w:szCs w:val="21"/>
              </w:rPr>
              <w:t>、NOx</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高空排放</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酸再生焙烧炉燃料为天然气，盐酸再生过程中产生的HCl、Cl</w:t>
            </w:r>
            <w:r>
              <w:rPr>
                <w:rFonts w:ascii="Times New Roman" w:hAnsi="Times New Roman" w:cs="Times New Roman"/>
                <w:szCs w:val="21"/>
                <w:vertAlign w:val="subscript"/>
              </w:rPr>
              <w:t>2</w:t>
            </w:r>
            <w:r>
              <w:rPr>
                <w:rFonts w:ascii="Times New Roman" w:hAnsi="Times New Roman" w:cs="Times New Roman"/>
                <w:szCs w:val="21"/>
              </w:rPr>
              <w:t>气体，经吸收塔+除氯塔+洗涤塔处理后，形成HCl溶液，回用于酸洗槽，微量的HCl、Cl</w:t>
            </w:r>
            <w:r>
              <w:rPr>
                <w:rFonts w:ascii="Times New Roman" w:hAnsi="Times New Roman" w:cs="Times New Roman"/>
                <w:szCs w:val="21"/>
                <w:vertAlign w:val="subscript"/>
              </w:rPr>
              <w:t>2</w:t>
            </w:r>
            <w:r>
              <w:rPr>
                <w:rFonts w:ascii="Times New Roman" w:hAnsi="Times New Roman" w:cs="Times New Roman"/>
                <w:szCs w:val="21"/>
              </w:rPr>
              <w:t>气体与天然气燃烧后的废气共同经烟囱排放，排气量为30000m³/h，排气筒高度为35m，直径为1.0m。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氧化铁粉仓</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颗粒物</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旋风除尘器，除尘效率90%</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设置布袋除尘器，含尘气体净化后经30m高排气筒排放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脱氯塔</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HCl、Cl</w:t>
            </w:r>
            <w:r>
              <w:rPr>
                <w:rFonts w:ascii="Times New Roman" w:hAnsi="Times New Roman" w:cs="Times New Roman"/>
                <w:szCs w:val="21"/>
                <w:vertAlign w:val="subscript"/>
              </w:rPr>
              <w:t>2</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吸收塔+脱氯洗涤塔，处理效率95%</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盐酸再生过程中产生的HCl、Cl</w:t>
            </w:r>
            <w:r>
              <w:rPr>
                <w:rFonts w:ascii="Times New Roman" w:hAnsi="Times New Roman" w:cs="Times New Roman"/>
                <w:szCs w:val="21"/>
                <w:vertAlign w:val="subscript"/>
              </w:rPr>
              <w:t>2</w:t>
            </w:r>
            <w:r>
              <w:rPr>
                <w:rFonts w:ascii="Times New Roman" w:hAnsi="Times New Roman" w:cs="Times New Roman"/>
                <w:szCs w:val="21"/>
              </w:rPr>
              <w:t>气体，经吸收塔+除氯塔+洗涤塔处理后，形成HCl溶液，回用于酸洗槽，微量的HCl、Cl</w:t>
            </w:r>
            <w:r>
              <w:rPr>
                <w:rFonts w:ascii="Times New Roman" w:hAnsi="Times New Roman" w:cs="Times New Roman"/>
                <w:szCs w:val="21"/>
                <w:vertAlign w:val="subscript"/>
              </w:rPr>
              <w:t>2</w:t>
            </w:r>
            <w:r>
              <w:rPr>
                <w:rFonts w:ascii="Times New Roman" w:hAnsi="Times New Roman" w:cs="Times New Roman"/>
                <w:szCs w:val="21"/>
              </w:rPr>
              <w:t>气体与天然气燃烧后的废气共同经烟囱排放，排气量为30000m³/h，排气筒高度为35m，直径为1.0m。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restart"/>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噪声</w:t>
            </w: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各车间</w:t>
            </w:r>
          </w:p>
          <w:p>
            <w:pPr>
              <w:adjustRightInd w:val="0"/>
              <w:snapToGrid w:val="0"/>
              <w:jc w:val="center"/>
              <w:rPr>
                <w:rFonts w:ascii="Times New Roman" w:hAnsi="Times New Roman" w:cs="Times New Roman"/>
                <w:szCs w:val="21"/>
              </w:rPr>
            </w:pPr>
            <w:r>
              <w:rPr>
                <w:rFonts w:ascii="Times New Roman" w:hAnsi="Times New Roman" w:cs="Times New Roman"/>
                <w:szCs w:val="21"/>
              </w:rPr>
              <w:t>生产设备</w:t>
            </w:r>
          </w:p>
        </w:tc>
        <w:tc>
          <w:tcPr>
            <w:tcW w:w="481"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噪声</w:t>
            </w:r>
          </w:p>
        </w:tc>
        <w:tc>
          <w:tcPr>
            <w:tcW w:w="1766"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尽可能选用低噪声设备，同时采取厂房隔声措施，根据需要给工作采取个人防护措施。</w:t>
            </w:r>
          </w:p>
        </w:tc>
        <w:tc>
          <w:tcPr>
            <w:tcW w:w="180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选用低噪声设备，同时采取厂房隔声措施，根据需要给工作采取个人防护措施。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风机</w:t>
            </w:r>
          </w:p>
        </w:tc>
        <w:tc>
          <w:tcPr>
            <w:tcW w:w="481" w:type="pct"/>
            <w:vMerge w:val="continue"/>
            <w:vAlign w:val="center"/>
          </w:tcPr>
          <w:p>
            <w:pPr>
              <w:adjustRightInd w:val="0"/>
              <w:snapToGrid w:val="0"/>
              <w:jc w:val="center"/>
              <w:rPr>
                <w:rFonts w:ascii="Times New Roman" w:hAnsi="Times New Roman" w:cs="Times New Roman"/>
                <w:szCs w:val="21"/>
              </w:rPr>
            </w:pPr>
          </w:p>
        </w:tc>
        <w:tc>
          <w:tcPr>
            <w:tcW w:w="1766"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风机出口设消音器</w:t>
            </w:r>
          </w:p>
        </w:tc>
        <w:tc>
          <w:tcPr>
            <w:tcW w:w="1809"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风机出口设消音器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水泵</w:t>
            </w:r>
          </w:p>
        </w:tc>
        <w:tc>
          <w:tcPr>
            <w:tcW w:w="481" w:type="pct"/>
            <w:vMerge w:val="continue"/>
            <w:vAlign w:val="center"/>
          </w:tcPr>
          <w:p>
            <w:pPr>
              <w:adjustRightInd w:val="0"/>
              <w:snapToGrid w:val="0"/>
              <w:jc w:val="center"/>
              <w:rPr>
                <w:rFonts w:ascii="Times New Roman" w:hAnsi="Times New Roman" w:cs="Times New Roman"/>
                <w:szCs w:val="21"/>
              </w:rPr>
            </w:pPr>
          </w:p>
        </w:tc>
        <w:tc>
          <w:tcPr>
            <w:tcW w:w="1766"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szCs w:val="21"/>
              </w:rPr>
              <w:t>基本都设在车间内、厂房隔声, 水泵的出口设柔性接头，</w:t>
            </w:r>
          </w:p>
        </w:tc>
        <w:tc>
          <w:tcPr>
            <w:tcW w:w="1809"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szCs w:val="21"/>
              </w:rPr>
              <w:t>基本都设在车间内、厂房隔声, 水泵的出口设柔性接头，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b/>
                <w:bCs/>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液压站</w:t>
            </w:r>
          </w:p>
        </w:tc>
        <w:tc>
          <w:tcPr>
            <w:tcW w:w="481" w:type="pct"/>
            <w:vMerge w:val="continue"/>
            <w:tcBorders>
              <w:bottom w:val="single" w:color="auto" w:sz="4" w:space="0"/>
            </w:tcBorders>
            <w:vAlign w:val="center"/>
          </w:tcPr>
          <w:p>
            <w:pPr>
              <w:adjustRightInd w:val="0"/>
              <w:snapToGrid w:val="0"/>
              <w:jc w:val="center"/>
              <w:rPr>
                <w:rFonts w:ascii="Times New Roman" w:hAnsi="Times New Roman" w:cs="Times New Roman"/>
                <w:szCs w:val="21"/>
              </w:rPr>
            </w:pPr>
          </w:p>
        </w:tc>
        <w:tc>
          <w:tcPr>
            <w:tcW w:w="1766"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szCs w:val="21"/>
              </w:rPr>
              <w:t>设在车间内、厂房隔声</w:t>
            </w:r>
          </w:p>
        </w:tc>
        <w:tc>
          <w:tcPr>
            <w:tcW w:w="1809"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szCs w:val="21"/>
              </w:rPr>
              <w:t>设在车间内、厂房隔声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危险废物</w:t>
            </w:r>
          </w:p>
        </w:tc>
        <w:tc>
          <w:tcPr>
            <w:tcW w:w="649" w:type="pct"/>
            <w:vAlign w:val="center"/>
          </w:tcPr>
          <w:p>
            <w:pPr>
              <w:adjustRightInd w:val="0"/>
              <w:snapToGrid w:val="0"/>
              <w:jc w:val="center"/>
              <w:rPr>
                <w:rFonts w:ascii="Times New Roman" w:hAnsi="Times New Roman" w:cs="Times New Roman"/>
                <w:bCs/>
                <w:szCs w:val="21"/>
              </w:rPr>
            </w:pPr>
            <w:r>
              <w:rPr>
                <w:rFonts w:ascii="Times New Roman" w:hAnsi="Times New Roman" w:cs="Times New Roman"/>
                <w:szCs w:val="21"/>
              </w:rPr>
              <w:t>废轧制油、乳化液</w:t>
            </w:r>
          </w:p>
        </w:tc>
        <w:tc>
          <w:tcPr>
            <w:tcW w:w="481" w:type="pct"/>
            <w:vAlign w:val="center"/>
          </w:tcPr>
          <w:p>
            <w:pPr>
              <w:adjustRightInd w:val="0"/>
              <w:snapToGrid w:val="0"/>
              <w:jc w:val="center"/>
              <w:rPr>
                <w:rFonts w:ascii="Times New Roman" w:hAnsi="Times New Roman" w:cs="Times New Roman"/>
                <w:bCs/>
                <w:szCs w:val="21"/>
              </w:rPr>
            </w:pPr>
            <w:r>
              <w:rPr>
                <w:rFonts w:ascii="Times New Roman" w:hAnsi="Times New Roman" w:cs="Times New Roman"/>
                <w:bCs/>
                <w:szCs w:val="21"/>
              </w:rPr>
              <w:t>轧机</w:t>
            </w:r>
          </w:p>
        </w:tc>
        <w:tc>
          <w:tcPr>
            <w:tcW w:w="1766" w:type="pct"/>
            <w:vMerge w:val="restart"/>
            <w:vAlign w:val="center"/>
          </w:tcPr>
          <w:p>
            <w:pPr>
              <w:adjustRightInd w:val="0"/>
              <w:snapToGrid w:val="0"/>
              <w:jc w:val="center"/>
              <w:rPr>
                <w:rFonts w:ascii="Times New Roman" w:hAnsi="Times New Roman" w:cs="Times New Roman"/>
                <w:bCs/>
                <w:szCs w:val="21"/>
              </w:rPr>
            </w:pPr>
            <w:r>
              <w:rPr>
                <w:rFonts w:ascii="Times New Roman" w:hAnsi="Times New Roman" w:cs="Times New Roman"/>
                <w:bCs/>
                <w:szCs w:val="21"/>
              </w:rPr>
              <w:t>公司废油、乳化液、碱油废水送综合处理站处理回用</w:t>
            </w:r>
          </w:p>
        </w:tc>
        <w:tc>
          <w:tcPr>
            <w:tcW w:w="1809" w:type="pct"/>
            <w:vMerge w:val="restart"/>
            <w:vAlign w:val="center"/>
          </w:tcPr>
          <w:p>
            <w:pPr>
              <w:adjustRightInd w:val="0"/>
              <w:snapToGrid w:val="0"/>
              <w:jc w:val="center"/>
              <w:rPr>
                <w:rFonts w:ascii="Times New Roman" w:hAnsi="Times New Roman" w:cs="Times New Roman"/>
                <w:bCs/>
                <w:szCs w:val="21"/>
              </w:rPr>
            </w:pPr>
            <w:r>
              <w:rPr>
                <w:rFonts w:ascii="Times New Roman" w:hAnsi="Times New Roman" w:cs="Times New Roman"/>
                <w:bCs/>
                <w:szCs w:val="21"/>
              </w:rPr>
              <w:t>公司废油、乳化液、碱油废水送综合处理站处理回用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碱油废水</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轧机</w:t>
            </w:r>
          </w:p>
        </w:tc>
        <w:tc>
          <w:tcPr>
            <w:tcW w:w="1766" w:type="pct"/>
            <w:vMerge w:val="continue"/>
            <w:vAlign w:val="center"/>
          </w:tcPr>
          <w:p>
            <w:pPr>
              <w:adjustRightInd w:val="0"/>
              <w:snapToGrid w:val="0"/>
              <w:jc w:val="center"/>
              <w:rPr>
                <w:rFonts w:ascii="Times New Roman" w:hAnsi="Times New Roman" w:cs="Times New Roman"/>
                <w:szCs w:val="21"/>
              </w:rPr>
            </w:pPr>
          </w:p>
        </w:tc>
        <w:tc>
          <w:tcPr>
            <w:tcW w:w="1809" w:type="pct"/>
            <w:vMerge w:val="continue"/>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含铬污泥</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涂层</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送烧结参与配料</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送烧结参与配料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废盐酸</w:t>
            </w:r>
          </w:p>
        </w:tc>
        <w:tc>
          <w:tcPr>
            <w:tcW w:w="481"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酸洗</w:t>
            </w:r>
          </w:p>
        </w:tc>
        <w:tc>
          <w:tcPr>
            <w:tcW w:w="1766"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送本项目酸再生装置回收</w:t>
            </w:r>
          </w:p>
        </w:tc>
        <w:tc>
          <w:tcPr>
            <w:tcW w:w="1809" w:type="pc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送本项目酸再生装置回收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一般固废</w:t>
            </w: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切头、切边、切尾</w:t>
            </w:r>
          </w:p>
        </w:tc>
        <w:tc>
          <w:tcPr>
            <w:tcW w:w="481"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剪切</w:t>
            </w:r>
          </w:p>
        </w:tc>
        <w:tc>
          <w:tcPr>
            <w:tcW w:w="1766"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进入炼钢系统和原料配料利用</w:t>
            </w:r>
          </w:p>
        </w:tc>
        <w:tc>
          <w:tcPr>
            <w:tcW w:w="1809" w:type="pct"/>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进入炼钢系统和原料配料利用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铁磷</w:t>
            </w:r>
          </w:p>
        </w:tc>
        <w:tc>
          <w:tcPr>
            <w:tcW w:w="481"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拉矫</w:t>
            </w:r>
          </w:p>
        </w:tc>
        <w:tc>
          <w:tcPr>
            <w:tcW w:w="1766" w:type="pct"/>
            <w:vMerge w:val="continue"/>
            <w:tcBorders>
              <w:bottom w:val="single" w:color="auto" w:sz="4" w:space="0"/>
            </w:tcBorders>
            <w:vAlign w:val="center"/>
          </w:tcPr>
          <w:p>
            <w:pPr>
              <w:adjustRightInd w:val="0"/>
              <w:snapToGrid w:val="0"/>
              <w:jc w:val="center"/>
              <w:rPr>
                <w:rFonts w:ascii="Times New Roman" w:hAnsi="Times New Roman" w:cs="Times New Roman"/>
                <w:szCs w:val="21"/>
              </w:rPr>
            </w:pPr>
          </w:p>
        </w:tc>
        <w:tc>
          <w:tcPr>
            <w:tcW w:w="1809" w:type="pct"/>
            <w:vMerge w:val="continue"/>
            <w:tcBorders>
              <w:bottom w:val="single" w:color="auto" w:sz="4" w:space="0"/>
            </w:tcBorders>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kern w:val="0"/>
                <w:szCs w:val="21"/>
              </w:rPr>
              <w:t>Fe</w:t>
            </w:r>
            <w:r>
              <w:rPr>
                <w:rFonts w:ascii="Times New Roman" w:hAnsi="Times New Roman" w:cs="Times New Roman"/>
                <w:kern w:val="0"/>
                <w:szCs w:val="21"/>
                <w:vertAlign w:val="subscript"/>
              </w:rPr>
              <w:t>2</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ascii="Times New Roman" w:hAnsi="Times New Roman" w:cs="Times New Roman"/>
                <w:kern w:val="0"/>
                <w:szCs w:val="21"/>
              </w:rPr>
              <w:t>粉</w:t>
            </w:r>
          </w:p>
        </w:tc>
        <w:tc>
          <w:tcPr>
            <w:tcW w:w="481"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酸再生</w:t>
            </w:r>
          </w:p>
        </w:tc>
        <w:tc>
          <w:tcPr>
            <w:tcW w:w="1766"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外售</w:t>
            </w:r>
          </w:p>
        </w:tc>
        <w:tc>
          <w:tcPr>
            <w:tcW w:w="180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泥饼</w:t>
            </w:r>
          </w:p>
        </w:tc>
        <w:tc>
          <w:tcPr>
            <w:tcW w:w="481" w:type="pct"/>
            <w:tcBorders>
              <w:bottom w:val="single" w:color="auto" w:sz="4" w:space="0"/>
            </w:tcBorders>
            <w:vAlign w:val="center"/>
          </w:tcPr>
          <w:p>
            <w:pPr>
              <w:adjustRightInd w:val="0"/>
              <w:snapToGrid w:val="0"/>
              <w:jc w:val="center"/>
              <w:rPr>
                <w:rFonts w:ascii="Times New Roman" w:hAnsi="Times New Roman" w:cs="Times New Roman"/>
                <w:szCs w:val="21"/>
              </w:rPr>
            </w:pPr>
          </w:p>
        </w:tc>
        <w:tc>
          <w:tcPr>
            <w:tcW w:w="1766"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送烧结参与配料</w:t>
            </w:r>
          </w:p>
        </w:tc>
        <w:tc>
          <w:tcPr>
            <w:tcW w:w="180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送烧结参与配料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vMerge w:val="continue"/>
            <w:vAlign w:val="center"/>
          </w:tcPr>
          <w:p>
            <w:pPr>
              <w:adjustRightInd w:val="0"/>
              <w:snapToGrid w:val="0"/>
              <w:jc w:val="center"/>
              <w:rPr>
                <w:rFonts w:ascii="Times New Roman" w:hAnsi="Times New Roman" w:cs="Times New Roman"/>
                <w:szCs w:val="21"/>
              </w:rPr>
            </w:pPr>
          </w:p>
        </w:tc>
        <w:tc>
          <w:tcPr>
            <w:tcW w:w="649" w:type="pct"/>
            <w:tcBorders>
              <w:bottom w:val="single" w:color="auto" w:sz="4" w:space="0"/>
            </w:tcBorders>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中和污泥</w:t>
            </w:r>
          </w:p>
        </w:tc>
        <w:tc>
          <w:tcPr>
            <w:tcW w:w="481" w:type="pct"/>
            <w:tcBorders>
              <w:bottom w:val="single" w:color="auto" w:sz="4" w:space="0"/>
            </w:tcBorders>
            <w:vAlign w:val="center"/>
          </w:tcPr>
          <w:p>
            <w:pPr>
              <w:adjustRightInd w:val="0"/>
              <w:snapToGrid w:val="0"/>
              <w:jc w:val="center"/>
              <w:rPr>
                <w:rFonts w:ascii="Times New Roman" w:hAnsi="Times New Roman" w:cs="Times New Roman"/>
                <w:szCs w:val="21"/>
              </w:rPr>
            </w:pPr>
          </w:p>
        </w:tc>
        <w:tc>
          <w:tcPr>
            <w:tcW w:w="1766"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szCs w:val="21"/>
              </w:rPr>
              <w:t>送东山固废处置场填埋</w:t>
            </w:r>
          </w:p>
        </w:tc>
        <w:tc>
          <w:tcPr>
            <w:tcW w:w="1809" w:type="pct"/>
            <w:tcBorders>
              <w:bottom w:val="single" w:color="auto" w:sz="4" w:space="0"/>
            </w:tcBorders>
            <w:vAlign w:val="center"/>
          </w:tcPr>
          <w:p>
            <w:pPr>
              <w:adjustRightInd w:val="0"/>
              <w:snapToGrid w:val="0"/>
              <w:jc w:val="center"/>
              <w:rPr>
                <w:rFonts w:ascii="Times New Roman" w:hAnsi="Times New Roman" w:cs="Times New Roman"/>
                <w:kern w:val="0"/>
                <w:szCs w:val="21"/>
              </w:rPr>
            </w:pPr>
            <w:r>
              <w:rPr>
                <w:rFonts w:ascii="Times New Roman" w:hAnsi="Times New Roman" w:cs="Times New Roman"/>
                <w:szCs w:val="21"/>
              </w:rPr>
              <w:t>送东山固废处置场填埋</w:t>
            </w:r>
          </w:p>
        </w:tc>
      </w:tr>
    </w:tbl>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bCs/>
          <w:color w:val="000000"/>
        </w:rPr>
      </w:pPr>
      <w:r>
        <w:rPr>
          <w:rFonts w:ascii="Times New Roman" w:hAnsi="Times New Roman" w:cs="Times New Roman"/>
          <w:color w:val="000000"/>
          <w:sz w:val="28"/>
          <w:szCs w:val="28"/>
        </w:rPr>
        <w:t>环保设施实际建设情况与环评批复要求对照见表4。</w:t>
      </w:r>
    </w:p>
    <w:p>
      <w:pPr>
        <w:pStyle w:val="79"/>
        <w:adjustRightInd w:val="0"/>
        <w:snapToGrid w:val="0"/>
        <w:spacing w:before="0" w:beforeAutospacing="0" w:after="0" w:afterAutospacing="0" w:line="500" w:lineRule="exact"/>
        <w:jc w:val="center"/>
        <w:rPr>
          <w:rFonts w:ascii="Times New Roman" w:hAnsi="Times New Roman" w:cs="Times New Roman"/>
          <w:b/>
          <w:color w:val="000000"/>
        </w:rPr>
      </w:pPr>
      <w:r>
        <w:rPr>
          <w:rFonts w:ascii="Times New Roman" w:hAnsi="Times New Roman" w:cs="Times New Roman"/>
          <w:b/>
          <w:color w:val="000000"/>
        </w:rPr>
        <w:t>表4  环保设施实际建设情况与环评批复要求对照表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741"/>
        <w:gridCol w:w="6596"/>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blHeader/>
          <w:jc w:val="center"/>
        </w:trPr>
        <w:tc>
          <w:tcPr>
            <w:tcW w:w="0" w:type="auto"/>
            <w:vMerge w:val="restart"/>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环</w:t>
            </w:r>
          </w:p>
          <w:p>
            <w:pPr>
              <w:adjustRightInd w:val="0"/>
              <w:snapToGrid w:val="0"/>
              <w:jc w:val="center"/>
              <w:rPr>
                <w:rFonts w:ascii="Times New Roman" w:hAnsi="Times New Roman" w:cs="Times New Roman"/>
                <w:szCs w:val="21"/>
              </w:rPr>
            </w:pPr>
            <w:r>
              <w:rPr>
                <w:rFonts w:ascii="Times New Roman" w:hAnsi="Times New Roman" w:cs="Times New Roman"/>
                <w:szCs w:val="21"/>
              </w:rPr>
              <w:t>评</w:t>
            </w:r>
          </w:p>
          <w:p>
            <w:pPr>
              <w:adjustRightInd w:val="0"/>
              <w:snapToGrid w:val="0"/>
              <w:jc w:val="center"/>
              <w:rPr>
                <w:rFonts w:ascii="Times New Roman" w:hAnsi="Times New Roman" w:cs="Times New Roman"/>
                <w:szCs w:val="21"/>
              </w:rPr>
            </w:pPr>
            <w:r>
              <w:rPr>
                <w:rFonts w:ascii="Times New Roman" w:hAnsi="Times New Roman" w:cs="Times New Roman"/>
                <w:szCs w:val="21"/>
              </w:rPr>
              <w:t>批</w:t>
            </w:r>
          </w:p>
          <w:p>
            <w:pPr>
              <w:adjustRightInd w:val="0"/>
              <w:snapToGrid w:val="0"/>
              <w:jc w:val="center"/>
              <w:rPr>
                <w:rFonts w:ascii="Times New Roman" w:hAnsi="Times New Roman" w:cs="Times New Roman"/>
                <w:szCs w:val="21"/>
              </w:rPr>
            </w:pPr>
            <w:r>
              <w:rPr>
                <w:rFonts w:ascii="Times New Roman" w:hAnsi="Times New Roman" w:cs="Times New Roman"/>
                <w:szCs w:val="21"/>
              </w:rPr>
              <w:t>复</w:t>
            </w:r>
          </w:p>
          <w:p>
            <w:pPr>
              <w:adjustRightInd w:val="0"/>
              <w:snapToGrid w:val="0"/>
              <w:jc w:val="center"/>
              <w:rPr>
                <w:rFonts w:ascii="Times New Roman" w:hAnsi="Times New Roman" w:cs="Times New Roman"/>
                <w:szCs w:val="21"/>
              </w:rPr>
            </w:pPr>
            <w:r>
              <w:rPr>
                <w:rFonts w:ascii="Times New Roman" w:hAnsi="Times New Roman" w:cs="Times New Roman"/>
                <w:szCs w:val="21"/>
              </w:rPr>
              <w:t>意</w:t>
            </w:r>
          </w:p>
          <w:p>
            <w:pPr>
              <w:adjustRightInd w:val="0"/>
              <w:snapToGrid w:val="0"/>
              <w:jc w:val="center"/>
              <w:rPr>
                <w:rFonts w:ascii="Times New Roman" w:hAnsi="Times New Roman" w:cs="Times New Roman"/>
                <w:szCs w:val="21"/>
              </w:rPr>
            </w:pPr>
            <w:r>
              <w:rPr>
                <w:rFonts w:ascii="Times New Roman" w:hAnsi="Times New Roman" w:cs="Times New Roman"/>
                <w:szCs w:val="21"/>
              </w:rPr>
              <w:t>见</w:t>
            </w:r>
          </w:p>
        </w:tc>
        <w:tc>
          <w:tcPr>
            <w:tcW w:w="0" w:type="auto"/>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序号</w:t>
            </w:r>
          </w:p>
        </w:tc>
        <w:tc>
          <w:tcPr>
            <w:tcW w:w="6596" w:type="dxa"/>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主要批复内容</w:t>
            </w:r>
          </w:p>
        </w:tc>
        <w:tc>
          <w:tcPr>
            <w:tcW w:w="1071" w:type="dxa"/>
            <w:vAlign w:val="center"/>
          </w:tcPr>
          <w:p>
            <w:pPr>
              <w:adjustRightInd w:val="0"/>
              <w:snapToGrid w:val="0"/>
              <w:jc w:val="center"/>
              <w:rPr>
                <w:rFonts w:ascii="Times New Roman" w:hAnsi="Times New Roman" w:cs="Times New Roman"/>
                <w:b/>
                <w:bCs/>
                <w:szCs w:val="21"/>
              </w:rPr>
            </w:pPr>
            <w:r>
              <w:rPr>
                <w:rFonts w:ascii="Times New Roman" w:hAnsi="Times New Roman" w:cs="Times New Roman"/>
                <w:b/>
                <w:bCs/>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blHeader/>
          <w:jc w:val="center"/>
        </w:trPr>
        <w:tc>
          <w:tcPr>
            <w:tcW w:w="0" w:type="auto"/>
            <w:vMerge w:val="continue"/>
            <w:vAlign w:val="center"/>
          </w:tcPr>
          <w:p>
            <w:pPr>
              <w:adjustRightInd w:val="0"/>
              <w:snapToGrid w:val="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1</w:t>
            </w:r>
          </w:p>
        </w:tc>
        <w:tc>
          <w:tcPr>
            <w:tcW w:w="6596" w:type="dxa"/>
            <w:vAlign w:val="center"/>
          </w:tcPr>
          <w:p>
            <w:pPr>
              <w:overflowPunct w:val="0"/>
              <w:autoSpaceDE w:val="0"/>
              <w:autoSpaceDN w:val="0"/>
              <w:adjustRightInd w:val="0"/>
              <w:snapToGrid w:val="0"/>
              <w:ind w:firstLine="420" w:firstLineChars="200"/>
              <w:rPr>
                <w:rFonts w:ascii="Times New Roman" w:hAnsi="Times New Roman" w:cs="Times New Roman"/>
                <w:kern w:val="24"/>
              </w:rPr>
            </w:pPr>
            <w:r>
              <w:rPr>
                <w:rFonts w:ascii="Times New Roman" w:hAnsi="Times New Roman" w:cs="Times New Roman"/>
                <w:kern w:val="24"/>
              </w:rPr>
              <w:t>你公司拟在不增加产能的前提下，通过产品结构调整，减少低附加值的热轧普碳钢产量，等量置换，建设硅钢冷连轧技术改造项目，生产冷轧无取向硅钢产品100万吨/年。主要建设内容包括一条酸洗轧机联合机组、四条硅钢连续退火机组、四条硅钢重卷机组、两条半自动包装机组、冷轧磨辑车间等，厂址位于你公司厂区内，不新增占地。项目总投资384611万元，其中环保投资约25130万元。该项目经省经济和信息化委员会晋经信投资字[2012]233号予以备案，是2012年山西省重点工程项目。根据"报告书"结论，在严格落实《报告书》提出的各项环保对策措施的情况下，各项污染物可以实现达标排放，并满足总量控制指标要求，从环境保护角度看，项目是可行的，同意实施建设。</w:t>
            </w:r>
          </w:p>
          <w:p>
            <w:pPr>
              <w:adjustRightInd w:val="0"/>
              <w:snapToGrid w:val="0"/>
              <w:rPr>
                <w:rFonts w:ascii="Times New Roman" w:hAnsi="Times New Roman" w:cs="Times New Roman"/>
                <w:szCs w:val="21"/>
              </w:rPr>
            </w:pPr>
          </w:p>
        </w:tc>
        <w:tc>
          <w:tcPr>
            <w:tcW w:w="1071" w:type="dxa"/>
            <w:vAlign w:val="center"/>
          </w:tcPr>
          <w:p>
            <w:pPr>
              <w:pStyle w:val="39"/>
              <w:snapToGrid w:val="0"/>
              <w:jc w:val="center"/>
              <w:rPr>
                <w:rFonts w:ascii="Times New Roman" w:hAnsi="Times New Roman" w:cs="Times New Roman"/>
                <w:sz w:val="21"/>
                <w:szCs w:val="21"/>
              </w:rPr>
            </w:pPr>
            <w:r>
              <w:rPr>
                <w:rFonts w:hint="eastAsia" w:ascii="微软雅黑" w:hAnsi="微软雅黑" w:eastAsia="微软雅黑" w:cs="微软雅黑"/>
                <w:sz w:val="21"/>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2</w:t>
            </w:r>
          </w:p>
        </w:tc>
        <w:tc>
          <w:tcPr>
            <w:tcW w:w="6596" w:type="dxa"/>
            <w:vAlign w:val="center"/>
          </w:tcPr>
          <w:p>
            <w:pPr>
              <w:adjustRightInd w:val="0"/>
              <w:snapToGrid w:val="0"/>
              <w:rPr>
                <w:rFonts w:ascii="Times New Roman" w:hAnsi="Times New Roman" w:cs="Times New Roman"/>
                <w:szCs w:val="21"/>
              </w:rPr>
            </w:pPr>
            <w:r>
              <w:rPr>
                <w:rFonts w:ascii="Times New Roman" w:hAnsi="Times New Roman" w:cs="Times New Roman"/>
                <w:kern w:val="24"/>
              </w:rPr>
              <w:t>项目建设中，必须认真落实"报告书"提出的各项环境保护对策措施，重点做好以下几方面工作:</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（1）</w:t>
            </w:r>
          </w:p>
        </w:tc>
        <w:tc>
          <w:tcPr>
            <w:tcW w:w="6596" w:type="dxa"/>
            <w:vAlign w:val="center"/>
          </w:tcPr>
          <w:p>
            <w:pPr>
              <w:adjustRightInd w:val="0"/>
              <w:snapToGrid w:val="0"/>
              <w:rPr>
                <w:rFonts w:ascii="Times New Roman" w:hAnsi="Times New Roman" w:cs="Times New Roman"/>
                <w:szCs w:val="21"/>
              </w:rPr>
            </w:pPr>
            <w:r>
              <w:rPr>
                <w:rFonts w:ascii="Times New Roman" w:hAnsi="Times New Roman" w:cs="Times New Roman"/>
                <w:kern w:val="24"/>
              </w:rPr>
              <w:t>对酸洗、碱喷淋、涂层过程产生的酸雾、碱雾均需设置净化塔进行处理；盐酸再生过程中产生的HCl、Cl</w:t>
            </w:r>
            <w:r>
              <w:rPr>
                <w:rFonts w:ascii="Times New Roman" w:hAnsi="Times New Roman" w:cs="Times New Roman"/>
                <w:kern w:val="24"/>
                <w:vertAlign w:val="subscript"/>
              </w:rPr>
              <w:t>2</w:t>
            </w:r>
            <w:r>
              <w:rPr>
                <w:rFonts w:ascii="Times New Roman" w:hAnsi="Times New Roman" w:cs="Times New Roman"/>
                <w:kern w:val="24"/>
              </w:rPr>
              <w:t>气体，采用吸收塔+除氯塔+洗涤塔处理后，形成HCl溶液，回用于酸洗槽；其它产生粉尘的工序需设置布袋除尘器除尘。外排废气要达到《轧钢工业大气污染物排放标准》（GB28665-2012）标准要求。</w:t>
            </w:r>
            <w:r>
              <w:rPr>
                <w:rFonts w:ascii="Times New Roman" w:hAnsi="Times New Roman" w:cs="Times New Roman"/>
                <w:szCs w:val="21"/>
              </w:rPr>
              <w:t>。</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（2）</w:t>
            </w:r>
          </w:p>
        </w:tc>
        <w:tc>
          <w:tcPr>
            <w:tcW w:w="6596" w:type="dxa"/>
            <w:vAlign w:val="center"/>
          </w:tcPr>
          <w:p>
            <w:pPr>
              <w:overflowPunct w:val="0"/>
              <w:autoSpaceDE w:val="0"/>
              <w:autoSpaceDN w:val="0"/>
              <w:adjustRightInd w:val="0"/>
              <w:snapToGrid w:val="0"/>
              <w:ind w:firstLine="420" w:firstLineChars="200"/>
              <w:rPr>
                <w:rFonts w:ascii="Times New Roman" w:hAnsi="Times New Roman" w:cs="Times New Roman"/>
                <w:kern w:val="24"/>
              </w:rPr>
            </w:pPr>
            <w:r>
              <w:rPr>
                <w:rFonts w:ascii="Times New Roman" w:hAnsi="Times New Roman" w:cs="Times New Roman"/>
                <w:kern w:val="24"/>
              </w:rPr>
              <w:t>涂层设备冲洗水、铬酸雾净化塔产生的含铬废水，送现有工程中和三站含铬废水处理系统处理，总铬、六价铬需达到《钢铁工业水污染物排放标准》（GB13456-2012）表2标准后方可进入太钢复用水系统回用。</w:t>
            </w:r>
          </w:p>
          <w:p>
            <w:pPr>
              <w:overflowPunct w:val="0"/>
              <w:autoSpaceDE w:val="0"/>
              <w:autoSpaceDN w:val="0"/>
              <w:adjustRightInd w:val="0"/>
              <w:snapToGrid w:val="0"/>
              <w:ind w:firstLine="420" w:firstLineChars="200"/>
              <w:rPr>
                <w:rFonts w:ascii="Times New Roman" w:hAnsi="Times New Roman" w:cs="Times New Roman"/>
                <w:kern w:val="24"/>
              </w:rPr>
            </w:pPr>
            <w:r>
              <w:rPr>
                <w:rFonts w:ascii="Times New Roman" w:hAnsi="Times New Roman" w:cs="Times New Roman"/>
                <w:kern w:val="24"/>
              </w:rPr>
              <w:t>本项目生产废水经预处理后要全部进入大钢复用水系统。全厂回用，不得外排。</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（3）</w:t>
            </w:r>
          </w:p>
        </w:tc>
        <w:tc>
          <w:tcPr>
            <w:tcW w:w="6596" w:type="dxa"/>
            <w:vAlign w:val="center"/>
          </w:tcPr>
          <w:p>
            <w:pPr>
              <w:overflowPunct w:val="0"/>
              <w:autoSpaceDE w:val="0"/>
              <w:autoSpaceDN w:val="0"/>
              <w:adjustRightInd w:val="0"/>
              <w:snapToGrid w:val="0"/>
              <w:ind w:firstLine="420" w:firstLineChars="200"/>
              <w:rPr>
                <w:rFonts w:ascii="Times New Roman" w:hAnsi="Times New Roman" w:cs="Times New Roman"/>
                <w:kern w:val="24"/>
              </w:rPr>
            </w:pPr>
            <w:r>
              <w:rPr>
                <w:rFonts w:ascii="Times New Roman" w:hAnsi="Times New Roman" w:cs="Times New Roman"/>
                <w:kern w:val="24"/>
              </w:rPr>
              <w:t>按《报告书》要求对本项目厂内地面、装置区、储罐区、危废库等采取严格的防渗措施，并加强管理，杜绝跑、冒、滴、漏，确保不对地下水环境造成影响。</w:t>
            </w:r>
          </w:p>
          <w:p>
            <w:pPr>
              <w:adjustRightInd w:val="0"/>
              <w:snapToGrid w:val="0"/>
              <w:rPr>
                <w:rFonts w:ascii="Times New Roman" w:hAnsi="Times New Roman" w:cs="Times New Roman"/>
                <w:szCs w:val="21"/>
              </w:rPr>
            </w:pPr>
            <w:r>
              <w:rPr>
                <w:rFonts w:ascii="Times New Roman" w:hAnsi="Times New Roman" w:cs="Times New Roman"/>
                <w:szCs w:val="21"/>
              </w:rPr>
              <w:t>。</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（4）</w:t>
            </w:r>
          </w:p>
        </w:tc>
        <w:tc>
          <w:tcPr>
            <w:tcW w:w="6596" w:type="dxa"/>
            <w:vAlign w:val="center"/>
          </w:tcPr>
          <w:p>
            <w:pPr>
              <w:adjustRightInd w:val="0"/>
              <w:snapToGrid w:val="0"/>
              <w:rPr>
                <w:rFonts w:ascii="Times New Roman" w:hAnsi="Times New Roman" w:cs="Times New Roman"/>
                <w:szCs w:val="21"/>
              </w:rPr>
            </w:pPr>
            <w:r>
              <w:rPr>
                <w:rFonts w:ascii="Times New Roman" w:hAnsi="Times New Roman" w:cs="Times New Roman"/>
                <w:kern w:val="24"/>
              </w:rPr>
              <w:t>本项目产生的废乳化液、碱油废水、废盐酸、含铬污泥等危险固体废物应尽可能在厂内进行综合利用，不能利用的要委托有资质的单位进行处理处置。危废厂内暂存应符合《危险废物贮存污染控制标准》要求，危险废物转移应遵从《危险废物转移联单管理办法》要求。</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（5）</w:t>
            </w:r>
          </w:p>
        </w:tc>
        <w:tc>
          <w:tcPr>
            <w:tcW w:w="6596" w:type="dxa"/>
            <w:vAlign w:val="center"/>
          </w:tcPr>
          <w:p>
            <w:pPr>
              <w:adjustRightInd w:val="0"/>
              <w:snapToGrid w:val="0"/>
              <w:rPr>
                <w:rFonts w:ascii="Times New Roman" w:hAnsi="Times New Roman" w:cs="Times New Roman"/>
                <w:szCs w:val="21"/>
              </w:rPr>
            </w:pPr>
            <w:r>
              <w:rPr>
                <w:rFonts w:ascii="Times New Roman" w:hAnsi="Times New Roman" w:cs="Times New Roman"/>
                <w:kern w:val="24"/>
              </w:rPr>
              <w:t>本项目厂址位于兰村泉域重点保护区内，需符合《山西省泉域水资源保护条例》规定。</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（6）</w:t>
            </w:r>
          </w:p>
        </w:tc>
        <w:tc>
          <w:tcPr>
            <w:tcW w:w="6596" w:type="dxa"/>
            <w:vAlign w:val="center"/>
          </w:tcPr>
          <w:p>
            <w:pPr>
              <w:adjustRightInd w:val="0"/>
              <w:snapToGrid w:val="0"/>
              <w:rPr>
                <w:rFonts w:ascii="Times New Roman" w:hAnsi="Times New Roman" w:cs="Times New Roman"/>
                <w:kern w:val="24"/>
              </w:rPr>
            </w:pPr>
            <w:r>
              <w:rPr>
                <w:rFonts w:ascii="Times New Roman" w:hAnsi="Times New Roman" w:cs="Times New Roman"/>
                <w:kern w:val="24"/>
              </w:rPr>
              <w:t>加强事故防范和应急对策措施的落实，严防污染事故发生。</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（7）</w:t>
            </w:r>
          </w:p>
        </w:tc>
        <w:tc>
          <w:tcPr>
            <w:tcW w:w="6596" w:type="dxa"/>
            <w:vAlign w:val="center"/>
          </w:tcPr>
          <w:p>
            <w:pPr>
              <w:overflowPunct w:val="0"/>
              <w:autoSpaceDE w:val="0"/>
              <w:autoSpaceDN w:val="0"/>
              <w:adjustRightInd w:val="0"/>
              <w:snapToGrid w:val="0"/>
              <w:ind w:firstLine="420" w:firstLineChars="200"/>
              <w:rPr>
                <w:rFonts w:ascii="Times New Roman" w:hAnsi="Times New Roman" w:cs="Times New Roman"/>
                <w:kern w:val="24"/>
              </w:rPr>
            </w:pPr>
            <w:r>
              <w:rPr>
                <w:rFonts w:ascii="Times New Roman" w:hAnsi="Times New Roman" w:cs="Times New Roman"/>
                <w:kern w:val="24"/>
              </w:rPr>
              <w:t>下一阶段环评应按照《环境影响评价技术导则地下水环境》（HJ610-2011）进一步完善相应评价工作，并做为竣工验收的内容。</w:t>
            </w:r>
          </w:p>
          <w:p>
            <w:pPr>
              <w:adjustRightInd w:val="0"/>
              <w:snapToGrid w:val="0"/>
              <w:rPr>
                <w:rFonts w:ascii="Times New Roman" w:hAnsi="Times New Roman" w:cs="Times New Roman"/>
                <w:kern w:val="24"/>
              </w:rPr>
            </w:pP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3</w:t>
            </w:r>
          </w:p>
        </w:tc>
        <w:tc>
          <w:tcPr>
            <w:tcW w:w="6596" w:type="dxa"/>
            <w:vAlign w:val="center"/>
          </w:tcPr>
          <w:p>
            <w:pPr>
              <w:adjustRightInd w:val="0"/>
              <w:snapToGrid w:val="0"/>
              <w:rPr>
                <w:rFonts w:ascii="Times New Roman" w:hAnsi="Times New Roman" w:cs="Times New Roman"/>
                <w:szCs w:val="21"/>
              </w:rPr>
            </w:pPr>
            <w:r>
              <w:rPr>
                <w:rFonts w:ascii="Times New Roman" w:hAnsi="Times New Roman" w:cs="Times New Roman"/>
                <w:kern w:val="24"/>
              </w:rPr>
              <w:t>项目建设必须严格执行配套建设的环境保护设施与主体工程同时设计、同时施工、同时投产使用的环境保护"三同时"制度。项目竣工后，按规定程序申请环境保护验收。验收合格后，项目方可正式投入生产。</w:t>
            </w:r>
          </w:p>
        </w:tc>
        <w:tc>
          <w:tcPr>
            <w:tcW w:w="1071"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blHeader/>
          <w:jc w:val="center"/>
        </w:trPr>
        <w:tc>
          <w:tcPr>
            <w:tcW w:w="0" w:type="auto"/>
            <w:vMerge w:val="continue"/>
            <w:vAlign w:val="center"/>
          </w:tcPr>
          <w:p>
            <w:pPr>
              <w:adjustRightInd w:val="0"/>
              <w:snapToGrid w:val="0"/>
              <w:ind w:firstLine="420"/>
              <w:rPr>
                <w:rFonts w:ascii="Times New Roman" w:hAnsi="Times New Roman" w:cs="Times New Roman"/>
                <w:szCs w:val="21"/>
              </w:rPr>
            </w:pPr>
          </w:p>
        </w:tc>
        <w:tc>
          <w:tcPr>
            <w:tcW w:w="0" w:type="auto"/>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4</w:t>
            </w:r>
          </w:p>
        </w:tc>
        <w:tc>
          <w:tcPr>
            <w:tcW w:w="6596" w:type="dxa"/>
            <w:vAlign w:val="center"/>
          </w:tcPr>
          <w:p>
            <w:pPr>
              <w:adjustRightInd w:val="0"/>
              <w:snapToGrid w:val="0"/>
              <w:rPr>
                <w:rFonts w:ascii="Times New Roman" w:hAnsi="Times New Roman" w:cs="Times New Roman"/>
                <w:szCs w:val="21"/>
              </w:rPr>
            </w:pPr>
            <w:r>
              <w:rPr>
                <w:rFonts w:ascii="Times New Roman" w:hAnsi="Times New Roman" w:cs="Times New Roman"/>
                <w:kern w:val="24"/>
              </w:rPr>
              <w:t>请省环境监察总队、太原市环保局和太原市环保局尖草坪分局负责该项目施工期间的环境保护监督检查工作。</w:t>
            </w:r>
          </w:p>
        </w:tc>
        <w:tc>
          <w:tcPr>
            <w:tcW w:w="1071" w:type="dxa"/>
            <w:vAlign w:val="center"/>
          </w:tcPr>
          <w:p>
            <w:pPr>
              <w:adjustRightInd w:val="0"/>
              <w:snapToGrid w:val="0"/>
              <w:jc w:val="center"/>
              <w:rPr>
                <w:rFonts w:ascii="Times New Roman" w:hAnsi="Times New Roman" w:cs="Times New Roman"/>
                <w:szCs w:val="21"/>
              </w:rPr>
            </w:pPr>
          </w:p>
        </w:tc>
      </w:tr>
    </w:tbl>
    <w:p>
      <w:pPr>
        <w:pStyle w:val="79"/>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四、环境保护设施调试效果</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（一）环保设施处理效率</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本次验收监测期间，项目生产工况稳定，环保设施运行正常，符合环境影响报告表及其环评批复的要求。</w:t>
      </w:r>
    </w:p>
    <w:p>
      <w:pPr>
        <w:pStyle w:val="79"/>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（二）污染物排放情况</w:t>
      </w:r>
    </w:p>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1、废水处理设施</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项目</w:t>
      </w:r>
      <w:r>
        <w:rPr>
          <w:rFonts w:ascii="Times New Roman" w:hAnsi="Times New Roman" w:cs="Times New Roman"/>
          <w:color w:val="FF0000"/>
          <w:sz w:val="28"/>
          <w:szCs w:val="28"/>
        </w:rPr>
        <w:t>所产生的废水最终进入赵庄赵庄污水处理场五期轧区污水处理系统处理</w:t>
      </w:r>
      <w:r>
        <w:rPr>
          <w:rFonts w:ascii="Times New Roman" w:hAnsi="Times New Roman" w:cs="Times New Roman"/>
          <w:color w:val="000000"/>
          <w:sz w:val="28"/>
          <w:szCs w:val="28"/>
        </w:rPr>
        <w:t>。</w:t>
      </w:r>
      <w:r>
        <w:rPr>
          <w:rFonts w:hint="eastAsia" w:ascii="Times New Roman" w:hAnsi="Times New Roman" w:cs="Times New Roman"/>
          <w:color w:val="000000"/>
          <w:sz w:val="28"/>
          <w:szCs w:val="28"/>
        </w:rPr>
        <w:t>监测结果表明，</w:t>
      </w:r>
      <w:r>
        <w:rPr>
          <w:rFonts w:ascii="Times New Roman" w:hAnsi="Times New Roman" w:cs="Times New Roman"/>
          <w:color w:val="000000"/>
          <w:sz w:val="28"/>
          <w:szCs w:val="28"/>
        </w:rPr>
        <w:t>处理系统出水PH 7.36~7.61，SS浓度7~13mg/L，氨氮浓度2.22~2.71mg/L，石油类浓度未检出，六价铬未检出，总铬未检出，总氮浓度 6.44~8.83mg/L，总磷浓度 0.179~0.236 mg/L，总铁未检出，符合《钢铁工业水污染物排放标准》（GB 13456-2012）表3中钢铁联合企业排放标准。</w:t>
      </w:r>
    </w:p>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2、废气污染物</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（1）有组织排放</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拉矫废气：酸洗—轧机联合机组中拉矫除尘器监测结果</w:t>
      </w:r>
      <w:bookmarkStart w:id="30" w:name="_Hlk38858835"/>
      <w:r>
        <w:rPr>
          <w:rFonts w:hint="eastAsia" w:ascii="Times New Roman" w:hAnsi="Times New Roman" w:cs="Times New Roman"/>
          <w:color w:val="000000"/>
          <w:sz w:val="28"/>
          <w:szCs w:val="28"/>
        </w:rPr>
        <w:t>表明</w:t>
      </w:r>
      <w:bookmarkEnd w:id="30"/>
      <w:r>
        <w:rPr>
          <w:rFonts w:ascii="Times New Roman" w:hAnsi="Times New Roman" w:cs="Times New Roman"/>
          <w:color w:val="000000"/>
          <w:sz w:val="28"/>
          <w:szCs w:val="28"/>
        </w:rPr>
        <w:t>，颗粒物排放浓度在7.4~9.1 mg/m³，符合《轧钢工业大气污染物排放标准》GB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酸洗酸雾：酸洗—轧机联合机组中盐酸酸雾处理系统监测结果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，酸洗酸雾排放浓度4.18~4.92mg/m³，符合《轧钢工业大气污染物排放标准》GB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退火炉废气：连续退火及涂绝缘机组配置的退火炉废气监测结果表明，排放的SO2浓度低于检出限，氮氧化物的折算排放浓度为116~138mg/m³、颗粒物（烟尘）的折算排放浓度11.4~14.8mg/m³，均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干燥炉废气：监测结果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，连续退火及涂绝缘层机组的干燥炉排放的SO2低于检出限、氮氧化物折算排放浓度121~134mg/m³、颗粒物（烟尘）折算排放浓度13.4~14.5mg/m³、非甲烷总烃排放浓度2.00~3.41mg/m³符合《轧钢工业大气污染物排放标准》GB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涂层废气：监测结果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连续退火及涂层绝缘层机组涂层铬酸雾处理系统排放的铬酸雾、苯、甲苯、二甲苯、非甲烷总烃浓度符合符合《轧钢工业大气污染物排放标准》GB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酸再生废气：监测结果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酸再生工序排放的HCl、颗粒物符合《轧钢工业大气污染物排放标准》GB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酸再生洗涤塔废气：监测结果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，酸再生站除氯洗涤塔排放的氯气、二氧化硫、氮氧化物浓度符合《大气污染物综合排放标准》GB 16297-1996 中标2中二级标准的限值要求。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酸再生氧化铁除尘器：</w:t>
      </w:r>
      <w:bookmarkStart w:id="31" w:name="_Hlk38858967"/>
      <w:r>
        <w:rPr>
          <w:rFonts w:ascii="Times New Roman" w:hAnsi="Times New Roman" w:cs="Times New Roman"/>
          <w:color w:val="000000"/>
          <w:sz w:val="28"/>
          <w:szCs w:val="28"/>
        </w:rPr>
        <w:t>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w:t>
      </w:r>
      <w:bookmarkEnd w:id="31"/>
      <w:r>
        <w:rPr>
          <w:rFonts w:ascii="Times New Roman" w:hAnsi="Times New Roman" w:cs="Times New Roman"/>
          <w:color w:val="000000"/>
          <w:sz w:val="28"/>
          <w:szCs w:val="28"/>
        </w:rPr>
        <w:t>氧化铁粉尘除尘器排放的颗粒物浓度符合《轧钢工业大气污染物排放标准》GB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碱洗碱雾：碱喷淋工段碱雾处理系统出口监测结果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，排放的碱雾浓度符合《轧钢工业大气污染物排放标准》GB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轧机油雾：轧机油雾净化系统监测结果</w:t>
      </w:r>
      <w:r>
        <w:rPr>
          <w:rFonts w:hint="eastAsia" w:ascii="Times New Roman" w:hAnsi="Times New Roman" w:cs="Times New Roman"/>
          <w:color w:val="000000"/>
          <w:sz w:val="28"/>
          <w:szCs w:val="28"/>
        </w:rPr>
        <w:t>表明</w:t>
      </w:r>
      <w:r>
        <w:rPr>
          <w:rFonts w:ascii="Times New Roman" w:hAnsi="Times New Roman" w:cs="Times New Roman"/>
          <w:color w:val="000000"/>
          <w:sz w:val="28"/>
          <w:szCs w:val="28"/>
        </w:rPr>
        <w:t>，排放油雾浓度符合《轧钢工业大气污染物排放标准》GB 28665-2012中表3中的限值要求。</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（2）厂界无组织排放</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厂界无组织排放验收监测结果表明：颗粒物浓度范围0.41~0.54mg/m³、氯化氢浓度范围0.112~0.130mg/m³，氯化氢浓度范围0.112~0.130mg/m³，苯浓度范围0.0326~0.0437mg/m³、甲苯浓度范围未检出、二甲苯浓度范围0.0274~0.0356mg/m³、非甲烷总烃浓度范围1.52~1.80mg/m³，达到了《轧钢工业大气污染物排放标准》（GB28665-2013）表4中大气污染物无组织排放限值的要求，达标率100%。</w:t>
      </w:r>
    </w:p>
    <w:p>
      <w:pPr>
        <w:autoSpaceDE w:val="0"/>
        <w:autoSpaceDN w:val="0"/>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3、厂界噪声</w:t>
      </w:r>
    </w:p>
    <w:p>
      <w:pPr>
        <w:autoSpaceDE w:val="0"/>
        <w:autoSpaceDN w:val="0"/>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厂界噪声验收监测结果表明：昼间噪声测试值范围50.7~59.7dB（A），夜间噪声测试值范围48.6~53.5dB（A），达到GB12348-2008《工业企业厂界环境噪声排放标准》3类标准限值，达标率100%。</w:t>
      </w:r>
    </w:p>
    <w:p>
      <w:pPr>
        <w:autoSpaceDE w:val="0"/>
        <w:autoSpaceDN w:val="0"/>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4、固体废物</w:t>
      </w:r>
    </w:p>
    <w:p>
      <w:pPr>
        <w:pStyle w:val="6"/>
        <w:adjustRightInd w:val="0"/>
        <w:snapToGrid w:val="0"/>
        <w:spacing w:line="500" w:lineRule="exact"/>
        <w:ind w:firstLine="560" w:firstLineChars="200"/>
        <w:rPr>
          <w:bCs/>
          <w:sz w:val="28"/>
          <w:szCs w:val="28"/>
        </w:rPr>
      </w:pPr>
      <w:r>
        <w:rPr>
          <w:bCs/>
          <w:sz w:val="28"/>
          <w:szCs w:val="28"/>
        </w:rPr>
        <w:t>（1）一般固体废物</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①</w:t>
      </w:r>
      <w:r>
        <w:rPr>
          <w:rFonts w:ascii="Times New Roman" w:hAnsi="Times New Roman" w:cs="Times New Roman"/>
          <w:bCs/>
          <w:color w:val="000000"/>
          <w:sz w:val="28"/>
          <w:szCs w:val="28"/>
        </w:rPr>
        <w:t>切头、切边、切尾。钢板在横切、纵切过程中切割下的钢板边角料，返回</w:t>
      </w:r>
      <w:r>
        <w:rPr>
          <w:rFonts w:hint="eastAsia" w:ascii="Times New Roman" w:hAnsi="Times New Roman" w:cs="Times New Roman"/>
          <w:bCs/>
          <w:color w:val="000000"/>
          <w:sz w:val="28"/>
          <w:szCs w:val="28"/>
        </w:rPr>
        <w:t>公司</w:t>
      </w:r>
      <w:r>
        <w:rPr>
          <w:rFonts w:ascii="Times New Roman" w:hAnsi="Times New Roman" w:cs="Times New Roman"/>
          <w:bCs/>
          <w:color w:val="000000"/>
          <w:sz w:val="28"/>
          <w:szCs w:val="28"/>
        </w:rPr>
        <w:t>炼钢厂作为废钢原料进行综合利用。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②</w:t>
      </w:r>
      <w:r>
        <w:rPr>
          <w:rFonts w:ascii="Times New Roman" w:hAnsi="Times New Roman" w:cs="Times New Roman"/>
          <w:bCs/>
          <w:color w:val="000000"/>
          <w:sz w:val="28"/>
          <w:szCs w:val="28"/>
        </w:rPr>
        <w:t>铁磷。拉矫机产生铁磷，全部送</w:t>
      </w:r>
      <w:r>
        <w:rPr>
          <w:rFonts w:hint="eastAsia" w:ascii="Times New Roman" w:hAnsi="Times New Roman" w:cs="Times New Roman"/>
          <w:bCs/>
          <w:color w:val="000000"/>
          <w:sz w:val="28"/>
          <w:szCs w:val="28"/>
        </w:rPr>
        <w:t>公司</w:t>
      </w:r>
      <w:r>
        <w:rPr>
          <w:rFonts w:ascii="Times New Roman" w:hAnsi="Times New Roman" w:cs="Times New Roman"/>
          <w:bCs/>
          <w:sz w:val="28"/>
          <w:szCs w:val="28"/>
        </w:rPr>
        <w:t>烧结</w:t>
      </w:r>
      <w:r>
        <w:rPr>
          <w:rFonts w:hint="eastAsia" w:ascii="Times New Roman" w:hAnsi="Times New Roman" w:cs="Times New Roman"/>
          <w:bCs/>
          <w:sz w:val="28"/>
          <w:szCs w:val="28"/>
        </w:rPr>
        <w:t>工序</w:t>
      </w:r>
      <w:r>
        <w:rPr>
          <w:rFonts w:ascii="Times New Roman" w:hAnsi="Times New Roman" w:cs="Times New Roman"/>
          <w:bCs/>
          <w:color w:val="000000"/>
          <w:sz w:val="28"/>
          <w:szCs w:val="28"/>
        </w:rPr>
        <w:t>回收利用。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③</w:t>
      </w:r>
      <w:r>
        <w:rPr>
          <w:rFonts w:ascii="Times New Roman" w:hAnsi="Times New Roman" w:cs="Times New Roman"/>
          <w:bCs/>
          <w:color w:val="000000"/>
          <w:sz w:val="28"/>
          <w:szCs w:val="28"/>
        </w:rPr>
        <w:t>中和三站污泥。中和三站污泥经高密度污泥处理工艺处理后的污泥送入</w:t>
      </w:r>
      <w:r>
        <w:rPr>
          <w:rFonts w:hint="eastAsia" w:ascii="Times New Roman" w:hAnsi="Times New Roman" w:cs="Times New Roman"/>
          <w:bCs/>
          <w:color w:val="000000"/>
          <w:sz w:val="28"/>
          <w:szCs w:val="28"/>
        </w:rPr>
        <w:t>公司</w:t>
      </w:r>
      <w:r>
        <w:rPr>
          <w:rFonts w:ascii="Times New Roman" w:hAnsi="Times New Roman" w:cs="Times New Roman"/>
          <w:bCs/>
          <w:color w:val="000000"/>
          <w:sz w:val="28"/>
          <w:szCs w:val="28"/>
        </w:rPr>
        <w:t>烧结</w:t>
      </w:r>
      <w:r>
        <w:rPr>
          <w:rFonts w:hint="eastAsia" w:ascii="Times New Roman" w:hAnsi="Times New Roman" w:cs="Times New Roman"/>
          <w:bCs/>
          <w:color w:val="000000"/>
          <w:sz w:val="28"/>
          <w:szCs w:val="28"/>
        </w:rPr>
        <w:t>工序</w:t>
      </w:r>
      <w:r>
        <w:rPr>
          <w:rFonts w:ascii="Times New Roman" w:hAnsi="Times New Roman" w:cs="Times New Roman"/>
          <w:bCs/>
          <w:color w:val="000000"/>
          <w:sz w:val="28"/>
          <w:szCs w:val="28"/>
        </w:rPr>
        <w:t>参与配料。</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④</w:t>
      </w:r>
      <w:r>
        <w:rPr>
          <w:rFonts w:ascii="Times New Roman" w:hAnsi="Times New Roman" w:cs="Times New Roman"/>
          <w:bCs/>
          <w:color w:val="000000"/>
          <w:sz w:val="28"/>
          <w:szCs w:val="28"/>
        </w:rPr>
        <w:t>氧化铁粉。酸再生过程产生的氧化铁粉全部外售。</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⑤</w:t>
      </w:r>
      <w:r>
        <w:rPr>
          <w:rFonts w:ascii="Times New Roman" w:hAnsi="Times New Roman" w:cs="Times New Roman"/>
          <w:bCs/>
          <w:color w:val="000000"/>
          <w:sz w:val="28"/>
          <w:szCs w:val="28"/>
        </w:rPr>
        <w:t>泥饼。硅钢酸洗过程产生的废酸中含有少量的Fe等金属，经酸再生系统处理后，产生泥饼经中性化处理后，送</w:t>
      </w:r>
      <w:r>
        <w:rPr>
          <w:rFonts w:hint="eastAsia" w:ascii="Times New Roman" w:hAnsi="Times New Roman" w:cs="Times New Roman"/>
          <w:bCs/>
          <w:color w:val="000000"/>
          <w:sz w:val="28"/>
          <w:szCs w:val="28"/>
        </w:rPr>
        <w:t>公司</w:t>
      </w:r>
      <w:r>
        <w:rPr>
          <w:rFonts w:ascii="Times New Roman" w:hAnsi="Times New Roman" w:cs="Times New Roman"/>
          <w:bCs/>
          <w:color w:val="000000"/>
          <w:sz w:val="28"/>
          <w:szCs w:val="28"/>
        </w:rPr>
        <w:t>烧结</w:t>
      </w:r>
      <w:r>
        <w:rPr>
          <w:rFonts w:hint="eastAsia" w:ascii="Times New Roman" w:hAnsi="Times New Roman" w:cs="Times New Roman"/>
          <w:bCs/>
          <w:color w:val="000000"/>
          <w:sz w:val="28"/>
          <w:szCs w:val="28"/>
        </w:rPr>
        <w:t>工序</w:t>
      </w:r>
      <w:r>
        <w:rPr>
          <w:rFonts w:ascii="Times New Roman" w:hAnsi="Times New Roman" w:cs="Times New Roman"/>
          <w:bCs/>
          <w:color w:val="000000"/>
          <w:sz w:val="28"/>
          <w:szCs w:val="28"/>
        </w:rPr>
        <w:t>参与配料。</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ascii="Times New Roman" w:hAnsi="Times New Roman" w:cs="Times New Roman"/>
          <w:bCs/>
          <w:color w:val="000000"/>
          <w:sz w:val="28"/>
          <w:szCs w:val="28"/>
        </w:rPr>
        <w:t>（2）危险固体废物</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①</w:t>
      </w:r>
      <w:r>
        <w:rPr>
          <w:rFonts w:ascii="Times New Roman" w:hAnsi="Times New Roman" w:cs="Times New Roman"/>
          <w:bCs/>
          <w:color w:val="000000"/>
          <w:sz w:val="28"/>
          <w:szCs w:val="28"/>
        </w:rPr>
        <w:t>酸洗废酸。酸洗废酸产生量为7.5m³/h，送项目配套建设</w:t>
      </w:r>
      <w:r>
        <w:rPr>
          <w:rFonts w:hint="eastAsia" w:ascii="Times New Roman" w:hAnsi="Times New Roman" w:cs="Times New Roman"/>
          <w:bCs/>
          <w:color w:val="000000"/>
          <w:sz w:val="28"/>
          <w:szCs w:val="28"/>
        </w:rPr>
        <w:t>的</w:t>
      </w:r>
      <w:r>
        <w:rPr>
          <w:rFonts w:ascii="Times New Roman" w:hAnsi="Times New Roman" w:cs="Times New Roman"/>
          <w:bCs/>
          <w:color w:val="000000"/>
          <w:sz w:val="28"/>
          <w:szCs w:val="28"/>
        </w:rPr>
        <w:t>酸再生装置再生利用。</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②</w:t>
      </w:r>
      <w:r>
        <w:rPr>
          <w:rFonts w:ascii="Times New Roman" w:hAnsi="Times New Roman" w:cs="Times New Roman"/>
          <w:bCs/>
          <w:color w:val="000000"/>
          <w:sz w:val="28"/>
          <w:szCs w:val="28"/>
        </w:rPr>
        <w:t>废乳化液、碱油废水。项目废乳化液产生量为2m³/h、碱油废水产生量84 m³/h，经管道送太钢公司综合处理站统一处理后回用</w:t>
      </w:r>
      <w:r>
        <w:rPr>
          <w:rFonts w:hint="eastAsia" w:ascii="Times New Roman" w:hAnsi="Times New Roman" w:cs="Times New Roman"/>
          <w:bCs/>
          <w:color w:val="000000"/>
          <w:sz w:val="28"/>
          <w:szCs w:val="28"/>
        </w:rPr>
        <w:t>。</w:t>
      </w:r>
    </w:p>
    <w:p>
      <w:pPr>
        <w:overflowPunct w:val="0"/>
        <w:autoSpaceDE w:val="0"/>
        <w:autoSpaceDN w:val="0"/>
        <w:adjustRightInd w:val="0"/>
        <w:snapToGrid w:val="0"/>
        <w:spacing w:line="500" w:lineRule="exact"/>
        <w:ind w:firstLine="560" w:firstLineChars="200"/>
        <w:jc w:val="left"/>
        <w:rPr>
          <w:rFonts w:ascii="Times New Roman" w:hAnsi="Times New Roman" w:cs="Times New Roman"/>
          <w:bCs/>
          <w:color w:val="000000"/>
          <w:sz w:val="28"/>
          <w:szCs w:val="28"/>
        </w:rPr>
      </w:pPr>
      <w:r>
        <w:rPr>
          <w:rFonts w:hint="eastAsia" w:ascii="宋体" w:hAnsi="宋体" w:cs="宋体"/>
          <w:bCs/>
          <w:color w:val="000000"/>
          <w:sz w:val="28"/>
          <w:szCs w:val="28"/>
        </w:rPr>
        <w:t>③</w:t>
      </w:r>
      <w:r>
        <w:rPr>
          <w:rFonts w:ascii="Times New Roman" w:hAnsi="Times New Roman" w:cs="Times New Roman"/>
          <w:bCs/>
          <w:sz w:val="28"/>
          <w:szCs w:val="28"/>
        </w:rPr>
        <w:t>中和三站含铬污泥。含铬废水处理产生的污泥</w:t>
      </w:r>
      <w:r>
        <w:rPr>
          <w:rFonts w:hint="eastAsia" w:ascii="Times New Roman" w:hAnsi="Times New Roman" w:cs="Times New Roman"/>
          <w:bCs/>
          <w:sz w:val="28"/>
          <w:szCs w:val="28"/>
        </w:rPr>
        <w:t xml:space="preserve">，产生量 </w:t>
      </w:r>
      <w:r>
        <w:rPr>
          <w:rFonts w:ascii="Times New Roman" w:hAnsi="Times New Roman" w:cs="Times New Roman"/>
          <w:bCs/>
          <w:sz w:val="28"/>
          <w:szCs w:val="28"/>
        </w:rPr>
        <w:t>2t/a，</w:t>
      </w:r>
      <w:r>
        <w:rPr>
          <w:rFonts w:ascii="Times New Roman" w:hAnsi="Times New Roman" w:cs="Times New Roman"/>
          <w:bCs/>
          <w:color w:val="000000"/>
          <w:sz w:val="28"/>
          <w:szCs w:val="28"/>
        </w:rPr>
        <w:t>送</w:t>
      </w:r>
      <w:r>
        <w:rPr>
          <w:rFonts w:hint="eastAsia" w:ascii="Times New Roman" w:hAnsi="Times New Roman" w:cs="Times New Roman"/>
          <w:bCs/>
          <w:color w:val="000000"/>
          <w:sz w:val="28"/>
          <w:szCs w:val="28"/>
        </w:rPr>
        <w:t>公司</w:t>
      </w:r>
      <w:r>
        <w:rPr>
          <w:rFonts w:ascii="Times New Roman" w:hAnsi="Times New Roman" w:cs="Times New Roman"/>
          <w:bCs/>
          <w:color w:val="000000"/>
          <w:sz w:val="28"/>
          <w:szCs w:val="28"/>
        </w:rPr>
        <w:t>烧结</w:t>
      </w:r>
      <w:r>
        <w:rPr>
          <w:rFonts w:hint="eastAsia" w:ascii="Times New Roman" w:hAnsi="Times New Roman" w:cs="Times New Roman"/>
          <w:bCs/>
          <w:color w:val="000000"/>
          <w:sz w:val="28"/>
          <w:szCs w:val="28"/>
        </w:rPr>
        <w:t>工序</w:t>
      </w:r>
      <w:r>
        <w:rPr>
          <w:rFonts w:ascii="Times New Roman" w:hAnsi="Times New Roman" w:cs="Times New Roman"/>
          <w:bCs/>
          <w:color w:val="000000"/>
          <w:sz w:val="28"/>
          <w:szCs w:val="28"/>
        </w:rPr>
        <w:t>参与配料。</w:t>
      </w:r>
    </w:p>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5、污染物排放总量</w:t>
      </w:r>
    </w:p>
    <w:p>
      <w:pPr>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经校核，本项目氮氧化物 、二氧化硫、烟尘、粉尘排放总量分别为150.51t/a、2.523t/a、11.734t/a、1.958t/a，可以满足晋环函[2012]921号文《关于核定山西太钢不锈钢股份有限公司硅钢冷连轧技术改造项目污染物排放总量的函》中规定的分别为192.78t/a、10.04t/a、13.98t/a、15.92t/a总量控制指标。</w:t>
      </w:r>
    </w:p>
    <w:p>
      <w:pPr>
        <w:pStyle w:val="79"/>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五、工程建设对环境的影响</w:t>
      </w:r>
    </w:p>
    <w:p>
      <w:pPr>
        <w:pStyle w:val="79"/>
        <w:adjustRightInd w:val="0"/>
        <w:snapToGrid w:val="0"/>
        <w:spacing w:before="0" w:beforeAutospacing="0" w:after="0" w:afterAutospacing="0"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项目生产废水全部处理、利用不外排；各产废气部位采取相应</w:t>
      </w:r>
      <w:r>
        <w:rPr>
          <w:rFonts w:hint="eastAsia" w:ascii="Times New Roman" w:hAnsi="Times New Roman" w:cs="Times New Roman"/>
          <w:color w:val="000000"/>
          <w:sz w:val="28"/>
          <w:szCs w:val="28"/>
        </w:rPr>
        <w:t>净化</w:t>
      </w:r>
      <w:r>
        <w:rPr>
          <w:rFonts w:ascii="Times New Roman" w:hAnsi="Times New Roman" w:cs="Times New Roman"/>
          <w:color w:val="000000"/>
          <w:sz w:val="28"/>
          <w:szCs w:val="28"/>
        </w:rPr>
        <w:t>措施；产噪设备采取隔声、降噪等措施；各类固废、危废采取相应处置和回收利用措施。由验收监测结果可知，各污染物满足达标排放，周围环境质量可达到验收执行标准。工程建设对周围环境产生的影响较小。</w:t>
      </w:r>
    </w:p>
    <w:p>
      <w:pPr>
        <w:pStyle w:val="79"/>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六、验收结论</w:t>
      </w:r>
    </w:p>
    <w:p>
      <w:pPr>
        <w:overflowPunct w:val="0"/>
        <w:autoSpaceDE w:val="0"/>
        <w:autoSpaceDN w:val="0"/>
        <w:adjustRightInd w:val="0"/>
        <w:snapToGrid w:val="0"/>
        <w:spacing w:line="500" w:lineRule="exact"/>
        <w:ind w:firstLine="560" w:firstLineChars="200"/>
        <w:jc w:val="left"/>
        <w:rPr>
          <w:rFonts w:ascii="Times New Roman" w:hAnsi="Times New Roman" w:cs="Times New Roman"/>
          <w:kern w:val="0"/>
        </w:rPr>
      </w:pPr>
      <w:r>
        <w:rPr>
          <w:rFonts w:ascii="Times New Roman" w:hAnsi="Times New Roman" w:cs="Times New Roman"/>
          <w:color w:val="000000"/>
          <w:kern w:val="0"/>
          <w:sz w:val="28"/>
          <w:szCs w:val="28"/>
        </w:rPr>
        <w:t>山西太钢不锈钢股份有限公司硅钢冷连轧技术改造项目进行了</w:t>
      </w:r>
      <w:r>
        <w:rPr>
          <w:rFonts w:ascii="Times New Roman" w:hAnsi="Times New Roman" w:cs="Times New Roman"/>
          <w:bCs/>
          <w:color w:val="000000"/>
          <w:sz w:val="28"/>
          <w:szCs w:val="28"/>
        </w:rPr>
        <w:t>环境影响评价，报告书经原山西省环境保护厅批复。工程建设中基本按照环保要求进行了环保设施的建设，验收监测结果表明，污染物可以做到达标排放，符合总</w:t>
      </w:r>
      <w:bookmarkStart w:id="32" w:name="_GoBack"/>
      <w:bookmarkEnd w:id="32"/>
      <w:r>
        <w:rPr>
          <w:rFonts w:ascii="Times New Roman" w:hAnsi="Times New Roman" w:cs="Times New Roman"/>
          <w:bCs/>
          <w:color w:val="000000"/>
          <w:sz w:val="28"/>
          <w:szCs w:val="28"/>
        </w:rPr>
        <w:t>量控制指标要求，不存在国家规定的验收不合格情形。验收组认为，本项目竣工环境保护验收为基本合格。</w:t>
      </w:r>
    </w:p>
    <w:p>
      <w:pPr>
        <w:pStyle w:val="79"/>
        <w:adjustRightInd w:val="0"/>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p>
    <w:p>
      <w:pPr>
        <w:pStyle w:val="79"/>
        <w:adjustRightInd w:val="0"/>
        <w:snapToGrid w:val="0"/>
        <w:spacing w:before="0" w:beforeAutospacing="0" w:after="0" w:afterAutospacing="0" w:line="500" w:lineRule="exact"/>
        <w:ind w:firstLine="6440" w:firstLineChars="2300"/>
        <w:jc w:val="both"/>
        <w:rPr>
          <w:rFonts w:ascii="Times New Roman" w:hAnsi="Times New Roman" w:cs="Times New Roman"/>
          <w:color w:val="000000"/>
          <w:sz w:val="28"/>
          <w:szCs w:val="28"/>
        </w:rPr>
        <w:sectPr>
          <w:footerReference r:id="rId3" w:type="default"/>
          <w:pgSz w:w="11906" w:h="16838"/>
          <w:pgMar w:top="1417" w:right="1587" w:bottom="1417" w:left="1701" w:header="851" w:footer="992" w:gutter="0"/>
          <w:cols w:space="720" w:num="1"/>
          <w:docGrid w:type="lines" w:linePitch="312" w:charSpace="0"/>
        </w:sectPr>
      </w:pPr>
      <w:r>
        <w:rPr>
          <w:rFonts w:ascii="Times New Roman" w:hAnsi="Times New Roman" w:cs="Times New Roman"/>
          <w:sz w:val="28"/>
          <w:szCs w:val="28"/>
        </w:rPr>
        <w:t>2020年4月27日</w:t>
      </w:r>
    </w:p>
    <w:p>
      <w:pPr>
        <w:pStyle w:val="79"/>
        <w:spacing w:before="0" w:beforeAutospacing="0" w:after="0" w:afterAutospacing="0" w:line="520" w:lineRule="exact"/>
        <w:ind w:firstLine="560" w:firstLineChars="200"/>
        <w:jc w:val="both"/>
        <w:rPr>
          <w:rFonts w:ascii="Times New Roman" w:hAnsi="Times New Roman" w:cs="Times New Roman"/>
          <w:sz w:val="28"/>
          <w:szCs w:val="28"/>
        </w:rPr>
      </w:pPr>
    </w:p>
    <w:sectPr>
      <w:pgSz w:w="11907" w:h="16839"/>
      <w:pgMar w:top="1440" w:right="1287" w:bottom="1440" w:left="1797" w:header="907" w:footer="1021"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PMingLiU">
    <w:panose1 w:val="02020500000000000000"/>
    <w:charset w:val="88"/>
    <w:family w:val="roman"/>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57"/>
        <w:rFonts w:ascii="Times New Roman" w:hAnsi="Times New Roman" w:cs="Times New Roman"/>
      </w:rPr>
    </w:pPr>
    <w:r>
      <w:rPr>
        <w:rFonts w:ascii="Times New Roman" w:hAnsi="Times New Roman" w:cs="Times New Roman"/>
      </w:rPr>
      <w:fldChar w:fldCharType="begin"/>
    </w:r>
    <w:r>
      <w:rPr>
        <w:rStyle w:val="57"/>
        <w:rFonts w:ascii="Times New Roman" w:hAnsi="Times New Roman" w:cs="Times New Roman"/>
      </w:rPr>
      <w:instrText xml:space="preserve">PAGE  </w:instrText>
    </w:r>
    <w:r>
      <w:rPr>
        <w:rFonts w:ascii="Times New Roman" w:hAnsi="Times New Roman" w:cs="Times New Roman"/>
      </w:rPr>
      <w:fldChar w:fldCharType="separate"/>
    </w:r>
    <w:r>
      <w:rPr>
        <w:rStyle w:val="57"/>
        <w:rFonts w:ascii="Times New Roman" w:hAnsi="Times New Roman" w:cs="Times New Roman"/>
      </w:rPr>
      <w:t>1</w:t>
    </w:r>
    <w:r>
      <w:rPr>
        <w:rFonts w:ascii="Times New Roman" w:hAnsi="Times New Roman" w:cs="Times New Roman"/>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F363E"/>
    <w:rsid w:val="0001281A"/>
    <w:rsid w:val="00021A86"/>
    <w:rsid w:val="000326B5"/>
    <w:rsid w:val="00037630"/>
    <w:rsid w:val="00047464"/>
    <w:rsid w:val="00050165"/>
    <w:rsid w:val="000507DF"/>
    <w:rsid w:val="000667D5"/>
    <w:rsid w:val="00066E43"/>
    <w:rsid w:val="00071976"/>
    <w:rsid w:val="000A31D5"/>
    <w:rsid w:val="000E7304"/>
    <w:rsid w:val="00107086"/>
    <w:rsid w:val="00107B08"/>
    <w:rsid w:val="00115069"/>
    <w:rsid w:val="0013166C"/>
    <w:rsid w:val="0013317C"/>
    <w:rsid w:val="00142C7C"/>
    <w:rsid w:val="00143E24"/>
    <w:rsid w:val="00180E87"/>
    <w:rsid w:val="0018468E"/>
    <w:rsid w:val="00194D9F"/>
    <w:rsid w:val="001B515C"/>
    <w:rsid w:val="001C1712"/>
    <w:rsid w:val="001F4571"/>
    <w:rsid w:val="001F4B69"/>
    <w:rsid w:val="0022168B"/>
    <w:rsid w:val="00223A4A"/>
    <w:rsid w:val="00225172"/>
    <w:rsid w:val="002307B3"/>
    <w:rsid w:val="00232B9D"/>
    <w:rsid w:val="00242A19"/>
    <w:rsid w:val="00252851"/>
    <w:rsid w:val="00252BE6"/>
    <w:rsid w:val="0025751C"/>
    <w:rsid w:val="0026055B"/>
    <w:rsid w:val="00277FD4"/>
    <w:rsid w:val="002951D1"/>
    <w:rsid w:val="002C65BE"/>
    <w:rsid w:val="002D31E4"/>
    <w:rsid w:val="002D5BE2"/>
    <w:rsid w:val="002F468A"/>
    <w:rsid w:val="0030186C"/>
    <w:rsid w:val="00301DEB"/>
    <w:rsid w:val="00304C72"/>
    <w:rsid w:val="003229B0"/>
    <w:rsid w:val="003313AF"/>
    <w:rsid w:val="003373B2"/>
    <w:rsid w:val="0033781A"/>
    <w:rsid w:val="0036031B"/>
    <w:rsid w:val="003607ED"/>
    <w:rsid w:val="003637AD"/>
    <w:rsid w:val="00382FBC"/>
    <w:rsid w:val="00393D20"/>
    <w:rsid w:val="003963DA"/>
    <w:rsid w:val="003B0F4E"/>
    <w:rsid w:val="003C070C"/>
    <w:rsid w:val="003C77CD"/>
    <w:rsid w:val="003D7671"/>
    <w:rsid w:val="003E551D"/>
    <w:rsid w:val="00403C4D"/>
    <w:rsid w:val="00414B5C"/>
    <w:rsid w:val="00414DFB"/>
    <w:rsid w:val="00420368"/>
    <w:rsid w:val="00421B60"/>
    <w:rsid w:val="004257AB"/>
    <w:rsid w:val="00445416"/>
    <w:rsid w:val="00446A27"/>
    <w:rsid w:val="00463846"/>
    <w:rsid w:val="004827C6"/>
    <w:rsid w:val="00486FE2"/>
    <w:rsid w:val="004955B1"/>
    <w:rsid w:val="00496A27"/>
    <w:rsid w:val="004974AC"/>
    <w:rsid w:val="004A018C"/>
    <w:rsid w:val="004A033D"/>
    <w:rsid w:val="004A6E79"/>
    <w:rsid w:val="004C6AEC"/>
    <w:rsid w:val="004D3F00"/>
    <w:rsid w:val="004E2562"/>
    <w:rsid w:val="004F00C6"/>
    <w:rsid w:val="00515BAD"/>
    <w:rsid w:val="00520C2F"/>
    <w:rsid w:val="00573AAD"/>
    <w:rsid w:val="00582F6E"/>
    <w:rsid w:val="005A0650"/>
    <w:rsid w:val="005A1018"/>
    <w:rsid w:val="005D3997"/>
    <w:rsid w:val="005E1E5F"/>
    <w:rsid w:val="005F0FC3"/>
    <w:rsid w:val="005F43BA"/>
    <w:rsid w:val="00601293"/>
    <w:rsid w:val="00605620"/>
    <w:rsid w:val="0060596E"/>
    <w:rsid w:val="00625FEB"/>
    <w:rsid w:val="0063393E"/>
    <w:rsid w:val="00635A1F"/>
    <w:rsid w:val="006414A8"/>
    <w:rsid w:val="0065229A"/>
    <w:rsid w:val="00662819"/>
    <w:rsid w:val="00664A2A"/>
    <w:rsid w:val="00666FA2"/>
    <w:rsid w:val="00673C45"/>
    <w:rsid w:val="0069793D"/>
    <w:rsid w:val="006C2892"/>
    <w:rsid w:val="006D1387"/>
    <w:rsid w:val="006D2839"/>
    <w:rsid w:val="006D3F4A"/>
    <w:rsid w:val="006D423D"/>
    <w:rsid w:val="0070531B"/>
    <w:rsid w:val="0070540C"/>
    <w:rsid w:val="00714D0F"/>
    <w:rsid w:val="007158E0"/>
    <w:rsid w:val="00740926"/>
    <w:rsid w:val="00744DAE"/>
    <w:rsid w:val="007568A1"/>
    <w:rsid w:val="00762BA1"/>
    <w:rsid w:val="00773CF6"/>
    <w:rsid w:val="00792343"/>
    <w:rsid w:val="0079375F"/>
    <w:rsid w:val="00795560"/>
    <w:rsid w:val="0079774C"/>
    <w:rsid w:val="007A34F3"/>
    <w:rsid w:val="007F40CD"/>
    <w:rsid w:val="00803FC2"/>
    <w:rsid w:val="0080712E"/>
    <w:rsid w:val="00812D34"/>
    <w:rsid w:val="008414C3"/>
    <w:rsid w:val="00846642"/>
    <w:rsid w:val="00887000"/>
    <w:rsid w:val="008B181B"/>
    <w:rsid w:val="008C5AEA"/>
    <w:rsid w:val="008F08A8"/>
    <w:rsid w:val="008F363E"/>
    <w:rsid w:val="0090612F"/>
    <w:rsid w:val="00913015"/>
    <w:rsid w:val="00921EFE"/>
    <w:rsid w:val="00935AF2"/>
    <w:rsid w:val="00937F09"/>
    <w:rsid w:val="00940FED"/>
    <w:rsid w:val="00942359"/>
    <w:rsid w:val="0096391E"/>
    <w:rsid w:val="0097008D"/>
    <w:rsid w:val="00974BDD"/>
    <w:rsid w:val="00983069"/>
    <w:rsid w:val="0098573A"/>
    <w:rsid w:val="00991DE6"/>
    <w:rsid w:val="009A1934"/>
    <w:rsid w:val="009B63D3"/>
    <w:rsid w:val="009C0E36"/>
    <w:rsid w:val="009C0ED4"/>
    <w:rsid w:val="009C58B3"/>
    <w:rsid w:val="009D3D82"/>
    <w:rsid w:val="009E4E35"/>
    <w:rsid w:val="00A01903"/>
    <w:rsid w:val="00A1265C"/>
    <w:rsid w:val="00A24F29"/>
    <w:rsid w:val="00A3789D"/>
    <w:rsid w:val="00A40FDC"/>
    <w:rsid w:val="00A459FA"/>
    <w:rsid w:val="00A5415F"/>
    <w:rsid w:val="00A62A43"/>
    <w:rsid w:val="00A83484"/>
    <w:rsid w:val="00A96EBE"/>
    <w:rsid w:val="00AA70B8"/>
    <w:rsid w:val="00AB2FBC"/>
    <w:rsid w:val="00AC575B"/>
    <w:rsid w:val="00AD2C91"/>
    <w:rsid w:val="00AF03FF"/>
    <w:rsid w:val="00B01554"/>
    <w:rsid w:val="00B17F06"/>
    <w:rsid w:val="00B24491"/>
    <w:rsid w:val="00B54328"/>
    <w:rsid w:val="00B743C4"/>
    <w:rsid w:val="00B814FC"/>
    <w:rsid w:val="00B8481D"/>
    <w:rsid w:val="00B97094"/>
    <w:rsid w:val="00BA5872"/>
    <w:rsid w:val="00BC38C2"/>
    <w:rsid w:val="00BC3FC1"/>
    <w:rsid w:val="00BD7A20"/>
    <w:rsid w:val="00BF7BD1"/>
    <w:rsid w:val="00C145EA"/>
    <w:rsid w:val="00C302AB"/>
    <w:rsid w:val="00C568F8"/>
    <w:rsid w:val="00C60226"/>
    <w:rsid w:val="00C72D2D"/>
    <w:rsid w:val="00C73032"/>
    <w:rsid w:val="00C743E5"/>
    <w:rsid w:val="00C848A6"/>
    <w:rsid w:val="00C91C5C"/>
    <w:rsid w:val="00C9699A"/>
    <w:rsid w:val="00CA46BD"/>
    <w:rsid w:val="00CB6966"/>
    <w:rsid w:val="00CC2C51"/>
    <w:rsid w:val="00CC2D63"/>
    <w:rsid w:val="00CC6488"/>
    <w:rsid w:val="00CD3B96"/>
    <w:rsid w:val="00CF6DAF"/>
    <w:rsid w:val="00D01AE1"/>
    <w:rsid w:val="00D066D0"/>
    <w:rsid w:val="00D10DBA"/>
    <w:rsid w:val="00D12423"/>
    <w:rsid w:val="00D15448"/>
    <w:rsid w:val="00D203B4"/>
    <w:rsid w:val="00D21B85"/>
    <w:rsid w:val="00D21DC9"/>
    <w:rsid w:val="00D6096D"/>
    <w:rsid w:val="00D70CBD"/>
    <w:rsid w:val="00D7593B"/>
    <w:rsid w:val="00D76058"/>
    <w:rsid w:val="00D813C3"/>
    <w:rsid w:val="00D86662"/>
    <w:rsid w:val="00DD11BD"/>
    <w:rsid w:val="00DD1E21"/>
    <w:rsid w:val="00E02170"/>
    <w:rsid w:val="00E27CCC"/>
    <w:rsid w:val="00E3574A"/>
    <w:rsid w:val="00E54675"/>
    <w:rsid w:val="00E650BB"/>
    <w:rsid w:val="00E66B53"/>
    <w:rsid w:val="00E726CC"/>
    <w:rsid w:val="00EA027F"/>
    <w:rsid w:val="00EA2AB4"/>
    <w:rsid w:val="00EB33F2"/>
    <w:rsid w:val="00EC6297"/>
    <w:rsid w:val="00EE0E64"/>
    <w:rsid w:val="00EE6D1C"/>
    <w:rsid w:val="00F0270F"/>
    <w:rsid w:val="00F05BF4"/>
    <w:rsid w:val="00F241CA"/>
    <w:rsid w:val="00F31C63"/>
    <w:rsid w:val="00F44EF9"/>
    <w:rsid w:val="00F5616E"/>
    <w:rsid w:val="00F66119"/>
    <w:rsid w:val="00F73EBB"/>
    <w:rsid w:val="00F7770D"/>
    <w:rsid w:val="00F80B53"/>
    <w:rsid w:val="00F81748"/>
    <w:rsid w:val="00F92EF8"/>
    <w:rsid w:val="00FA0185"/>
    <w:rsid w:val="00FC20B4"/>
    <w:rsid w:val="00FC593F"/>
    <w:rsid w:val="00FF3838"/>
    <w:rsid w:val="13D07F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4"/>
      <w:lang w:val="en-US" w:eastAsia="zh-CN" w:bidi="ar-SA"/>
    </w:rPr>
  </w:style>
  <w:style w:type="paragraph" w:styleId="2">
    <w:name w:val="heading 1"/>
    <w:basedOn w:val="1"/>
    <w:next w:val="1"/>
    <w:link w:val="8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77"/>
    <w:uiPriority w:val="0"/>
    <w:pPr>
      <w:widowControl/>
      <w:spacing w:before="260" w:after="260" w:line="2800" w:lineRule="atLeast"/>
      <w:ind w:firstLine="419"/>
      <w:textAlignment w:val="baseline"/>
      <w:outlineLvl w:val="1"/>
    </w:pPr>
    <w:rPr>
      <w:rFonts w:ascii="Arial" w:eastAsia="黑体"/>
      <w:b/>
      <w:color w:val="000000"/>
      <w:sz w:val="31"/>
      <w:u w:color="000000"/>
    </w:rPr>
  </w:style>
  <w:style w:type="paragraph" w:styleId="4">
    <w:name w:val="heading 3"/>
    <w:basedOn w:val="1"/>
    <w:next w:val="1"/>
    <w:uiPriority w:val="0"/>
    <w:pPr>
      <w:keepNext/>
      <w:keepLines/>
      <w:spacing w:before="260" w:after="260" w:line="416" w:lineRule="auto"/>
      <w:outlineLvl w:val="2"/>
    </w:pPr>
    <w:rPr>
      <w:b/>
      <w:bCs/>
      <w:sz w:val="32"/>
      <w:szCs w:val="32"/>
    </w:rPr>
  </w:style>
  <w:style w:type="paragraph" w:styleId="5">
    <w:name w:val="heading 4"/>
    <w:basedOn w:val="1"/>
    <w:next w:val="1"/>
    <w:uiPriority w:val="0"/>
    <w:pPr>
      <w:keepNext/>
      <w:keepLines/>
      <w:spacing w:before="280" w:after="290" w:line="376" w:lineRule="auto"/>
      <w:outlineLvl w:val="3"/>
    </w:pPr>
    <w:rPr>
      <w:rFonts w:ascii="Arial" w:hAnsi="Arial" w:eastAsia="黑体"/>
      <w:b/>
      <w:bCs/>
      <w:sz w:val="28"/>
      <w:szCs w:val="28"/>
    </w:rPr>
  </w:style>
  <w:style w:type="character" w:default="1" w:styleId="18">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91"/>
    <w:qFormat/>
    <w:uiPriority w:val="99"/>
    <w:pPr>
      <w:ind w:firstLine="420"/>
    </w:pPr>
    <w:rPr>
      <w:rFonts w:ascii="Times New Roman" w:hAnsi="Times New Roman" w:cs="Times New Roman"/>
    </w:rPr>
  </w:style>
  <w:style w:type="paragraph" w:styleId="7">
    <w:name w:val="Document Map"/>
    <w:basedOn w:val="1"/>
    <w:link w:val="85"/>
    <w:semiHidden/>
    <w:unhideWhenUsed/>
    <w:qFormat/>
    <w:uiPriority w:val="99"/>
    <w:rPr>
      <w:rFonts w:ascii="宋体"/>
      <w:sz w:val="18"/>
      <w:szCs w:val="18"/>
    </w:rPr>
  </w:style>
  <w:style w:type="paragraph" w:styleId="8">
    <w:name w:val="annotation text"/>
    <w:basedOn w:val="1"/>
    <w:link w:val="67"/>
    <w:qFormat/>
    <w:uiPriority w:val="99"/>
    <w:pPr>
      <w:jc w:val="left"/>
    </w:pPr>
  </w:style>
  <w:style w:type="paragraph" w:styleId="9">
    <w:name w:val="Body Text"/>
    <w:basedOn w:val="1"/>
    <w:link w:val="68"/>
    <w:qFormat/>
    <w:uiPriority w:val="0"/>
    <w:pPr>
      <w:spacing w:after="120"/>
    </w:pPr>
  </w:style>
  <w:style w:type="paragraph" w:styleId="10">
    <w:name w:val="Date"/>
    <w:basedOn w:val="1"/>
    <w:next w:val="1"/>
    <w:link w:val="83"/>
    <w:semiHidden/>
    <w:unhideWhenUsed/>
    <w:uiPriority w:val="99"/>
    <w:pPr>
      <w:ind w:left="100" w:leftChars="2500"/>
    </w:pPr>
  </w:style>
  <w:style w:type="paragraph" w:styleId="11">
    <w:name w:val="Balloon Text"/>
    <w:basedOn w:val="1"/>
    <w:uiPriority w:val="0"/>
    <w:rPr>
      <w:sz w:val="18"/>
      <w:szCs w:val="18"/>
    </w:rPr>
  </w:style>
  <w:style w:type="paragraph" w:styleId="12">
    <w:name w:val="footer"/>
    <w:basedOn w:val="1"/>
    <w:uiPriority w:val="0"/>
    <w:pPr>
      <w:tabs>
        <w:tab w:val="center" w:pos="4153"/>
        <w:tab w:val="right" w:pos="8306"/>
      </w:tabs>
      <w:snapToGrid w:val="0"/>
      <w:jc w:val="left"/>
    </w:pPr>
    <w:rPr>
      <w:sz w:val="18"/>
      <w:szCs w:val="18"/>
    </w:rPr>
  </w:style>
  <w:style w:type="paragraph" w:styleId="13">
    <w:name w:val="header"/>
    <w:basedOn w:val="1"/>
    <w:link w:val="73"/>
    <w:qFormat/>
    <w:uiPriority w:val="0"/>
    <w:pPr>
      <w:pBdr>
        <w:bottom w:val="single" w:color="auto" w:sz="6" w:space="1"/>
      </w:pBdr>
      <w:tabs>
        <w:tab w:val="center" w:pos="4153"/>
        <w:tab w:val="right" w:pos="8306"/>
      </w:tabs>
      <w:snapToGrid w:val="0"/>
      <w:jc w:val="center"/>
    </w:pPr>
    <w:rPr>
      <w:sz w:val="18"/>
      <w:szCs w:val="18"/>
    </w:rPr>
  </w:style>
  <w:style w:type="paragraph" w:styleId="14">
    <w:name w:val="toc 2"/>
    <w:basedOn w:val="1"/>
    <w:next w:val="1"/>
    <w:qFormat/>
    <w:uiPriority w:val="99"/>
    <w:pPr>
      <w:widowControl/>
      <w:ind w:left="420" w:leftChars="200"/>
      <w:jc w:val="left"/>
    </w:pPr>
    <w:rPr>
      <w:rFonts w:cs="Times New Roman"/>
      <w:kern w:val="0"/>
      <w:sz w:val="24"/>
    </w:rPr>
  </w:style>
  <w:style w:type="paragraph" w:styleId="15">
    <w:name w:val="Body Text 2"/>
    <w:basedOn w:val="1"/>
    <w:link w:val="81"/>
    <w:semiHidden/>
    <w:unhideWhenUsed/>
    <w:uiPriority w:val="99"/>
    <w:pPr>
      <w:spacing w:after="120" w:line="480" w:lineRule="auto"/>
    </w:pPr>
    <w:rPr>
      <w:rFonts w:cs="Times New Roman"/>
      <w:szCs w:val="22"/>
    </w:rPr>
  </w:style>
  <w:style w:type="paragraph" w:styleId="16">
    <w:name w:val="annotation subject"/>
    <w:basedOn w:val="8"/>
    <w:next w:val="8"/>
    <w:link w:val="84"/>
    <w:semiHidden/>
    <w:unhideWhenUsed/>
    <w:qFormat/>
    <w:uiPriority w:val="99"/>
    <w:rPr>
      <w:b/>
      <w:bCs/>
    </w:rPr>
  </w:style>
  <w:style w:type="character" w:styleId="19">
    <w:name w:val="annotation reference"/>
    <w:semiHidden/>
    <w:unhideWhenUsed/>
    <w:qFormat/>
    <w:uiPriority w:val="99"/>
    <w:rPr>
      <w:sz w:val="21"/>
      <w:szCs w:val="21"/>
    </w:rPr>
  </w:style>
  <w:style w:type="paragraph" w:customStyle="1" w:styleId="20">
    <w:name w:val="批注主题1"/>
    <w:basedOn w:val="8"/>
    <w:next w:val="8"/>
    <w:qFormat/>
    <w:uiPriority w:val="0"/>
    <w:rPr>
      <w:b/>
      <w:bCs/>
    </w:rPr>
  </w:style>
  <w:style w:type="paragraph" w:customStyle="1" w:styleId="21">
    <w:name w:val="正文缩进1"/>
    <w:basedOn w:val="1"/>
    <w:link w:val="66"/>
    <w:qFormat/>
    <w:uiPriority w:val="0"/>
    <w:pPr>
      <w:ind w:firstLine="420" w:firstLineChars="200"/>
    </w:pPr>
  </w:style>
  <w:style w:type="paragraph" w:customStyle="1" w:styleId="22">
    <w:name w:val="文档结构图1"/>
    <w:basedOn w:val="1"/>
    <w:qFormat/>
    <w:uiPriority w:val="0"/>
    <w:pPr>
      <w:shd w:val="clear" w:color="auto" w:fill="000080"/>
    </w:pPr>
  </w:style>
  <w:style w:type="paragraph" w:customStyle="1" w:styleId="23">
    <w:name w:val="正文文本缩进1"/>
    <w:basedOn w:val="1"/>
    <w:link w:val="70"/>
    <w:uiPriority w:val="0"/>
    <w:pPr>
      <w:spacing w:after="120"/>
      <w:ind w:left="420" w:leftChars="200"/>
    </w:pPr>
  </w:style>
  <w:style w:type="paragraph" w:customStyle="1" w:styleId="24">
    <w:name w:val="纯文本1"/>
    <w:basedOn w:val="1"/>
    <w:link w:val="76"/>
    <w:uiPriority w:val="0"/>
    <w:rPr>
      <w:rFonts w:ascii="宋体" w:hAnsi="Courier New"/>
    </w:rPr>
  </w:style>
  <w:style w:type="paragraph" w:customStyle="1" w:styleId="25">
    <w:name w:val="日期1"/>
    <w:basedOn w:val="1"/>
    <w:next w:val="1"/>
    <w:qFormat/>
    <w:uiPriority w:val="0"/>
    <w:pPr>
      <w:ind w:left="100" w:leftChars="2500"/>
    </w:pPr>
  </w:style>
  <w:style w:type="paragraph" w:customStyle="1" w:styleId="26">
    <w:name w:val="正文文本缩进 21"/>
    <w:basedOn w:val="1"/>
    <w:link w:val="71"/>
    <w:qFormat/>
    <w:uiPriority w:val="0"/>
    <w:pPr>
      <w:spacing w:after="120" w:line="480" w:lineRule="auto"/>
      <w:ind w:left="420" w:leftChars="200"/>
    </w:pPr>
  </w:style>
  <w:style w:type="paragraph" w:customStyle="1" w:styleId="27">
    <w:name w:val="列表1"/>
    <w:basedOn w:val="1"/>
    <w:uiPriority w:val="0"/>
    <w:pPr>
      <w:autoSpaceDE w:val="0"/>
      <w:autoSpaceDN w:val="0"/>
      <w:adjustRightInd w:val="0"/>
      <w:snapToGrid w:val="0"/>
      <w:spacing w:line="480" w:lineRule="exact"/>
      <w:jc w:val="center"/>
    </w:pPr>
    <w:rPr>
      <w:kern w:val="32"/>
      <w:sz w:val="24"/>
      <w:szCs w:val="20"/>
    </w:rPr>
  </w:style>
  <w:style w:type="paragraph" w:customStyle="1" w:styleId="28">
    <w:name w:val="正文文本缩进 31"/>
    <w:basedOn w:val="1"/>
    <w:link w:val="59"/>
    <w:uiPriority w:val="0"/>
    <w:pPr>
      <w:spacing w:after="120"/>
      <w:ind w:left="420" w:leftChars="200"/>
    </w:pPr>
    <w:rPr>
      <w:sz w:val="16"/>
      <w:szCs w:val="16"/>
    </w:rPr>
  </w:style>
  <w:style w:type="paragraph" w:customStyle="1" w:styleId="29">
    <w:name w:val="正文文本 21"/>
    <w:basedOn w:val="1"/>
    <w:qFormat/>
    <w:uiPriority w:val="0"/>
    <w:pPr>
      <w:spacing w:after="120" w:line="480" w:lineRule="auto"/>
    </w:pPr>
  </w:style>
  <w:style w:type="paragraph" w:customStyle="1" w:styleId="30">
    <w:name w:val="普通(网站)1"/>
    <w:basedOn w:val="1"/>
    <w:qFormat/>
    <w:uiPriority w:val="0"/>
    <w:pPr>
      <w:widowControl/>
      <w:jc w:val="left"/>
    </w:pPr>
    <w:rPr>
      <w:rFonts w:ascii="Arial" w:hAnsi="Arial" w:cs="Arial"/>
      <w:color w:val="333333"/>
      <w:kern w:val="0"/>
      <w:sz w:val="14"/>
      <w:szCs w:val="14"/>
    </w:rPr>
  </w:style>
  <w:style w:type="paragraph" w:customStyle="1" w:styleId="31">
    <w:name w:val="li表格"/>
    <w:basedOn w:val="1"/>
    <w:next w:val="1"/>
    <w:qFormat/>
    <w:uiPriority w:val="0"/>
    <w:pPr>
      <w:spacing w:line="360" w:lineRule="exact"/>
      <w:jc w:val="center"/>
    </w:pPr>
    <w:rPr>
      <w:rFonts w:hAnsi="宋体"/>
      <w:b/>
      <w:color w:val="0000FF"/>
      <w:spacing w:val="4"/>
      <w:szCs w:val="21"/>
    </w:rPr>
  </w:style>
  <w:style w:type="paragraph" w:customStyle="1" w:styleId="32">
    <w:name w:val="默认段落字体 Para Char"/>
    <w:basedOn w:val="1"/>
    <w:uiPriority w:val="0"/>
    <w:pPr>
      <w:spacing w:line="360" w:lineRule="auto"/>
      <w:ind w:firstLine="200" w:firstLineChars="200"/>
    </w:pPr>
    <w:rPr>
      <w:szCs w:val="20"/>
    </w:rPr>
  </w:style>
  <w:style w:type="paragraph" w:customStyle="1" w:styleId="33">
    <w:name w:val="正文1"/>
    <w:uiPriority w:val="0"/>
    <w:pPr>
      <w:jc w:val="both"/>
    </w:pPr>
    <w:rPr>
      <w:rFonts w:ascii="Calibri" w:hAnsi="Calibri" w:eastAsia="宋体" w:cs="Calibri"/>
      <w:kern w:val="2"/>
      <w:sz w:val="21"/>
      <w:szCs w:val="21"/>
      <w:lang w:val="en-US" w:eastAsia="zh-CN" w:bidi="ar-SA"/>
    </w:rPr>
  </w:style>
  <w:style w:type="paragraph" w:customStyle="1" w:styleId="34">
    <w:name w:val="3级"/>
    <w:basedOn w:val="4"/>
    <w:uiPriority w:val="0"/>
    <w:pPr>
      <w:spacing w:before="0" w:after="0" w:line="500" w:lineRule="exact"/>
    </w:pPr>
    <w:rPr>
      <w:rFonts w:cs="宋体"/>
      <w:sz w:val="28"/>
      <w:szCs w:val="20"/>
    </w:rPr>
  </w:style>
  <w:style w:type="paragraph" w:customStyle="1" w:styleId="35">
    <w:name w:val="样式 标题 4 + Times New Roman 小四 非加粗 段前: 0 磅 段后: 7.8 磅 行距: 多倍行距..."/>
    <w:basedOn w:val="5"/>
    <w:qFormat/>
    <w:uiPriority w:val="0"/>
    <w:pPr>
      <w:spacing w:before="0" w:after="156" w:line="377" w:lineRule="auto"/>
    </w:pPr>
    <w:rPr>
      <w:rFonts w:ascii="Times New Roman" w:hAnsi="Times New Roman" w:cs="宋体"/>
      <w:b w:val="0"/>
      <w:bCs w:val="0"/>
      <w:sz w:val="24"/>
      <w:szCs w:val="24"/>
    </w:rPr>
  </w:style>
  <w:style w:type="paragraph" w:customStyle="1" w:styleId="36">
    <w:name w:val="正文11"/>
    <w:basedOn w:val="1"/>
    <w:link w:val="74"/>
    <w:qFormat/>
    <w:uiPriority w:val="0"/>
    <w:pPr>
      <w:spacing w:line="460" w:lineRule="exact"/>
      <w:ind w:firstLine="200" w:firstLineChars="200"/>
    </w:pPr>
    <w:rPr>
      <w:b/>
      <w:color w:val="000000"/>
      <w:sz w:val="24"/>
    </w:rPr>
  </w:style>
  <w:style w:type="paragraph" w:customStyle="1" w:styleId="37">
    <w:name w:val="正文内容"/>
    <w:link w:val="60"/>
    <w:qFormat/>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38">
    <w:name w:val="列出段落1"/>
    <w:basedOn w:val="1"/>
    <w:uiPriority w:val="0"/>
    <w:pPr>
      <w:ind w:firstLine="420" w:firstLineChars="200"/>
    </w:pPr>
    <w:rPr>
      <w:szCs w:val="20"/>
    </w:rPr>
  </w:style>
  <w:style w:type="paragraph" w:customStyle="1" w:styleId="39">
    <w:name w:val="Defaul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0">
    <w:name w:val="MSG_EN_FONT_STYLE_NAME_TEMPLATE_ROLE_NUMBER MSG_EN_FONT_STYLE_NAME_BY_ROLE_TEXT 2"/>
    <w:basedOn w:val="1"/>
    <w:link w:val="63"/>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1">
    <w:name w:val="表格内容5号"/>
    <w:link w:val="65"/>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2">
    <w:name w:val="表内容1-1"/>
    <w:basedOn w:val="1"/>
    <w:uiPriority w:val="0"/>
    <w:pPr>
      <w:jc w:val="center"/>
      <w:textAlignment w:val="baseline"/>
    </w:pPr>
    <w:rPr>
      <w:rFonts w:ascii="Times New Roman" w:hAnsi="Times New Roman"/>
      <w:kern w:val="0"/>
      <w:szCs w:val="21"/>
    </w:rPr>
  </w:style>
  <w:style w:type="paragraph" w:customStyle="1" w:styleId="43">
    <w:name w:val="表格文字1"/>
    <w:basedOn w:val="1"/>
    <w:qFormat/>
    <w:uiPriority w:val="0"/>
    <w:pPr>
      <w:tabs>
        <w:tab w:val="left" w:pos="1080"/>
      </w:tabs>
      <w:snapToGrid w:val="0"/>
      <w:spacing w:line="240" w:lineRule="exact"/>
      <w:jc w:val="center"/>
    </w:pPr>
    <w:rPr>
      <w:rFonts w:hAnsi="宋体"/>
      <w:spacing w:val="-2"/>
      <w:kern w:val="32"/>
      <w:szCs w:val="21"/>
    </w:rPr>
  </w:style>
  <w:style w:type="paragraph" w:customStyle="1" w:styleId="44">
    <w:name w:val="表格文字"/>
    <w:basedOn w:val="1"/>
    <w:next w:val="1"/>
    <w:link w:val="62"/>
    <w:uiPriority w:val="0"/>
    <w:pPr>
      <w:spacing w:line="280" w:lineRule="exact"/>
      <w:jc w:val="center"/>
    </w:pPr>
    <w:rPr>
      <w:rFonts w:ascii="Arial" w:hAnsi="Arial" w:eastAsia="宋体-方正超大字符集" w:cs="Arial"/>
    </w:rPr>
  </w:style>
  <w:style w:type="paragraph" w:customStyle="1" w:styleId="45">
    <w:name w:val="表格文字-五号-左对齐"/>
    <w:basedOn w:val="1"/>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46">
    <w:name w:val="陈正文"/>
    <w:basedOn w:val="1"/>
    <w:next w:val="1"/>
    <w:link w:val="69"/>
    <w:uiPriority w:val="0"/>
    <w:pPr>
      <w:ind w:left="178" w:leftChars="85" w:firstLine="405" w:firstLineChars="193"/>
    </w:pPr>
    <w:rPr>
      <w:rFonts w:ascii="Arial" w:hAnsi="Arial" w:cs="宋体"/>
      <w:color w:val="000000"/>
      <w:szCs w:val="21"/>
    </w:rPr>
  </w:style>
  <w:style w:type="paragraph" w:customStyle="1" w:styleId="47">
    <w:name w:val="彩霞-正文"/>
    <w:basedOn w:val="1"/>
    <w:link w:val="72"/>
    <w:uiPriority w:val="0"/>
    <w:pPr>
      <w:spacing w:line="360" w:lineRule="auto"/>
      <w:ind w:firstLine="200" w:firstLineChars="200"/>
    </w:pPr>
    <w:rPr>
      <w:rFonts w:cs="宋体"/>
      <w:sz w:val="24"/>
      <w:szCs w:val="28"/>
      <w:lang w:val="zh-CN"/>
    </w:rPr>
  </w:style>
  <w:style w:type="paragraph" w:customStyle="1" w:styleId="48">
    <w:name w:val="样式 首行缩进:  2 字符"/>
    <w:basedOn w:val="1"/>
    <w:uiPriority w:val="0"/>
    <w:pPr>
      <w:spacing w:line="520" w:lineRule="exact"/>
      <w:ind w:firstLine="200" w:firstLineChars="200"/>
    </w:pPr>
    <w:rPr>
      <w:sz w:val="24"/>
    </w:rPr>
  </w:style>
  <w:style w:type="paragraph" w:customStyle="1" w:styleId="49">
    <w:name w:val="Char"/>
    <w:basedOn w:val="1"/>
    <w:next w:val="1"/>
    <w:uiPriority w:val="0"/>
    <w:pPr>
      <w:spacing w:line="360" w:lineRule="auto"/>
      <w:ind w:firstLine="200" w:firstLineChars="200"/>
    </w:pPr>
    <w:rPr>
      <w:rFonts w:ascii="宋体" w:hAnsi="宋体" w:cs="宋体"/>
      <w:sz w:val="24"/>
    </w:rPr>
  </w:style>
  <w:style w:type="paragraph" w:customStyle="1" w:styleId="50">
    <w:name w:val="4"/>
    <w:basedOn w:val="1"/>
    <w:next w:val="1"/>
    <w:link w:val="61"/>
    <w:qFormat/>
    <w:uiPriority w:val="0"/>
    <w:pPr>
      <w:spacing w:line="500" w:lineRule="exact"/>
      <w:outlineLvl w:val="3"/>
    </w:pPr>
    <w:rPr>
      <w:rFonts w:ascii="Arial" w:hAnsi="Arial" w:eastAsia="黑体"/>
      <w:b/>
      <w:sz w:val="24"/>
    </w:rPr>
  </w:style>
  <w:style w:type="paragraph" w:customStyle="1" w:styleId="51">
    <w:name w:val="Char Char Char Char"/>
    <w:basedOn w:val="1"/>
    <w:uiPriority w:val="0"/>
    <w:pPr>
      <w:snapToGrid w:val="0"/>
      <w:spacing w:line="360" w:lineRule="auto"/>
      <w:ind w:firstLine="529" w:firstLineChars="200"/>
    </w:pPr>
    <w:rPr>
      <w:rFonts w:ascii="宋体" w:hAnsi="宋体"/>
      <w:b/>
      <w:sz w:val="24"/>
    </w:rPr>
  </w:style>
  <w:style w:type="paragraph" w:customStyle="1" w:styleId="52">
    <w:name w:val="Char Char Char Char Char Char Char Char Char Char Char Char Char Char Char Char Char Char1 Char Char Char Char Char Char Char Char Char Char Char Char1 Char Char Char"/>
    <w:basedOn w:val="1"/>
    <w:next w:val="1"/>
    <w:uiPriority w:val="0"/>
    <w:pPr>
      <w:snapToGrid w:val="0"/>
      <w:spacing w:line="360" w:lineRule="auto"/>
      <w:ind w:firstLine="200" w:firstLineChars="200"/>
      <w:jc w:val="left"/>
    </w:pPr>
    <w:rPr>
      <w:rFonts w:ascii="宋体" w:hAnsi="宋体" w:cs="宋体"/>
      <w:sz w:val="24"/>
    </w:rPr>
  </w:style>
  <w:style w:type="paragraph" w:customStyle="1" w:styleId="53">
    <w:name w:val="表格文字-五号"/>
    <w:basedOn w:val="1"/>
    <w:next w:val="1"/>
    <w:uiPriority w:val="0"/>
    <w:pPr>
      <w:widowControl/>
      <w:tabs>
        <w:tab w:val="left" w:pos="2340"/>
      </w:tabs>
      <w:adjustRightInd w:val="0"/>
      <w:snapToGrid w:val="0"/>
      <w:jc w:val="center"/>
    </w:pPr>
    <w:rPr>
      <w:color w:val="000000"/>
      <w:kern w:val="0"/>
      <w:sz w:val="20"/>
    </w:rPr>
  </w:style>
  <w:style w:type="paragraph" w:customStyle="1" w:styleId="54">
    <w:name w:val="Char Char Char Char Char Char Char"/>
    <w:basedOn w:val="1"/>
    <w:uiPriority w:val="0"/>
    <w:pPr>
      <w:spacing w:line="360" w:lineRule="auto"/>
      <w:ind w:firstLine="200" w:firstLineChars="200"/>
    </w:pPr>
    <w:rPr>
      <w:rFonts w:ascii="宋体" w:hAnsi="宋体" w:cs="宋体"/>
      <w:sz w:val="24"/>
    </w:rPr>
  </w:style>
  <w:style w:type="paragraph" w:customStyle="1" w:styleId="55">
    <w:name w:val="列出段落2"/>
    <w:basedOn w:val="1"/>
    <w:uiPriority w:val="0"/>
    <w:pPr>
      <w:ind w:firstLine="420" w:firstLineChars="200"/>
    </w:pPr>
    <w:rPr>
      <w:szCs w:val="22"/>
    </w:rPr>
  </w:style>
  <w:style w:type="paragraph" w:customStyle="1" w:styleId="56">
    <w:name w:val="表中"/>
    <w:basedOn w:val="1"/>
    <w:link w:val="75"/>
    <w:uiPriority w:val="0"/>
    <w:pPr>
      <w:spacing w:line="300" w:lineRule="exact"/>
      <w:jc w:val="center"/>
    </w:pPr>
    <w:rPr>
      <w:szCs w:val="21"/>
    </w:rPr>
  </w:style>
  <w:style w:type="character" w:customStyle="1" w:styleId="57">
    <w:name w:val="页码1"/>
    <w:basedOn w:val="18"/>
    <w:qFormat/>
    <w:uiPriority w:val="0"/>
  </w:style>
  <w:style w:type="character" w:customStyle="1" w:styleId="58">
    <w:name w:val="批注引用1"/>
    <w:uiPriority w:val="0"/>
    <w:rPr>
      <w:sz w:val="21"/>
      <w:szCs w:val="21"/>
    </w:rPr>
  </w:style>
  <w:style w:type="character" w:customStyle="1" w:styleId="59">
    <w:name w:val="正文文本缩进 3 Char Char Char"/>
    <w:link w:val="28"/>
    <w:semiHidden/>
    <w:uiPriority w:val="0"/>
    <w:rPr>
      <w:kern w:val="2"/>
      <w:sz w:val="16"/>
      <w:szCs w:val="16"/>
    </w:rPr>
  </w:style>
  <w:style w:type="character" w:customStyle="1" w:styleId="60">
    <w:name w:val="正文内容 Char Char"/>
    <w:link w:val="37"/>
    <w:semiHidden/>
    <w:uiPriority w:val="0"/>
    <w:rPr>
      <w:kern w:val="2"/>
      <w:sz w:val="24"/>
      <w:szCs w:val="24"/>
      <w:lang w:val="en-US" w:eastAsia="zh-CN" w:bidi="ar-SA"/>
    </w:rPr>
  </w:style>
  <w:style w:type="character" w:customStyle="1" w:styleId="61">
    <w:name w:val="4 Char Char"/>
    <w:link w:val="50"/>
    <w:semiHidden/>
    <w:uiPriority w:val="0"/>
    <w:rPr>
      <w:rFonts w:ascii="Arial" w:hAnsi="Arial" w:eastAsia="黑体"/>
      <w:b/>
      <w:kern w:val="2"/>
      <w:sz w:val="24"/>
      <w:szCs w:val="24"/>
      <w:lang w:val="en-US" w:eastAsia="zh-CN" w:bidi="ar-SA"/>
    </w:rPr>
  </w:style>
  <w:style w:type="character" w:customStyle="1" w:styleId="62">
    <w:name w:val="表格文字 Char Char"/>
    <w:link w:val="44"/>
    <w:semiHidden/>
    <w:uiPriority w:val="0"/>
    <w:rPr>
      <w:rFonts w:ascii="Arial" w:hAnsi="Arial" w:eastAsia="宋体-方正超大字符集" w:cs="Arial"/>
      <w:sz w:val="21"/>
      <w:szCs w:val="24"/>
    </w:rPr>
  </w:style>
  <w:style w:type="character" w:customStyle="1" w:styleId="63">
    <w:name w:val="MSG_EN_FONT_STYLE_NAME_TEMPLATE_ROLE_NUMBER MSG_EN_FONT_STYLE_NAME_BY_ROLE_TEXT 2_"/>
    <w:link w:val="40"/>
    <w:semiHidden/>
    <w:uiPriority w:val="0"/>
    <w:rPr>
      <w:rFonts w:ascii="PMingLiU" w:hAnsi="PMingLiU" w:eastAsia="PMingLiU"/>
      <w:spacing w:val="20"/>
      <w:sz w:val="26"/>
      <w:szCs w:val="26"/>
      <w:shd w:val="clear" w:color="auto" w:fill="FFFFFF"/>
      <w:lang w:bidi="ar-SA"/>
    </w:rPr>
  </w:style>
  <w:style w:type="character" w:customStyle="1" w:styleId="64">
    <w:name w:val="newsitemtext1"/>
    <w:qFormat/>
    <w:uiPriority w:val="0"/>
    <w:rPr>
      <w:color w:val="000000"/>
      <w:sz w:val="17"/>
      <w:szCs w:val="17"/>
    </w:rPr>
  </w:style>
  <w:style w:type="character" w:customStyle="1" w:styleId="65">
    <w:name w:val="表格内容5号 Char Char"/>
    <w:link w:val="41"/>
    <w:semiHidden/>
    <w:uiPriority w:val="0"/>
    <w:rPr>
      <w:kern w:val="2"/>
      <w:sz w:val="21"/>
      <w:szCs w:val="24"/>
      <w:lang w:val="en-US" w:eastAsia="zh-CN" w:bidi="ar-SA"/>
    </w:rPr>
  </w:style>
  <w:style w:type="character" w:customStyle="1" w:styleId="66">
    <w:name w:val="正文缩进 Char Char Char"/>
    <w:link w:val="21"/>
    <w:uiPriority w:val="0"/>
    <w:rPr>
      <w:kern w:val="2"/>
      <w:sz w:val="21"/>
      <w:szCs w:val="24"/>
    </w:rPr>
  </w:style>
  <w:style w:type="character" w:customStyle="1" w:styleId="67">
    <w:name w:val="批注文字 字符"/>
    <w:link w:val="8"/>
    <w:semiHidden/>
    <w:uiPriority w:val="0"/>
    <w:rPr>
      <w:kern w:val="2"/>
      <w:sz w:val="21"/>
    </w:rPr>
  </w:style>
  <w:style w:type="character" w:customStyle="1" w:styleId="68">
    <w:name w:val="正文文本 字符"/>
    <w:link w:val="9"/>
    <w:semiHidden/>
    <w:uiPriority w:val="0"/>
    <w:rPr>
      <w:kern w:val="2"/>
      <w:sz w:val="21"/>
      <w:szCs w:val="24"/>
    </w:rPr>
  </w:style>
  <w:style w:type="character" w:customStyle="1" w:styleId="69">
    <w:name w:val="陈正文 Char Char"/>
    <w:link w:val="46"/>
    <w:semiHidden/>
    <w:uiPriority w:val="0"/>
    <w:rPr>
      <w:rFonts w:ascii="Arial" w:hAnsi="Arial" w:eastAsia="宋体" w:cs="宋体"/>
      <w:color w:val="000000"/>
      <w:kern w:val="2"/>
      <w:sz w:val="21"/>
      <w:szCs w:val="21"/>
      <w:lang w:val="en-US" w:eastAsia="zh-CN" w:bidi="ar-SA"/>
    </w:rPr>
  </w:style>
  <w:style w:type="character" w:customStyle="1" w:styleId="70">
    <w:name w:val="正文文本缩进 Char Char Char"/>
    <w:link w:val="23"/>
    <w:semiHidden/>
    <w:qFormat/>
    <w:uiPriority w:val="0"/>
    <w:rPr>
      <w:kern w:val="2"/>
      <w:sz w:val="21"/>
      <w:szCs w:val="24"/>
    </w:rPr>
  </w:style>
  <w:style w:type="character" w:customStyle="1" w:styleId="71">
    <w:name w:val="正文文本缩进 2 Char Char Char"/>
    <w:link w:val="26"/>
    <w:semiHidden/>
    <w:uiPriority w:val="0"/>
    <w:rPr>
      <w:kern w:val="2"/>
      <w:sz w:val="21"/>
      <w:szCs w:val="24"/>
    </w:rPr>
  </w:style>
  <w:style w:type="character" w:customStyle="1" w:styleId="72">
    <w:name w:val="彩霞-正文 Char Char"/>
    <w:link w:val="47"/>
    <w:semiHidden/>
    <w:uiPriority w:val="0"/>
    <w:rPr>
      <w:rFonts w:cs="宋体"/>
      <w:sz w:val="24"/>
      <w:szCs w:val="28"/>
      <w:lang w:val="zh-CN"/>
    </w:rPr>
  </w:style>
  <w:style w:type="character" w:customStyle="1" w:styleId="73">
    <w:name w:val="页眉 字符"/>
    <w:link w:val="13"/>
    <w:semiHidden/>
    <w:qFormat/>
    <w:uiPriority w:val="0"/>
    <w:rPr>
      <w:kern w:val="2"/>
      <w:sz w:val="18"/>
      <w:szCs w:val="18"/>
    </w:rPr>
  </w:style>
  <w:style w:type="character" w:customStyle="1" w:styleId="74">
    <w:name w:val="正文1 Char Char"/>
    <w:link w:val="36"/>
    <w:semiHidden/>
    <w:uiPriority w:val="0"/>
    <w:rPr>
      <w:b/>
      <w:color w:val="000000"/>
      <w:kern w:val="2"/>
      <w:sz w:val="24"/>
    </w:rPr>
  </w:style>
  <w:style w:type="character" w:customStyle="1" w:styleId="75">
    <w:name w:val="表中 Char Char"/>
    <w:link w:val="56"/>
    <w:semiHidden/>
    <w:qFormat/>
    <w:uiPriority w:val="0"/>
    <w:rPr>
      <w:rFonts w:ascii="Calibri" w:hAnsi="Calibri"/>
      <w:kern w:val="2"/>
      <w:sz w:val="21"/>
      <w:szCs w:val="21"/>
    </w:rPr>
  </w:style>
  <w:style w:type="character" w:customStyle="1" w:styleId="76">
    <w:name w:val="纯文本 Char Char Char"/>
    <w:link w:val="24"/>
    <w:semiHidden/>
    <w:qFormat/>
    <w:uiPriority w:val="0"/>
    <w:rPr>
      <w:rFonts w:ascii="宋体" w:hAnsi="Courier New" w:eastAsia="宋体"/>
      <w:kern w:val="2"/>
      <w:sz w:val="21"/>
      <w:lang w:val="en-US" w:eastAsia="zh-CN" w:bidi="ar-SA"/>
    </w:rPr>
  </w:style>
  <w:style w:type="character" w:customStyle="1" w:styleId="77">
    <w:name w:val="标题 2 字符"/>
    <w:link w:val="3"/>
    <w:semiHidden/>
    <w:qFormat/>
    <w:uiPriority w:val="0"/>
    <w:rPr>
      <w:rFonts w:ascii="Arial" w:eastAsia="黑体"/>
      <w:b/>
      <w:color w:val="000000"/>
      <w:sz w:val="31"/>
      <w:u w:val="none" w:color="000000"/>
      <w:lang w:val="en-US" w:eastAsia="zh-CN" w:bidi="ar-SA"/>
    </w:rPr>
  </w:style>
  <w:style w:type="character" w:customStyle="1" w:styleId="78">
    <w:name w:val="MSG_EN_FONT_STYLE_NAME_TEMPLATE_ROLE_NUMBER MSG_EN_FONT_STYLE_NAME_BY_ROLE_TEXT 2 + MSG_EN_FONT_STYLE_MODIFER_NAME Courier New"/>
    <w:qFormat/>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paragraph" w:customStyle="1" w:styleId="79">
    <w:name w:val="普通(网站)2"/>
    <w:basedOn w:val="1"/>
    <w:qFormat/>
    <w:uiPriority w:val="0"/>
    <w:pPr>
      <w:widowControl/>
      <w:spacing w:before="100" w:beforeAutospacing="1" w:after="100" w:afterAutospacing="1"/>
      <w:jc w:val="left"/>
    </w:pPr>
    <w:rPr>
      <w:rFonts w:ascii="宋体" w:hAnsi="宋体" w:cs="宋体"/>
      <w:kern w:val="0"/>
      <w:sz w:val="24"/>
    </w:rPr>
  </w:style>
  <w:style w:type="character" w:customStyle="1" w:styleId="80">
    <w:name w:val="正文文本 2 字符"/>
    <w:semiHidden/>
    <w:qFormat/>
    <w:uiPriority w:val="99"/>
    <w:rPr>
      <w:kern w:val="2"/>
      <w:sz w:val="21"/>
      <w:szCs w:val="24"/>
    </w:rPr>
  </w:style>
  <w:style w:type="character" w:customStyle="1" w:styleId="81">
    <w:name w:val="正文文本 2 字符1"/>
    <w:link w:val="15"/>
    <w:semiHidden/>
    <w:qFormat/>
    <w:uiPriority w:val="99"/>
    <w:rPr>
      <w:rFonts w:cs="Times New Roman"/>
      <w:kern w:val="2"/>
      <w:sz w:val="21"/>
      <w:szCs w:val="22"/>
    </w:rPr>
  </w:style>
  <w:style w:type="character" w:customStyle="1" w:styleId="82">
    <w:name w:val="批注文字 Char"/>
    <w:semiHidden/>
    <w:uiPriority w:val="99"/>
    <w:rPr>
      <w:kern w:val="2"/>
      <w:sz w:val="21"/>
      <w:szCs w:val="22"/>
    </w:rPr>
  </w:style>
  <w:style w:type="character" w:customStyle="1" w:styleId="83">
    <w:name w:val="日期 字符"/>
    <w:link w:val="10"/>
    <w:semiHidden/>
    <w:uiPriority w:val="99"/>
    <w:rPr>
      <w:kern w:val="2"/>
      <w:sz w:val="21"/>
      <w:szCs w:val="24"/>
    </w:rPr>
  </w:style>
  <w:style w:type="character" w:customStyle="1" w:styleId="84">
    <w:name w:val="批注主题 字符"/>
    <w:basedOn w:val="67"/>
    <w:link w:val="16"/>
    <w:semiHidden/>
    <w:qFormat/>
    <w:uiPriority w:val="99"/>
    <w:rPr>
      <w:b/>
      <w:bCs/>
      <w:kern w:val="2"/>
      <w:sz w:val="21"/>
      <w:szCs w:val="24"/>
    </w:rPr>
  </w:style>
  <w:style w:type="character" w:customStyle="1" w:styleId="85">
    <w:name w:val="文档结构图 字符"/>
    <w:basedOn w:val="18"/>
    <w:link w:val="7"/>
    <w:semiHidden/>
    <w:uiPriority w:val="99"/>
    <w:rPr>
      <w:rFonts w:ascii="宋体"/>
      <w:kern w:val="2"/>
      <w:sz w:val="18"/>
      <w:szCs w:val="18"/>
    </w:rPr>
  </w:style>
  <w:style w:type="character" w:customStyle="1" w:styleId="86">
    <w:name w:val="标题 1 字符"/>
    <w:basedOn w:val="18"/>
    <w:link w:val="2"/>
    <w:qFormat/>
    <w:uiPriority w:val="9"/>
    <w:rPr>
      <w:b/>
      <w:bCs/>
      <w:kern w:val="44"/>
      <w:sz w:val="44"/>
      <w:szCs w:val="44"/>
    </w:rPr>
  </w:style>
  <w:style w:type="paragraph" w:styleId="87">
    <w:name w:val="List Paragraph"/>
    <w:basedOn w:val="1"/>
    <w:qFormat/>
    <w:uiPriority w:val="34"/>
    <w:pPr>
      <w:ind w:firstLine="420" w:firstLineChars="200"/>
    </w:pPr>
  </w:style>
  <w:style w:type="paragraph" w:customStyle="1" w:styleId="88">
    <w:name w:val="普通(网站)3"/>
    <w:basedOn w:val="1"/>
    <w:uiPriority w:val="0"/>
    <w:pPr>
      <w:widowControl/>
      <w:spacing w:before="100" w:beforeAutospacing="1" w:after="100" w:afterAutospacing="1"/>
      <w:jc w:val="left"/>
    </w:pPr>
    <w:rPr>
      <w:rFonts w:ascii="宋体" w:hAnsi="宋体" w:cs="宋体"/>
      <w:kern w:val="0"/>
      <w:sz w:val="24"/>
    </w:rPr>
  </w:style>
  <w:style w:type="paragraph" w:customStyle="1" w:styleId="89">
    <w:name w:val="正文文本缩进 22"/>
    <w:basedOn w:val="1"/>
    <w:qFormat/>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90">
    <w:name w:val="表文字"/>
    <w:basedOn w:val="1"/>
    <w:qFormat/>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character" w:customStyle="1" w:styleId="91">
    <w:name w:val="正文缩进 字符"/>
    <w:link w:val="6"/>
    <w:locked/>
    <w:uiPriority w:val="99"/>
    <w:rPr>
      <w:rFonts w:ascii="Times New Roman" w:hAnsi="Times New Roman" w:cs="Times New Roman"/>
      <w:kern w:val="2"/>
      <w:sz w:val="21"/>
      <w:szCs w:val="24"/>
    </w:rPr>
  </w:style>
  <w:style w:type="character" w:customStyle="1" w:styleId="92">
    <w:name w:val="fontstyle01"/>
    <w:uiPriority w:val="0"/>
    <w:rPr>
      <w:rFonts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CCF7D8-34DB-45BF-9E31-0AA8B115BC4E}">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18</Pages>
  <Words>1955</Words>
  <Characters>11148</Characters>
  <Lines>92</Lines>
  <Paragraphs>26</Paragraphs>
  <TotalTime>0</TotalTime>
  <ScaleCrop>false</ScaleCrop>
  <LinksUpToDate>false</LinksUpToDate>
  <CharactersWithSpaces>13077</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曲朝峰</cp:lastModifiedBy>
  <cp:lastPrinted>2018-07-13T17:29:00Z</cp:lastPrinted>
  <dcterms:modified xsi:type="dcterms:W3CDTF">2020-06-24T09:22:34Z</dcterms:modified>
  <dc:title>ygd</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