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山西太钢不锈钢股份有限公司硅钢常化酸洗生产线</w:t>
      </w:r>
    </w:p>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技术改造项目竣工环境保护验收意见</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2020年4月27日，山西太钢不锈钢股份有限公司根据《</w:t>
      </w:r>
      <w:bookmarkStart w:id="0" w:name="_Hlk5136271"/>
      <w:r>
        <w:rPr>
          <w:rFonts w:ascii="Times New Roman" w:hAnsi="Times New Roman" w:cs="Times New Roman"/>
          <w:kern w:val="0"/>
          <w:sz w:val="28"/>
          <w:szCs w:val="28"/>
        </w:rPr>
        <w:t>山西太钢不锈钢股份有限公司</w:t>
      </w:r>
      <w:r>
        <w:rPr>
          <w:rFonts w:ascii="Times New Roman" w:hAnsi="Times New Roman" w:cs="Times New Roman"/>
          <w:bCs/>
          <w:kern w:val="0"/>
          <w:sz w:val="28"/>
          <w:szCs w:val="28"/>
        </w:rPr>
        <w:t>硅钢常化酸洗生产线技术改造项目</w:t>
      </w:r>
      <w:bookmarkEnd w:id="0"/>
      <w:r>
        <w:rPr>
          <w:rFonts w:ascii="Times New Roman" w:hAnsi="Times New Roman" w:cs="Times New Roman"/>
          <w:kern w:val="0"/>
          <w:sz w:val="28"/>
          <w:szCs w:val="28"/>
        </w:rPr>
        <w:t>竣工环境保护验收监测报告》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根据原国家环境保护部和原山西省环境保护厅相关规定，本次验收全部为项目建设单位自主验收。固废控制设施采取一次合并现场验收方式进行，但需报有审批权限的生态环境主管部门提出验收意见。</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参加验收的有</w:t>
      </w:r>
      <w:r>
        <w:rPr>
          <w:rFonts w:hint="eastAsia" w:ascii="Times New Roman" w:hAnsi="Times New Roman" w:cs="Times New Roman"/>
          <w:kern w:val="0"/>
          <w:sz w:val="28"/>
          <w:szCs w:val="28"/>
        </w:rPr>
        <w:t>项目设计单位太钢工程技术有限公司、监理单位山西震益工程监理有限公司、</w:t>
      </w:r>
      <w:r>
        <w:rPr>
          <w:rFonts w:ascii="Times New Roman" w:hAnsi="Times New Roman" w:cs="Times New Roman"/>
          <w:kern w:val="0"/>
          <w:sz w:val="28"/>
          <w:szCs w:val="28"/>
        </w:rPr>
        <w:t>监测及项目竣工环境保护验收监测报告编制单位</w:t>
      </w:r>
      <w:r>
        <w:rPr>
          <w:rFonts w:ascii="Times New Roman" w:hAnsi="Times New Roman" w:cs="Times New Roman"/>
          <w:sz w:val="28"/>
          <w:szCs w:val="28"/>
        </w:rPr>
        <w:t>中铁三局集团有限公司环境监测站</w:t>
      </w:r>
      <w:r>
        <w:rPr>
          <w:rFonts w:ascii="Times New Roman" w:hAnsi="Times New Roman" w:cs="Times New Roman"/>
          <w:kern w:val="0"/>
          <w:sz w:val="28"/>
          <w:szCs w:val="28"/>
        </w:rPr>
        <w:t>的代表及应邀专家。与会代表检查了项目现场，听取了建设单位对工程建设和环保设施调试的情况介绍以及监测单位对项目竣工验收监测情况的介绍，验收组（名单附后）</w:t>
      </w:r>
      <w:r>
        <w:rPr>
          <w:rFonts w:ascii="Times New Roman" w:hAnsi="Times New Roman" w:cs="Times New Roman"/>
          <w:color w:val="000000"/>
          <w:sz w:val="28"/>
          <w:szCs w:val="28"/>
        </w:rPr>
        <w:t>提出验收意见如下：</w:t>
      </w:r>
    </w:p>
    <w:p>
      <w:pPr>
        <w:pStyle w:val="81"/>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一、工程建设基本情况</w:t>
      </w:r>
    </w:p>
    <w:p>
      <w:pPr>
        <w:pStyle w:val="81"/>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（一）建设地点、规模、主要建设内容</w:t>
      </w:r>
    </w:p>
    <w:p>
      <w:pPr>
        <w:shd w:val="clear" w:color="auto" w:fill="FFFFFF"/>
        <w:adjustRightInd w:val="0"/>
        <w:snapToGrid w:val="0"/>
        <w:spacing w:line="500" w:lineRule="exact"/>
        <w:ind w:firstLine="560" w:firstLineChars="200"/>
        <w:rPr>
          <w:rFonts w:ascii="Times New Roman" w:hAnsi="Times New Roman" w:cs="Times New Roman"/>
          <w:color w:val="FF0000"/>
          <w:sz w:val="28"/>
          <w:szCs w:val="28"/>
        </w:rPr>
      </w:pPr>
      <w:r>
        <w:rPr>
          <w:rFonts w:ascii="Times New Roman" w:hAnsi="Times New Roman" w:cs="Times New Roman"/>
          <w:color w:val="000000"/>
          <w:sz w:val="28"/>
          <w:szCs w:val="28"/>
        </w:rPr>
        <w:t>建设地点：</w:t>
      </w:r>
      <w:r>
        <w:rPr>
          <w:rFonts w:ascii="Times New Roman" w:hAnsi="Times New Roman" w:cs="Times New Roman"/>
          <w:sz w:val="28"/>
          <w:szCs w:val="28"/>
        </w:rPr>
        <w:t>山西省太原市尖草坪太钢不锈钢有限公司厂区北部，现有硅钢车间东侧。</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建设性质：技术改造</w:t>
      </w:r>
    </w:p>
    <w:p>
      <w:pPr>
        <w:shd w:val="clear" w:color="auto" w:fill="FFFFFF"/>
        <w:adjustRightInd w:val="0"/>
        <w:snapToGrid w:val="0"/>
        <w:spacing w:line="500" w:lineRule="exact"/>
        <w:ind w:firstLine="560" w:firstLineChars="200"/>
        <w:rPr>
          <w:rFonts w:ascii="Times New Roman" w:hAnsi="Times New Roman" w:cs="Times New Roman"/>
          <w:color w:val="000000"/>
          <w:kern w:val="0"/>
          <w:sz w:val="28"/>
          <w:szCs w:val="28"/>
        </w:rPr>
      </w:pPr>
      <w:r>
        <w:rPr>
          <w:rFonts w:ascii="Times New Roman" w:hAnsi="Times New Roman" w:cs="Times New Roman"/>
          <w:color w:val="000000"/>
          <w:sz w:val="28"/>
          <w:szCs w:val="28"/>
        </w:rPr>
        <w:t>建设规模：年</w:t>
      </w:r>
      <w:r>
        <w:rPr>
          <w:rFonts w:ascii="Times New Roman" w:hAnsi="Times New Roman" w:cs="Times New Roman"/>
          <w:color w:val="000000"/>
          <w:kern w:val="0"/>
          <w:sz w:val="28"/>
          <w:szCs w:val="28"/>
        </w:rPr>
        <w:t>产高牌号无取向硅钢12万t/a、高磁感无取向硅钢8万t/a。</w:t>
      </w:r>
    </w:p>
    <w:p>
      <w:pPr>
        <w:adjustRightInd w:val="0"/>
        <w:snapToGrid w:val="0"/>
        <w:spacing w:line="500" w:lineRule="exact"/>
        <w:ind w:firstLine="560" w:firstLineChars="200"/>
        <w:jc w:val="left"/>
        <w:rPr>
          <w:rFonts w:ascii="Times New Roman" w:hAnsi="Times New Roman" w:cs="Times New Roman"/>
          <w:sz w:val="28"/>
          <w:szCs w:val="28"/>
        </w:rPr>
      </w:pPr>
      <w:r>
        <w:rPr>
          <w:rFonts w:ascii="Times New Roman" w:hAnsi="Times New Roman" w:cs="Times New Roman"/>
          <w:color w:val="000000"/>
          <w:sz w:val="28"/>
          <w:szCs w:val="28"/>
        </w:rPr>
        <w:t>工程组成与建设内容：</w:t>
      </w:r>
      <w:r>
        <w:rPr>
          <w:rFonts w:ascii="Times New Roman" w:hAnsi="Times New Roman" w:cs="Times New Roman"/>
          <w:sz w:val="28"/>
          <w:szCs w:val="28"/>
        </w:rPr>
        <w:t>项目包括主体工程、辅助工程、公用工程、环保工程等，主要建设内容：</w:t>
      </w:r>
      <w:r>
        <w:rPr>
          <w:rFonts w:ascii="Times New Roman" w:hAnsi="Times New Roman" w:cs="Times New Roman"/>
          <w:color w:val="000000"/>
          <w:sz w:val="28"/>
          <w:szCs w:val="28"/>
        </w:rPr>
        <w:t>主体工程建设主要为</w:t>
      </w:r>
      <w:r>
        <w:rPr>
          <w:rFonts w:ascii="Times New Roman" w:hAnsi="Times New Roman" w:cs="Times New Roman"/>
          <w:sz w:val="28"/>
          <w:szCs w:val="28"/>
        </w:rPr>
        <w:t>一条常化酸洗机组，辅助配套设施为建设净环水站、浊循环水站等，公用工程包括供水、供热、供燃气、空压系统等、环保工程为抛丸机布袋除尘系统、酸雾净化塔等设施建设。</w:t>
      </w:r>
    </w:p>
    <w:p>
      <w:pPr>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工程组成与建设内容见表1。</w:t>
      </w: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表1  项目组成及建设内容表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3804"/>
        <w:gridCol w:w="3626"/>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blHeader/>
        </w:trPr>
        <w:tc>
          <w:tcPr>
            <w:tcW w:w="364" w:type="pct"/>
            <w:vAlign w:val="center"/>
          </w:tcPr>
          <w:p>
            <w:pPr>
              <w:pStyle w:val="6"/>
              <w:snapToGrid w:val="0"/>
              <w:ind w:firstLine="0"/>
              <w:jc w:val="center"/>
              <w:rPr>
                <w:b/>
                <w:szCs w:val="21"/>
              </w:rPr>
            </w:pPr>
            <w:r>
              <w:rPr>
                <w:b/>
                <w:szCs w:val="21"/>
              </w:rPr>
              <w:t>工程类别</w:t>
            </w:r>
          </w:p>
        </w:tc>
        <w:tc>
          <w:tcPr>
            <w:tcW w:w="2104" w:type="pct"/>
            <w:vAlign w:val="center"/>
          </w:tcPr>
          <w:p>
            <w:pPr>
              <w:pStyle w:val="6"/>
              <w:snapToGrid w:val="0"/>
              <w:ind w:firstLine="0"/>
              <w:jc w:val="center"/>
              <w:rPr>
                <w:b/>
                <w:szCs w:val="21"/>
              </w:rPr>
            </w:pPr>
            <w:r>
              <w:rPr>
                <w:b/>
                <w:szCs w:val="21"/>
              </w:rPr>
              <w:t>环评阶段设计</w:t>
            </w:r>
          </w:p>
        </w:tc>
        <w:tc>
          <w:tcPr>
            <w:tcW w:w="2006" w:type="pct"/>
            <w:vAlign w:val="center"/>
          </w:tcPr>
          <w:p>
            <w:pPr>
              <w:pStyle w:val="6"/>
              <w:snapToGrid w:val="0"/>
              <w:ind w:firstLine="0"/>
              <w:jc w:val="center"/>
              <w:rPr>
                <w:b/>
                <w:szCs w:val="21"/>
              </w:rPr>
            </w:pPr>
            <w:r>
              <w:rPr>
                <w:b/>
                <w:szCs w:val="21"/>
              </w:rPr>
              <w:t>实际建设</w:t>
            </w:r>
          </w:p>
        </w:tc>
        <w:tc>
          <w:tcPr>
            <w:tcW w:w="526" w:type="pct"/>
            <w:vAlign w:val="center"/>
          </w:tcPr>
          <w:p>
            <w:pPr>
              <w:pStyle w:val="6"/>
              <w:snapToGrid w:val="0"/>
              <w:ind w:firstLine="0"/>
              <w:jc w:val="center"/>
              <w:rPr>
                <w:b/>
                <w:szCs w:val="21"/>
              </w:rPr>
            </w:pPr>
            <w:r>
              <w:rPr>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Align w:val="center"/>
          </w:tcPr>
          <w:p>
            <w:pPr>
              <w:pStyle w:val="6"/>
              <w:snapToGrid w:val="0"/>
              <w:ind w:firstLine="0"/>
              <w:jc w:val="center"/>
              <w:rPr>
                <w:szCs w:val="21"/>
              </w:rPr>
            </w:pPr>
            <w:r>
              <w:rPr>
                <w:szCs w:val="21"/>
              </w:rPr>
              <w:t>主体工程</w:t>
            </w:r>
          </w:p>
        </w:tc>
        <w:tc>
          <w:tcPr>
            <w:tcW w:w="2104" w:type="pct"/>
            <w:vAlign w:val="center"/>
          </w:tcPr>
          <w:p>
            <w:pPr>
              <w:pStyle w:val="6"/>
              <w:snapToGrid w:val="0"/>
              <w:ind w:firstLine="0"/>
              <w:rPr>
                <w:szCs w:val="21"/>
              </w:rPr>
            </w:pPr>
            <w:r>
              <w:rPr>
                <w:szCs w:val="21"/>
              </w:rPr>
              <w:t>常化酸洗机组主厂房共1跨，300×30m，布设有常化酸洗机组</w:t>
            </w:r>
          </w:p>
        </w:tc>
        <w:tc>
          <w:tcPr>
            <w:tcW w:w="2006" w:type="pct"/>
            <w:vAlign w:val="center"/>
          </w:tcPr>
          <w:p>
            <w:pPr>
              <w:pStyle w:val="6"/>
              <w:snapToGrid w:val="0"/>
              <w:ind w:firstLine="0"/>
              <w:rPr>
                <w:szCs w:val="21"/>
              </w:rPr>
            </w:pPr>
            <w:r>
              <w:rPr>
                <w:szCs w:val="21"/>
              </w:rPr>
              <w:t>厂房内长约300m，宽约30m，由北向南设置一组常化酸洗机组</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restart"/>
            <w:vAlign w:val="center"/>
          </w:tcPr>
          <w:p>
            <w:pPr>
              <w:pStyle w:val="6"/>
              <w:snapToGrid w:val="0"/>
              <w:ind w:firstLine="0"/>
              <w:jc w:val="center"/>
              <w:rPr>
                <w:szCs w:val="21"/>
              </w:rPr>
            </w:pPr>
            <w:r>
              <w:rPr>
                <w:szCs w:val="21"/>
              </w:rPr>
              <w:t>辅助工程</w:t>
            </w:r>
          </w:p>
        </w:tc>
        <w:tc>
          <w:tcPr>
            <w:tcW w:w="2104" w:type="pct"/>
            <w:vAlign w:val="center"/>
          </w:tcPr>
          <w:p>
            <w:pPr>
              <w:pStyle w:val="6"/>
              <w:snapToGrid w:val="0"/>
              <w:ind w:firstLine="0"/>
              <w:rPr>
                <w:szCs w:val="21"/>
              </w:rPr>
            </w:pPr>
            <w:r>
              <w:rPr>
                <w:szCs w:val="21"/>
              </w:rPr>
              <w:t>净循环水站1座，20×10m，钢筋混凝土框架结构，布设有水泵、冷却塔、自清洗过滤器</w:t>
            </w:r>
          </w:p>
        </w:tc>
        <w:tc>
          <w:tcPr>
            <w:tcW w:w="2006" w:type="pct"/>
            <w:vAlign w:val="center"/>
          </w:tcPr>
          <w:p>
            <w:pPr>
              <w:pStyle w:val="6"/>
              <w:snapToGrid w:val="0"/>
              <w:ind w:firstLine="0"/>
              <w:rPr>
                <w:szCs w:val="21"/>
              </w:rPr>
            </w:pPr>
            <w:r>
              <w:rPr>
                <w:szCs w:val="21"/>
              </w:rPr>
              <w:t>净循环水系统布设有水泵、冷却塔、自清洗过滤器</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浊循环水站1座，15×10m，钢筋混凝土框架结构，布设有水泵、冷却塔、自清洗过滤器</w:t>
            </w:r>
          </w:p>
        </w:tc>
        <w:tc>
          <w:tcPr>
            <w:tcW w:w="2006" w:type="pct"/>
            <w:vAlign w:val="center"/>
          </w:tcPr>
          <w:p>
            <w:pPr>
              <w:pStyle w:val="6"/>
              <w:snapToGrid w:val="0"/>
              <w:ind w:firstLine="0"/>
              <w:rPr>
                <w:szCs w:val="21"/>
              </w:rPr>
            </w:pPr>
            <w:r>
              <w:rPr>
                <w:szCs w:val="21"/>
              </w:rPr>
              <w:t>浊循环水系统布设有水泵、冷却塔、自清洗过滤器</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脱盐水，由硅钢厂现有脱盐水管网供给</w:t>
            </w:r>
          </w:p>
        </w:tc>
        <w:tc>
          <w:tcPr>
            <w:tcW w:w="2006" w:type="pct"/>
            <w:vAlign w:val="center"/>
          </w:tcPr>
          <w:p>
            <w:pPr>
              <w:pStyle w:val="6"/>
              <w:snapToGrid w:val="0"/>
              <w:ind w:firstLine="0"/>
              <w:rPr>
                <w:szCs w:val="21"/>
              </w:rPr>
            </w:pPr>
            <w:r>
              <w:rPr>
                <w:szCs w:val="21"/>
              </w:rPr>
              <w:t>由硅钢厂现有脱盐水管网供给</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restart"/>
            <w:vAlign w:val="center"/>
          </w:tcPr>
          <w:p>
            <w:pPr>
              <w:pStyle w:val="6"/>
              <w:snapToGrid w:val="0"/>
              <w:ind w:firstLine="0"/>
              <w:jc w:val="center"/>
              <w:rPr>
                <w:szCs w:val="21"/>
              </w:rPr>
            </w:pPr>
            <w:r>
              <w:rPr>
                <w:szCs w:val="21"/>
              </w:rPr>
              <w:t>公用工程</w:t>
            </w:r>
          </w:p>
        </w:tc>
        <w:tc>
          <w:tcPr>
            <w:tcW w:w="2104" w:type="pct"/>
            <w:vAlign w:val="center"/>
          </w:tcPr>
          <w:p>
            <w:pPr>
              <w:pStyle w:val="6"/>
              <w:snapToGrid w:val="0"/>
              <w:ind w:firstLine="0"/>
              <w:rPr>
                <w:szCs w:val="21"/>
              </w:rPr>
            </w:pPr>
            <w:r>
              <w:rPr>
                <w:szCs w:val="21"/>
              </w:rPr>
              <w:t>压缩空气，公司管网统一供给压缩空气</w:t>
            </w:r>
          </w:p>
        </w:tc>
        <w:tc>
          <w:tcPr>
            <w:tcW w:w="2006" w:type="pct"/>
            <w:vAlign w:val="center"/>
          </w:tcPr>
          <w:p>
            <w:pPr>
              <w:pStyle w:val="6"/>
              <w:snapToGrid w:val="0"/>
              <w:ind w:firstLine="0"/>
              <w:rPr>
                <w:szCs w:val="21"/>
              </w:rPr>
            </w:pPr>
            <w:r>
              <w:rPr>
                <w:szCs w:val="21"/>
              </w:rPr>
              <w:t>公司管网统一供给压缩空气</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电力，在项目区域内设一座110/10KV总降压变电站</w:t>
            </w:r>
          </w:p>
        </w:tc>
        <w:tc>
          <w:tcPr>
            <w:tcW w:w="2006" w:type="pct"/>
            <w:vAlign w:val="center"/>
          </w:tcPr>
          <w:p>
            <w:pPr>
              <w:pStyle w:val="6"/>
              <w:snapToGrid w:val="0"/>
              <w:ind w:firstLine="0"/>
              <w:rPr>
                <w:szCs w:val="21"/>
              </w:rPr>
            </w:pPr>
            <w:r>
              <w:rPr>
                <w:szCs w:val="21"/>
              </w:rPr>
              <w:t>由厂区内变电站供给</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焦炉煤气，从厂区管网接出DN800城市焦炉煤气，调压后合并为1根DN800管道进入车间</w:t>
            </w:r>
          </w:p>
        </w:tc>
        <w:tc>
          <w:tcPr>
            <w:tcW w:w="2006" w:type="pct"/>
            <w:vAlign w:val="center"/>
          </w:tcPr>
          <w:p>
            <w:pPr>
              <w:pStyle w:val="6"/>
              <w:snapToGrid w:val="0"/>
              <w:ind w:firstLine="0"/>
              <w:rPr>
                <w:szCs w:val="21"/>
              </w:rPr>
            </w:pPr>
            <w:r>
              <w:rPr>
                <w:szCs w:val="21"/>
              </w:rPr>
              <w:t>焦炉煤气由厂区管网统一供给</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蒸汽，公司蒸汽管网统一供给</w:t>
            </w:r>
          </w:p>
        </w:tc>
        <w:tc>
          <w:tcPr>
            <w:tcW w:w="2006" w:type="pct"/>
            <w:vAlign w:val="center"/>
          </w:tcPr>
          <w:p>
            <w:pPr>
              <w:pStyle w:val="6"/>
              <w:snapToGrid w:val="0"/>
              <w:ind w:firstLine="0"/>
              <w:rPr>
                <w:szCs w:val="21"/>
              </w:rPr>
            </w:pPr>
            <w:r>
              <w:rPr>
                <w:szCs w:val="21"/>
              </w:rPr>
              <w:t>公司蒸汽管网统一供给</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供水，公司管网统一供给</w:t>
            </w:r>
          </w:p>
        </w:tc>
        <w:tc>
          <w:tcPr>
            <w:tcW w:w="2006" w:type="pct"/>
            <w:vAlign w:val="center"/>
          </w:tcPr>
          <w:p>
            <w:pPr>
              <w:pStyle w:val="6"/>
              <w:snapToGrid w:val="0"/>
              <w:ind w:firstLine="0"/>
              <w:rPr>
                <w:szCs w:val="21"/>
              </w:rPr>
            </w:pPr>
            <w:r>
              <w:rPr>
                <w:szCs w:val="21"/>
              </w:rPr>
              <w:t>公司管网统一供给</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氮气，自设氮气储罐，500m</w:t>
            </w:r>
            <w:r>
              <w:rPr>
                <w:szCs w:val="21"/>
                <w:vertAlign w:val="superscript"/>
              </w:rPr>
              <w:t>3</w:t>
            </w:r>
            <w:r>
              <w:rPr>
                <w:szCs w:val="21"/>
              </w:rPr>
              <w:t>（标况）</w:t>
            </w:r>
          </w:p>
        </w:tc>
        <w:tc>
          <w:tcPr>
            <w:tcW w:w="2006" w:type="pct"/>
            <w:vAlign w:val="center"/>
          </w:tcPr>
          <w:p>
            <w:pPr>
              <w:pStyle w:val="6"/>
              <w:snapToGrid w:val="0"/>
              <w:ind w:firstLine="0"/>
              <w:rPr>
                <w:szCs w:val="21"/>
              </w:rPr>
            </w:pPr>
            <w:r>
              <w:rPr>
                <w:szCs w:val="21"/>
              </w:rPr>
              <w:t>设置氮气储罐</w:t>
            </w:r>
          </w:p>
        </w:tc>
        <w:tc>
          <w:tcPr>
            <w:tcW w:w="526" w:type="pct"/>
            <w:vAlign w:val="center"/>
          </w:tcPr>
          <w:p>
            <w:pPr>
              <w:pStyle w:val="6"/>
              <w:snapToGrid w:val="0"/>
              <w:ind w:firstLine="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采暖，采暖的热源为无氧化退火炉余热利用的高温水</w:t>
            </w:r>
          </w:p>
        </w:tc>
        <w:tc>
          <w:tcPr>
            <w:tcW w:w="2006" w:type="pct"/>
            <w:vAlign w:val="center"/>
          </w:tcPr>
          <w:p>
            <w:pPr>
              <w:pStyle w:val="6"/>
              <w:snapToGrid w:val="0"/>
              <w:ind w:firstLine="0"/>
              <w:rPr>
                <w:szCs w:val="21"/>
              </w:rPr>
            </w:pPr>
            <w:r>
              <w:rPr>
                <w:szCs w:val="21"/>
              </w:rPr>
              <w:t>采暖的热源为退火炉（无氧化退火炉）的余热利用的高温水，热水的温度约为80℃</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restart"/>
            <w:vAlign w:val="center"/>
          </w:tcPr>
          <w:p>
            <w:pPr>
              <w:pStyle w:val="6"/>
              <w:snapToGrid w:val="0"/>
              <w:ind w:firstLine="0"/>
              <w:jc w:val="center"/>
              <w:rPr>
                <w:szCs w:val="21"/>
              </w:rPr>
            </w:pPr>
            <w:r>
              <w:rPr>
                <w:szCs w:val="21"/>
              </w:rPr>
              <w:t>环保工程</w:t>
            </w:r>
          </w:p>
        </w:tc>
        <w:tc>
          <w:tcPr>
            <w:tcW w:w="2104" w:type="pct"/>
            <w:vAlign w:val="center"/>
          </w:tcPr>
          <w:p>
            <w:pPr>
              <w:pStyle w:val="6"/>
              <w:snapToGrid w:val="0"/>
              <w:ind w:firstLine="0"/>
              <w:rPr>
                <w:szCs w:val="21"/>
              </w:rPr>
            </w:pPr>
            <w:r>
              <w:rPr>
                <w:szCs w:val="21"/>
              </w:rPr>
              <w:t>酸雾净化塔1座，处理效率为85%</w:t>
            </w:r>
          </w:p>
        </w:tc>
        <w:tc>
          <w:tcPr>
            <w:tcW w:w="2006" w:type="pct"/>
            <w:vAlign w:val="center"/>
          </w:tcPr>
          <w:p>
            <w:pPr>
              <w:pStyle w:val="6"/>
              <w:snapToGrid w:val="0"/>
              <w:ind w:firstLine="0"/>
              <w:rPr>
                <w:szCs w:val="21"/>
              </w:rPr>
            </w:pPr>
            <w:r>
              <w:rPr>
                <w:szCs w:val="21"/>
              </w:rPr>
              <w:t>酸雾净化塔处理风量为16000 m</w:t>
            </w:r>
            <w:r>
              <w:rPr>
                <w:szCs w:val="21"/>
                <w:vertAlign w:val="superscript"/>
              </w:rPr>
              <w:t>3</w:t>
            </w:r>
            <w:r>
              <w:rPr>
                <w:szCs w:val="21"/>
              </w:rPr>
              <w:t>/h，排气筒高25m，直径0.8m</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抛丸除尘间，15×10m，高7m，采用轻钢结构。布设有布袋除尘器</w:t>
            </w:r>
          </w:p>
        </w:tc>
        <w:tc>
          <w:tcPr>
            <w:tcW w:w="2006" w:type="pct"/>
            <w:vAlign w:val="center"/>
          </w:tcPr>
          <w:p>
            <w:pPr>
              <w:pStyle w:val="6"/>
              <w:snapToGrid w:val="0"/>
              <w:ind w:firstLine="0"/>
              <w:rPr>
                <w:szCs w:val="21"/>
              </w:rPr>
            </w:pPr>
            <w:r>
              <w:rPr>
                <w:szCs w:val="21"/>
              </w:rPr>
              <w:t>抛丸机后短接一个旋风除尘器然后管路接袋式除尘器</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抛丸布袋除尘系统，除尘效率99%</w:t>
            </w:r>
          </w:p>
        </w:tc>
        <w:tc>
          <w:tcPr>
            <w:tcW w:w="2006" w:type="pct"/>
            <w:vAlign w:val="center"/>
          </w:tcPr>
          <w:p>
            <w:pPr>
              <w:pStyle w:val="6"/>
              <w:snapToGrid w:val="0"/>
              <w:ind w:firstLine="0"/>
              <w:rPr>
                <w:szCs w:val="21"/>
              </w:rPr>
            </w:pPr>
            <w:r>
              <w:rPr>
                <w:szCs w:val="21"/>
              </w:rPr>
              <w:t>抛丸机除尘器风量为70000 m</w:t>
            </w:r>
            <w:r>
              <w:rPr>
                <w:szCs w:val="21"/>
                <w:vertAlign w:val="superscript"/>
              </w:rPr>
              <w:t>3</w:t>
            </w:r>
            <w:r>
              <w:rPr>
                <w:szCs w:val="21"/>
              </w:rPr>
              <w:t>/h，排气筒高18m，直径0.6m</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绿化，厂界及厂区空地绿化率15%</w:t>
            </w:r>
          </w:p>
        </w:tc>
        <w:tc>
          <w:tcPr>
            <w:tcW w:w="2006" w:type="pct"/>
            <w:vAlign w:val="center"/>
          </w:tcPr>
          <w:p>
            <w:pPr>
              <w:pStyle w:val="6"/>
              <w:snapToGrid w:val="0"/>
              <w:ind w:firstLine="0"/>
              <w:rPr>
                <w:szCs w:val="21"/>
              </w:rPr>
            </w:pPr>
            <w:r>
              <w:rPr>
                <w:szCs w:val="21"/>
              </w:rPr>
              <w:t>厂区空地设置绿化隔离带</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restart"/>
            <w:vAlign w:val="center"/>
          </w:tcPr>
          <w:p>
            <w:pPr>
              <w:pStyle w:val="6"/>
              <w:snapToGrid w:val="0"/>
              <w:ind w:firstLine="0"/>
              <w:jc w:val="center"/>
              <w:rPr>
                <w:szCs w:val="21"/>
              </w:rPr>
            </w:pPr>
            <w:r>
              <w:rPr>
                <w:szCs w:val="21"/>
              </w:rPr>
              <w:t>依托工程</w:t>
            </w:r>
          </w:p>
        </w:tc>
        <w:tc>
          <w:tcPr>
            <w:tcW w:w="2104" w:type="pct"/>
            <w:vAlign w:val="center"/>
          </w:tcPr>
          <w:p>
            <w:pPr>
              <w:pStyle w:val="6"/>
              <w:snapToGrid w:val="0"/>
              <w:ind w:firstLine="0"/>
              <w:rPr>
                <w:szCs w:val="21"/>
              </w:rPr>
            </w:pPr>
            <w:r>
              <w:rPr>
                <w:szCs w:val="21"/>
              </w:rPr>
              <w:t xml:space="preserve">废盐酸处理回收，依托硅钢厂现有酸再生站， </w:t>
            </w:r>
          </w:p>
        </w:tc>
        <w:tc>
          <w:tcPr>
            <w:tcW w:w="2006" w:type="pct"/>
            <w:vAlign w:val="center"/>
          </w:tcPr>
          <w:p>
            <w:pPr>
              <w:pStyle w:val="6"/>
              <w:snapToGrid w:val="0"/>
              <w:ind w:firstLine="0"/>
              <w:rPr>
                <w:szCs w:val="21"/>
              </w:rPr>
            </w:pPr>
            <w:r>
              <w:rPr>
                <w:szCs w:val="21"/>
              </w:rPr>
              <w:t>废酸送酸再生处理装置回收利用</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 xml:space="preserve">生产废水处理，依托赵庄污水处理厂， </w:t>
            </w:r>
          </w:p>
        </w:tc>
        <w:tc>
          <w:tcPr>
            <w:tcW w:w="2006" w:type="pct"/>
            <w:vAlign w:val="center"/>
          </w:tcPr>
          <w:p>
            <w:pPr>
              <w:pStyle w:val="6"/>
              <w:snapToGrid w:val="0"/>
              <w:ind w:firstLine="0"/>
              <w:rPr>
                <w:szCs w:val="21"/>
              </w:rPr>
            </w:pPr>
            <w:r>
              <w:rPr>
                <w:szCs w:val="21"/>
              </w:rPr>
              <w:t>生产废水依托赵庄污水处理厂</w:t>
            </w:r>
          </w:p>
        </w:tc>
        <w:tc>
          <w:tcPr>
            <w:tcW w:w="526" w:type="pct"/>
            <w:vAlign w:val="center"/>
          </w:tcPr>
          <w:p>
            <w:pPr>
              <w:pStyle w:val="6"/>
              <w:snapToGrid w:val="0"/>
              <w:ind w:firstLine="0"/>
              <w:jc w:val="center"/>
              <w:rPr>
                <w:szCs w:val="21"/>
              </w:rPr>
            </w:pPr>
            <w:r>
              <w:rPr>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vMerge w:val="continue"/>
            <w:vAlign w:val="center"/>
          </w:tcPr>
          <w:p>
            <w:pPr>
              <w:widowControl/>
              <w:snapToGrid w:val="0"/>
              <w:jc w:val="left"/>
              <w:rPr>
                <w:rFonts w:ascii="Times New Roman" w:hAnsi="Times New Roman" w:cs="Times New Roman"/>
                <w:szCs w:val="21"/>
              </w:rPr>
            </w:pPr>
          </w:p>
        </w:tc>
        <w:tc>
          <w:tcPr>
            <w:tcW w:w="2104" w:type="pct"/>
            <w:vAlign w:val="center"/>
          </w:tcPr>
          <w:p>
            <w:pPr>
              <w:pStyle w:val="6"/>
              <w:snapToGrid w:val="0"/>
              <w:ind w:firstLine="0"/>
              <w:rPr>
                <w:szCs w:val="21"/>
              </w:rPr>
            </w:pPr>
            <w:r>
              <w:rPr>
                <w:szCs w:val="21"/>
              </w:rPr>
              <w:t>危险废物处置，依托太原钢铁（集团）公司福利总厂</w:t>
            </w:r>
          </w:p>
        </w:tc>
        <w:tc>
          <w:tcPr>
            <w:tcW w:w="2006" w:type="pct"/>
            <w:vAlign w:val="center"/>
          </w:tcPr>
          <w:p>
            <w:pPr>
              <w:pStyle w:val="6"/>
              <w:snapToGrid w:val="0"/>
              <w:ind w:firstLine="0"/>
              <w:rPr>
                <w:szCs w:val="21"/>
              </w:rPr>
            </w:pPr>
            <w:r>
              <w:rPr>
                <w:szCs w:val="21"/>
              </w:rPr>
              <w:t>项目产生的废机油由山西新鸿顺能源有限公司定期运输及处理。</w:t>
            </w:r>
          </w:p>
        </w:tc>
        <w:tc>
          <w:tcPr>
            <w:tcW w:w="526" w:type="pct"/>
            <w:vAlign w:val="center"/>
          </w:tcPr>
          <w:p>
            <w:pPr>
              <w:pStyle w:val="6"/>
              <w:snapToGrid w:val="0"/>
              <w:ind w:firstLine="0"/>
              <w:jc w:val="center"/>
              <w:rPr>
                <w:szCs w:val="21"/>
              </w:rPr>
            </w:pPr>
            <w:r>
              <w:rPr>
                <w:szCs w:val="21"/>
              </w:rPr>
              <w:t>与环评不一致</w:t>
            </w:r>
          </w:p>
        </w:tc>
      </w:tr>
    </w:tbl>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（二）建设过程及环保审批情况</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1、项目环境影响报告表编制与审批情况</w:t>
      </w:r>
    </w:p>
    <w:p>
      <w:pPr>
        <w:autoSpaceDE w:val="0"/>
        <w:autoSpaceDN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原山西省经济和信息化委员会于2012年5月</w:t>
      </w:r>
      <w:r>
        <w:rPr>
          <w:rFonts w:hint="eastAsia" w:ascii="Times New Roman" w:hAnsi="Times New Roman" w:cs="Times New Roman"/>
          <w:sz w:val="28"/>
          <w:szCs w:val="28"/>
        </w:rPr>
        <w:t>31</w:t>
      </w:r>
      <w:r>
        <w:rPr>
          <w:rFonts w:ascii="Times New Roman" w:hAnsi="Times New Roman" w:cs="Times New Roman"/>
          <w:sz w:val="28"/>
          <w:szCs w:val="28"/>
        </w:rPr>
        <w:t>日以晋经信投资字[2012]233号文对该项目进行了备案。山西清源环境咨询有限公司于2012年9月编制完成了《山西太钢不锈钢股份有限公司硅钢常化酸洗生产线技术改造项目环境影响报告表》（送审本）。原山西省环境保护厅于2012年12月4日以晋环函[2012]2589号文对该项目环境影响报告表进行了批复。</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2、开工与竣工时间、调试运行时间</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于2012年12月开工建设，于2018年9月竣工，于2018年9月3日至12月2日进行试生产并进行环保设施调试。调试期间，委托中铁三局集团有限公司环境监测站于2018年11月14日至11月21日按照验收监测方案开展了验收监测和环境管理检查。</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3、排污许可证申领情况</w:t>
      </w:r>
    </w:p>
    <w:p>
      <w:pPr>
        <w:overflowPunct w:val="0"/>
        <w:snapToGrid w:val="0"/>
        <w:spacing w:line="500" w:lineRule="exact"/>
        <w:ind w:firstLine="560" w:firstLineChars="200"/>
        <w:rPr>
          <w:rFonts w:ascii="Times New Roman" w:hAnsi="Times New Roman" w:cs="Times New Roman"/>
          <w:sz w:val="28"/>
          <w:szCs w:val="28"/>
        </w:rPr>
      </w:pPr>
      <w:bookmarkStart w:id="1" w:name="_Hlk5126001"/>
      <w:r>
        <w:rPr>
          <w:rFonts w:ascii="Times New Roman" w:hAnsi="Times New Roman" w:cs="Times New Roman"/>
          <w:color w:val="000000"/>
          <w:sz w:val="28"/>
          <w:szCs w:val="28"/>
        </w:rPr>
        <w:t>山西太钢不锈钢股份有限公司</w:t>
      </w:r>
      <w:bookmarkEnd w:id="1"/>
      <w:r>
        <w:rPr>
          <w:rFonts w:ascii="Times New Roman" w:hAnsi="Times New Roman" w:cs="Times New Roman"/>
          <w:color w:val="000000"/>
          <w:sz w:val="28"/>
          <w:szCs w:val="28"/>
        </w:rPr>
        <w:t>于</w:t>
      </w:r>
      <w:r>
        <w:rPr>
          <w:rFonts w:ascii="Times New Roman" w:hAnsi="Times New Roman" w:cs="Times New Roman"/>
          <w:sz w:val="28"/>
          <w:szCs w:val="28"/>
        </w:rPr>
        <w:t>2018年</w:t>
      </w:r>
      <w:r>
        <w:rPr>
          <w:rFonts w:ascii="Times New Roman" w:hAnsi="Times New Roman" w:cs="Times New Roman"/>
          <w:color w:val="000000"/>
          <w:sz w:val="28"/>
          <w:szCs w:val="28"/>
        </w:rPr>
        <w:t>9月20日申领了排污许可证，许可证编</w:t>
      </w:r>
      <w:r>
        <w:rPr>
          <w:rFonts w:ascii="Times New Roman" w:hAnsi="Times New Roman" w:cs="Times New Roman"/>
          <w:sz w:val="28"/>
          <w:szCs w:val="28"/>
        </w:rPr>
        <w:t>号91140000701011888X001P。</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4、项目从立项至调试过程中无环境投诉、违法或处罚记录等。</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（三）投资情况</w:t>
      </w:r>
    </w:p>
    <w:p>
      <w:pPr>
        <w:tabs>
          <w:tab w:val="left" w:pos="4305"/>
        </w:tabs>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sz w:val="28"/>
          <w:szCs w:val="28"/>
        </w:rPr>
        <w:t>项目实际</w:t>
      </w:r>
      <w:r>
        <w:rPr>
          <w:rFonts w:ascii="Times New Roman" w:hAnsi="Times New Roman" w:cs="Times New Roman"/>
          <w:color w:val="000000"/>
          <w:sz w:val="28"/>
          <w:szCs w:val="28"/>
        </w:rPr>
        <w:t>总投资</w:t>
      </w:r>
      <w:r>
        <w:rPr>
          <w:rFonts w:ascii="Times New Roman" w:hAnsi="Times New Roman" w:cs="Times New Roman"/>
          <w:sz w:val="28"/>
          <w:szCs w:val="28"/>
        </w:rPr>
        <w:t>268602.77万元，其中环保投资22760万元</w:t>
      </w:r>
      <w:r>
        <w:rPr>
          <w:rFonts w:ascii="Times New Roman" w:hAnsi="Times New Roman" w:cs="Times New Roman"/>
          <w:color w:val="000000"/>
          <w:sz w:val="28"/>
          <w:szCs w:val="28"/>
        </w:rPr>
        <w:t>，占总投资的8.5%。</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（四）验收范围</w:t>
      </w:r>
    </w:p>
    <w:p>
      <w:pPr>
        <w:overflowPunct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color w:val="000000"/>
          <w:sz w:val="28"/>
          <w:szCs w:val="28"/>
        </w:rPr>
        <w:t>本次竣工环</w:t>
      </w:r>
      <w:r>
        <w:rPr>
          <w:rFonts w:ascii="Times New Roman" w:hAnsi="Times New Roman" w:cs="Times New Roman"/>
          <w:sz w:val="28"/>
          <w:szCs w:val="28"/>
        </w:rPr>
        <w:t>境保护验收包括太钢不锈钢股份有限公司硅钢冷连轧技术改造项目（年产100万吨中低牌号无取向硅钢）的主体工程、辅助工程、环保工程及公辅设施等。</w:t>
      </w:r>
    </w:p>
    <w:p>
      <w:pPr>
        <w:pStyle w:val="81"/>
        <w:snapToGrid w:val="0"/>
        <w:spacing w:before="0" w:beforeAutospacing="0" w:after="0" w:afterAutospacing="0" w:line="500" w:lineRule="exact"/>
        <w:ind w:firstLine="562" w:firstLineChars="200"/>
        <w:jc w:val="both"/>
        <w:outlineLvl w:val="0"/>
        <w:rPr>
          <w:rFonts w:ascii="Times New Roman" w:hAnsi="Times New Roman" w:cs="Times New Roman"/>
          <w:b/>
          <w:bCs/>
          <w:kern w:val="2"/>
          <w:sz w:val="28"/>
          <w:szCs w:val="28"/>
        </w:rPr>
      </w:pPr>
      <w:r>
        <w:rPr>
          <w:rFonts w:ascii="Times New Roman" w:hAnsi="Times New Roman" w:cs="Times New Roman"/>
          <w:b/>
          <w:bCs/>
          <w:kern w:val="2"/>
          <w:sz w:val="28"/>
          <w:szCs w:val="28"/>
        </w:rPr>
        <w:t>二、工程变动情况</w:t>
      </w:r>
    </w:p>
    <w:p>
      <w:pPr>
        <w:autoSpaceDE w:val="0"/>
        <w:autoSpaceDN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经核实，本项目</w:t>
      </w:r>
      <w:r>
        <w:rPr>
          <w:rFonts w:hint="eastAsia" w:ascii="Times New Roman" w:hAnsi="Times New Roman" w:cs="Times New Roman"/>
          <w:sz w:val="28"/>
          <w:szCs w:val="28"/>
        </w:rPr>
        <w:t>各项内容</w:t>
      </w:r>
      <w:r>
        <w:rPr>
          <w:rFonts w:ascii="Times New Roman" w:hAnsi="Times New Roman" w:cs="Times New Roman"/>
          <w:sz w:val="28"/>
          <w:szCs w:val="28"/>
        </w:rPr>
        <w:t>在建设过程中无变动</w:t>
      </w:r>
      <w:r>
        <w:rPr>
          <w:rFonts w:hint="eastAsia" w:ascii="Times New Roman" w:hAnsi="Times New Roman" w:cs="Times New Roman"/>
          <w:sz w:val="28"/>
          <w:szCs w:val="28"/>
        </w:rPr>
        <w:t>，仅危废处置委托单位根据实际情况做了调整</w:t>
      </w:r>
      <w:r>
        <w:rPr>
          <w:rFonts w:ascii="Times New Roman" w:hAnsi="Times New Roman" w:cs="Times New Roman"/>
          <w:sz w:val="28"/>
          <w:szCs w:val="28"/>
        </w:rPr>
        <w:t>。</w:t>
      </w:r>
    </w:p>
    <w:p>
      <w:pPr>
        <w:pStyle w:val="8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三、环境保护设施建设情况</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（一）废气产生及治理设施</w:t>
      </w:r>
    </w:p>
    <w:p>
      <w:pPr>
        <w:pStyle w:val="6"/>
        <w:snapToGrid w:val="0"/>
        <w:spacing w:line="500" w:lineRule="exact"/>
        <w:ind w:firstLine="560" w:firstLineChars="200"/>
        <w:rPr>
          <w:bCs/>
          <w:color w:val="000000"/>
          <w:sz w:val="28"/>
          <w:szCs w:val="28"/>
        </w:rPr>
      </w:pPr>
      <w:r>
        <w:rPr>
          <w:bCs/>
          <w:color w:val="000000"/>
          <w:sz w:val="28"/>
          <w:szCs w:val="28"/>
        </w:rPr>
        <w:t>本项目大气污染源主要为</w:t>
      </w:r>
      <w:bookmarkStart w:id="2" w:name="_Hlk38825160"/>
      <w:r>
        <w:rPr>
          <w:bCs/>
          <w:color w:val="000000"/>
          <w:sz w:val="28"/>
          <w:szCs w:val="28"/>
        </w:rPr>
        <w:t>加热炉烟气</w:t>
      </w:r>
      <w:bookmarkEnd w:id="2"/>
      <w:r>
        <w:rPr>
          <w:bCs/>
          <w:color w:val="000000"/>
          <w:sz w:val="28"/>
          <w:szCs w:val="28"/>
        </w:rPr>
        <w:t>、</w:t>
      </w:r>
      <w:bookmarkStart w:id="3" w:name="_Hlk38825206"/>
      <w:r>
        <w:rPr>
          <w:bCs/>
          <w:color w:val="000000"/>
          <w:sz w:val="28"/>
          <w:szCs w:val="28"/>
        </w:rPr>
        <w:t>抛丸机废气</w:t>
      </w:r>
      <w:bookmarkEnd w:id="3"/>
      <w:r>
        <w:rPr>
          <w:bCs/>
          <w:color w:val="000000"/>
          <w:sz w:val="28"/>
          <w:szCs w:val="28"/>
        </w:rPr>
        <w:t>、</w:t>
      </w:r>
      <w:bookmarkStart w:id="4" w:name="_Hlk38825295"/>
      <w:r>
        <w:rPr>
          <w:bCs/>
          <w:color w:val="000000"/>
          <w:sz w:val="28"/>
          <w:szCs w:val="28"/>
        </w:rPr>
        <w:t>常化酸洗酸雾</w:t>
      </w:r>
      <w:bookmarkEnd w:id="4"/>
      <w:r>
        <w:rPr>
          <w:bCs/>
          <w:color w:val="000000"/>
          <w:sz w:val="28"/>
          <w:szCs w:val="28"/>
        </w:rPr>
        <w:t>等。</w:t>
      </w:r>
    </w:p>
    <w:p>
      <w:pPr>
        <w:pStyle w:val="6"/>
        <w:snapToGrid w:val="0"/>
        <w:spacing w:line="500" w:lineRule="exact"/>
        <w:ind w:firstLine="560" w:firstLineChars="200"/>
        <w:rPr>
          <w:bCs/>
          <w:color w:val="000000"/>
          <w:sz w:val="28"/>
          <w:szCs w:val="28"/>
        </w:rPr>
      </w:pPr>
      <w:r>
        <w:rPr>
          <w:bCs/>
          <w:color w:val="000000"/>
          <w:sz w:val="28"/>
          <w:szCs w:val="28"/>
        </w:rPr>
        <w:t>1、加热炉烟气</w:t>
      </w:r>
    </w:p>
    <w:p>
      <w:pPr>
        <w:pStyle w:val="6"/>
        <w:snapToGrid w:val="0"/>
        <w:spacing w:line="500" w:lineRule="exact"/>
        <w:ind w:firstLine="560" w:firstLineChars="200"/>
        <w:rPr>
          <w:bCs/>
          <w:color w:val="000000"/>
          <w:sz w:val="28"/>
          <w:szCs w:val="28"/>
        </w:rPr>
      </w:pPr>
      <w:r>
        <w:rPr>
          <w:bCs/>
          <w:color w:val="000000"/>
          <w:sz w:val="28"/>
          <w:szCs w:val="28"/>
        </w:rPr>
        <w:t>预热/无氧化加热炉燃用精脱硫的焦炉煤气</w:t>
      </w:r>
      <w:r>
        <w:rPr>
          <w:rFonts w:hint="eastAsia"/>
          <w:bCs/>
          <w:color w:val="000000"/>
          <w:sz w:val="28"/>
          <w:szCs w:val="28"/>
        </w:rPr>
        <w:t>，燃烧</w:t>
      </w:r>
      <w:r>
        <w:rPr>
          <w:bCs/>
          <w:color w:val="000000"/>
          <w:sz w:val="28"/>
          <w:szCs w:val="28"/>
        </w:rPr>
        <w:t>废气经过22m高的排气筒排放。</w:t>
      </w:r>
    </w:p>
    <w:p>
      <w:pPr>
        <w:pStyle w:val="6"/>
        <w:snapToGrid w:val="0"/>
        <w:spacing w:line="500" w:lineRule="exact"/>
        <w:ind w:firstLine="560" w:firstLineChars="200"/>
        <w:rPr>
          <w:bCs/>
          <w:color w:val="000000"/>
          <w:sz w:val="28"/>
          <w:szCs w:val="28"/>
        </w:rPr>
      </w:pPr>
      <w:r>
        <w:rPr>
          <w:bCs/>
          <w:color w:val="000000"/>
          <w:sz w:val="28"/>
          <w:szCs w:val="28"/>
        </w:rPr>
        <w:t>2、抛丸机废气</w:t>
      </w:r>
    </w:p>
    <w:p>
      <w:pPr>
        <w:pStyle w:val="6"/>
        <w:snapToGrid w:val="0"/>
        <w:spacing w:line="500" w:lineRule="exact"/>
        <w:ind w:firstLine="560" w:firstLineChars="200"/>
        <w:rPr>
          <w:bCs/>
          <w:color w:val="000000"/>
          <w:sz w:val="28"/>
          <w:szCs w:val="28"/>
        </w:rPr>
      </w:pPr>
      <w:r>
        <w:rPr>
          <w:rFonts w:hint="eastAsia"/>
          <w:bCs/>
          <w:color w:val="000000"/>
          <w:sz w:val="28"/>
          <w:szCs w:val="28"/>
        </w:rPr>
        <w:t>废气经</w:t>
      </w:r>
      <w:r>
        <w:rPr>
          <w:bCs/>
          <w:color w:val="000000"/>
          <w:sz w:val="28"/>
          <w:szCs w:val="28"/>
        </w:rPr>
        <w:t>旋风除尘器</w:t>
      </w:r>
      <w:r>
        <w:rPr>
          <w:rFonts w:hint="eastAsia"/>
          <w:bCs/>
          <w:color w:val="000000"/>
          <w:sz w:val="28"/>
          <w:szCs w:val="28"/>
        </w:rPr>
        <w:t>、</w:t>
      </w:r>
      <w:r>
        <w:rPr>
          <w:bCs/>
          <w:color w:val="000000"/>
          <w:sz w:val="28"/>
          <w:szCs w:val="28"/>
        </w:rPr>
        <w:t>袋式除尘器处理后由18m高排气筒排放；</w:t>
      </w:r>
    </w:p>
    <w:p>
      <w:pPr>
        <w:pStyle w:val="6"/>
        <w:snapToGrid w:val="0"/>
        <w:spacing w:line="500" w:lineRule="exact"/>
        <w:ind w:firstLine="560" w:firstLineChars="200"/>
        <w:rPr>
          <w:bCs/>
          <w:color w:val="000000"/>
          <w:sz w:val="28"/>
          <w:szCs w:val="28"/>
        </w:rPr>
      </w:pPr>
      <w:r>
        <w:rPr>
          <w:bCs/>
          <w:color w:val="000000"/>
          <w:sz w:val="28"/>
          <w:szCs w:val="28"/>
        </w:rPr>
        <w:t>3、常化酸洗酸雾</w:t>
      </w:r>
    </w:p>
    <w:p>
      <w:pPr>
        <w:pStyle w:val="6"/>
        <w:snapToGrid w:val="0"/>
        <w:spacing w:line="500" w:lineRule="exact"/>
        <w:ind w:firstLine="560" w:firstLineChars="200"/>
        <w:rPr>
          <w:bCs/>
          <w:color w:val="000000"/>
          <w:sz w:val="28"/>
          <w:szCs w:val="28"/>
        </w:rPr>
      </w:pPr>
      <w:r>
        <w:rPr>
          <w:bCs/>
          <w:color w:val="000000"/>
          <w:sz w:val="28"/>
          <w:szCs w:val="28"/>
        </w:rPr>
        <w:t>常化酸洗机组产生的酸雾经酸雾净化塔水洗净化后由25m高排气筒排放。</w:t>
      </w:r>
    </w:p>
    <w:p>
      <w:pPr>
        <w:pStyle w:val="6"/>
        <w:snapToGrid w:val="0"/>
        <w:spacing w:line="500" w:lineRule="exact"/>
        <w:ind w:firstLine="560" w:firstLineChars="200"/>
        <w:rPr>
          <w:bCs/>
          <w:color w:val="000000"/>
          <w:sz w:val="28"/>
          <w:szCs w:val="28"/>
        </w:rPr>
      </w:pPr>
      <w:r>
        <w:rPr>
          <w:bCs/>
          <w:color w:val="000000"/>
          <w:sz w:val="28"/>
          <w:szCs w:val="28"/>
        </w:rPr>
        <w:t>（二）废水产生及治理设施</w:t>
      </w:r>
    </w:p>
    <w:p>
      <w:pPr>
        <w:pStyle w:val="6"/>
        <w:snapToGrid w:val="0"/>
        <w:spacing w:line="500" w:lineRule="exact"/>
        <w:ind w:firstLine="560" w:firstLineChars="200"/>
        <w:rPr>
          <w:bCs/>
          <w:color w:val="000000"/>
          <w:sz w:val="28"/>
          <w:szCs w:val="28"/>
        </w:rPr>
      </w:pPr>
      <w:r>
        <w:rPr>
          <w:bCs/>
          <w:color w:val="000000"/>
          <w:sz w:val="28"/>
          <w:szCs w:val="28"/>
        </w:rPr>
        <w:t>1、</w:t>
      </w:r>
      <w:r>
        <w:rPr>
          <w:rFonts w:hint="eastAsia"/>
          <w:bCs/>
          <w:color w:val="000000"/>
          <w:sz w:val="28"/>
          <w:szCs w:val="28"/>
        </w:rPr>
        <w:t>浊</w:t>
      </w:r>
      <w:r>
        <w:rPr>
          <w:bCs/>
          <w:color w:val="000000"/>
          <w:sz w:val="28"/>
          <w:szCs w:val="28"/>
        </w:rPr>
        <w:t>循环系统排污水送</w:t>
      </w:r>
      <w:r>
        <w:rPr>
          <w:rFonts w:hint="eastAsia"/>
          <w:bCs/>
          <w:color w:val="000000"/>
          <w:sz w:val="28"/>
          <w:szCs w:val="28"/>
        </w:rPr>
        <w:t>依托工程太钢</w:t>
      </w:r>
      <w:r>
        <w:rPr>
          <w:bCs/>
          <w:color w:val="000000"/>
          <w:sz w:val="28"/>
          <w:szCs w:val="28"/>
        </w:rPr>
        <w:t>赵庄污水处理厂处理后回用；</w:t>
      </w:r>
    </w:p>
    <w:p>
      <w:pPr>
        <w:pStyle w:val="6"/>
        <w:snapToGrid w:val="0"/>
        <w:spacing w:line="500" w:lineRule="exact"/>
        <w:ind w:firstLine="560" w:firstLineChars="200"/>
        <w:rPr>
          <w:bCs/>
          <w:color w:val="000000"/>
          <w:sz w:val="28"/>
          <w:szCs w:val="28"/>
        </w:rPr>
      </w:pPr>
      <w:r>
        <w:rPr>
          <w:bCs/>
          <w:color w:val="000000"/>
          <w:sz w:val="28"/>
          <w:szCs w:val="28"/>
        </w:rPr>
        <w:t>2、酸化漂洗和酸雾洗涤废水送至</w:t>
      </w:r>
      <w:r>
        <w:rPr>
          <w:rFonts w:hint="eastAsia"/>
          <w:bCs/>
          <w:color w:val="000000"/>
          <w:sz w:val="28"/>
          <w:szCs w:val="28"/>
        </w:rPr>
        <w:t>依托工程</w:t>
      </w:r>
      <w:r>
        <w:rPr>
          <w:bCs/>
          <w:color w:val="000000"/>
          <w:sz w:val="28"/>
          <w:szCs w:val="28"/>
        </w:rPr>
        <w:t>太钢中和三站处理后</w:t>
      </w:r>
      <w:r>
        <w:rPr>
          <w:rFonts w:hint="eastAsia"/>
          <w:bCs/>
          <w:color w:val="000000"/>
          <w:sz w:val="28"/>
          <w:szCs w:val="28"/>
        </w:rPr>
        <w:t>，</w:t>
      </w:r>
      <w:r>
        <w:rPr>
          <w:bCs/>
          <w:color w:val="000000"/>
          <w:sz w:val="28"/>
          <w:szCs w:val="28"/>
        </w:rPr>
        <w:t>送</w:t>
      </w:r>
      <w:r>
        <w:rPr>
          <w:rFonts w:hint="eastAsia"/>
          <w:bCs/>
          <w:color w:val="000000"/>
          <w:sz w:val="28"/>
          <w:szCs w:val="28"/>
        </w:rPr>
        <w:t>太钢</w:t>
      </w:r>
      <w:r>
        <w:rPr>
          <w:bCs/>
          <w:color w:val="000000"/>
          <w:sz w:val="28"/>
          <w:szCs w:val="28"/>
        </w:rPr>
        <w:t>赵庄污水处理厂集中处理后回用；</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5" w:name="_Toc5029893"/>
      <w:r>
        <w:rPr>
          <w:rFonts w:ascii="Times New Roman" w:hAnsi="Times New Roman" w:cs="Times New Roman"/>
          <w:color w:val="000000"/>
          <w:sz w:val="28"/>
          <w:szCs w:val="28"/>
        </w:rPr>
        <w:t>（三）固体废物</w:t>
      </w:r>
      <w:bookmarkEnd w:id="5"/>
    </w:p>
    <w:p>
      <w:pPr>
        <w:pStyle w:val="6"/>
        <w:snapToGrid w:val="0"/>
        <w:spacing w:line="500" w:lineRule="exact"/>
        <w:ind w:firstLine="560" w:firstLineChars="200"/>
        <w:rPr>
          <w:bCs/>
          <w:color w:val="000000"/>
          <w:sz w:val="28"/>
          <w:szCs w:val="28"/>
        </w:rPr>
      </w:pPr>
      <w:bookmarkStart w:id="6" w:name="_Hlk38827306"/>
      <w:r>
        <w:rPr>
          <w:bCs/>
          <w:color w:val="000000"/>
          <w:sz w:val="28"/>
          <w:szCs w:val="28"/>
        </w:rPr>
        <w:t>1、一般固体废弃物：</w:t>
      </w:r>
    </w:p>
    <w:p>
      <w:pPr>
        <w:pStyle w:val="6"/>
        <w:snapToGrid w:val="0"/>
        <w:spacing w:line="500" w:lineRule="exact"/>
        <w:ind w:firstLine="560" w:firstLineChars="200"/>
        <w:rPr>
          <w:bCs/>
          <w:color w:val="000000"/>
          <w:sz w:val="28"/>
          <w:szCs w:val="28"/>
        </w:rPr>
      </w:pPr>
      <w:r>
        <w:rPr>
          <w:bCs/>
          <w:color w:val="000000"/>
          <w:sz w:val="28"/>
          <w:szCs w:val="28"/>
        </w:rPr>
        <w:t>废边角料、除尘器收集的铁粉全部进入</w:t>
      </w:r>
      <w:r>
        <w:rPr>
          <w:rFonts w:hint="eastAsia"/>
          <w:bCs/>
          <w:color w:val="000000"/>
          <w:sz w:val="28"/>
          <w:szCs w:val="28"/>
        </w:rPr>
        <w:t>公司</w:t>
      </w:r>
      <w:r>
        <w:rPr>
          <w:bCs/>
          <w:color w:val="000000"/>
          <w:sz w:val="28"/>
          <w:szCs w:val="28"/>
        </w:rPr>
        <w:t>炼钢系统和原料配料进行回收利用。</w:t>
      </w:r>
    </w:p>
    <w:p>
      <w:pPr>
        <w:pStyle w:val="6"/>
        <w:snapToGrid w:val="0"/>
        <w:spacing w:line="500" w:lineRule="exact"/>
        <w:ind w:firstLine="560" w:firstLineChars="200"/>
        <w:rPr>
          <w:bCs/>
          <w:color w:val="000000"/>
          <w:sz w:val="28"/>
          <w:szCs w:val="28"/>
        </w:rPr>
      </w:pPr>
      <w:r>
        <w:rPr>
          <w:bCs/>
          <w:color w:val="000000"/>
          <w:sz w:val="28"/>
          <w:szCs w:val="28"/>
        </w:rPr>
        <w:t>2、危险固体废弃物：</w:t>
      </w:r>
    </w:p>
    <w:p>
      <w:pPr>
        <w:pStyle w:val="6"/>
        <w:snapToGrid w:val="0"/>
        <w:spacing w:line="500" w:lineRule="exact"/>
        <w:ind w:firstLine="560" w:firstLineChars="200"/>
        <w:rPr>
          <w:bCs/>
          <w:color w:val="000000"/>
          <w:sz w:val="28"/>
          <w:szCs w:val="28"/>
        </w:rPr>
      </w:pPr>
      <w:r>
        <w:rPr>
          <w:bCs/>
          <w:color w:val="000000"/>
          <w:sz w:val="28"/>
          <w:szCs w:val="28"/>
        </w:rPr>
        <w:t>酸洗废盐酸送至</w:t>
      </w:r>
      <w:r>
        <w:rPr>
          <w:rFonts w:hint="eastAsia"/>
          <w:bCs/>
          <w:color w:val="000000"/>
          <w:sz w:val="28"/>
          <w:szCs w:val="28"/>
        </w:rPr>
        <w:t>依托工程本厂</w:t>
      </w:r>
      <w:r>
        <w:rPr>
          <w:bCs/>
          <w:color w:val="000000"/>
          <w:sz w:val="28"/>
          <w:szCs w:val="28"/>
        </w:rPr>
        <w:t>酸再生处理装置回收利用</w:t>
      </w:r>
    </w:p>
    <w:p>
      <w:pPr>
        <w:pStyle w:val="6"/>
        <w:snapToGrid w:val="0"/>
        <w:spacing w:line="500" w:lineRule="exact"/>
        <w:ind w:firstLine="560" w:firstLineChars="200"/>
        <w:rPr>
          <w:bCs/>
          <w:color w:val="000000"/>
          <w:sz w:val="28"/>
          <w:szCs w:val="28"/>
        </w:rPr>
      </w:pPr>
      <w:r>
        <w:rPr>
          <w:bCs/>
          <w:color w:val="000000"/>
          <w:sz w:val="28"/>
          <w:szCs w:val="28"/>
        </w:rPr>
        <w:t>废机油由山西新鸿顺能源有限公司</w:t>
      </w:r>
      <w:r>
        <w:rPr>
          <w:rFonts w:hint="eastAsia"/>
          <w:bCs/>
          <w:color w:val="000000"/>
          <w:sz w:val="28"/>
          <w:szCs w:val="28"/>
        </w:rPr>
        <w:t>及时</w:t>
      </w:r>
      <w:r>
        <w:rPr>
          <w:bCs/>
          <w:color w:val="000000"/>
          <w:sz w:val="28"/>
          <w:szCs w:val="28"/>
        </w:rPr>
        <w:t>运输处理。</w:t>
      </w:r>
      <w:bookmarkStart w:id="7" w:name="_Hlk5135346"/>
    </w:p>
    <w:bookmarkEnd w:id="6"/>
    <w:bookmarkEnd w:id="7"/>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8" w:name="_Toc5029894"/>
      <w:r>
        <w:rPr>
          <w:rFonts w:ascii="Times New Roman" w:hAnsi="Times New Roman" w:cs="Times New Roman"/>
          <w:color w:val="000000"/>
          <w:sz w:val="28"/>
          <w:szCs w:val="28"/>
        </w:rPr>
        <w:t>（四）噪声</w:t>
      </w:r>
      <w:bookmarkEnd w:id="8"/>
    </w:p>
    <w:p>
      <w:pPr>
        <w:pStyle w:val="81"/>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bCs/>
          <w:color w:val="000000"/>
          <w:sz w:val="28"/>
          <w:szCs w:val="28"/>
        </w:rPr>
        <w:t>产生高噪声的设</w:t>
      </w:r>
      <w:r>
        <w:rPr>
          <w:rFonts w:ascii="Times New Roman" w:hAnsi="Times New Roman" w:cs="Times New Roman"/>
          <w:bCs/>
          <w:sz w:val="28"/>
          <w:szCs w:val="28"/>
        </w:rPr>
        <w:t>备主要有</w:t>
      </w:r>
      <w:r>
        <w:rPr>
          <w:rFonts w:hint="eastAsia" w:ascii="Times New Roman" w:hAnsi="Times New Roman" w:cs="Times New Roman"/>
          <w:bCs/>
          <w:sz w:val="28"/>
          <w:szCs w:val="28"/>
        </w:rPr>
        <w:t>抛丸机、水泵、冷却塔、</w:t>
      </w:r>
      <w:r>
        <w:rPr>
          <w:rFonts w:ascii="Times New Roman" w:hAnsi="Times New Roman" w:cs="Times New Roman"/>
          <w:bCs/>
          <w:sz w:val="28"/>
          <w:szCs w:val="28"/>
        </w:rPr>
        <w:t>风机等</w:t>
      </w:r>
      <w:r>
        <w:rPr>
          <w:rFonts w:hint="eastAsia" w:ascii="Times New Roman" w:hAnsi="Times New Roman" w:cs="Times New Roman"/>
          <w:bCs/>
          <w:sz w:val="28"/>
          <w:szCs w:val="28"/>
        </w:rPr>
        <w:t>。</w:t>
      </w:r>
      <w:r>
        <w:rPr>
          <w:rFonts w:ascii="Times New Roman" w:hAnsi="Times New Roman" w:cs="Times New Roman"/>
          <w:bCs/>
          <w:sz w:val="28"/>
          <w:szCs w:val="28"/>
        </w:rPr>
        <w:t>选</w:t>
      </w:r>
      <w:r>
        <w:rPr>
          <w:rFonts w:ascii="Times New Roman" w:hAnsi="Times New Roman" w:cs="Times New Roman"/>
          <w:bCs/>
          <w:color w:val="000000"/>
          <w:sz w:val="28"/>
          <w:szCs w:val="28"/>
        </w:rPr>
        <w:t>用了低噪设备，且均布置于全封闭生产车间内，同时设减震基础，车间外设置绿化隔离带。</w:t>
      </w:r>
      <w:r>
        <w:rPr>
          <w:rFonts w:ascii="Times New Roman" w:hAnsi="Times New Roman" w:cs="Times New Roman"/>
          <w:color w:val="000000"/>
          <w:sz w:val="28"/>
          <w:szCs w:val="28"/>
        </w:rPr>
        <w:t xml:space="preserve"> </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hint="eastAsia" w:ascii="Times New Roman" w:hAnsi="Times New Roman" w:cs="Times New Roman"/>
          <w:color w:val="000000"/>
          <w:sz w:val="28"/>
          <w:szCs w:val="28"/>
        </w:rPr>
        <w:t>五</w:t>
      </w:r>
      <w:r>
        <w:rPr>
          <w:rFonts w:ascii="Times New Roman" w:hAnsi="Times New Roman" w:cs="Times New Roman"/>
          <w:color w:val="000000"/>
          <w:sz w:val="28"/>
          <w:szCs w:val="28"/>
        </w:rPr>
        <w:t>）环保设施建设情况与环评报告及批复对照</w:t>
      </w:r>
    </w:p>
    <w:p>
      <w:pPr>
        <w:pStyle w:val="81"/>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color w:val="000000"/>
          <w:sz w:val="28"/>
          <w:szCs w:val="28"/>
        </w:rPr>
        <w:t>环保设施建设情况与环评报告要求对照见表2。</w:t>
      </w:r>
    </w:p>
    <w:p>
      <w:pPr>
        <w:pStyle w:val="81"/>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p>
    <w:p>
      <w:pPr>
        <w:pStyle w:val="81"/>
        <w:snapToGrid w:val="0"/>
        <w:spacing w:before="0" w:beforeAutospacing="0" w:after="0" w:afterAutospacing="0" w:line="500" w:lineRule="exact"/>
        <w:ind w:firstLine="560" w:firstLineChars="200"/>
        <w:jc w:val="both"/>
        <w:rPr>
          <w:rFonts w:hint="eastAsia" w:ascii="Times New Roman" w:hAnsi="Times New Roman" w:cs="Times New Roman"/>
          <w:color w:val="000000"/>
          <w:sz w:val="28"/>
          <w:szCs w:val="28"/>
        </w:rPr>
      </w:pP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表2  环保设施建设情况与环评报告对照表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7"/>
        <w:gridCol w:w="898"/>
        <w:gridCol w:w="1050"/>
        <w:gridCol w:w="2855"/>
        <w:gridCol w:w="3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tblHeader/>
        </w:trPr>
        <w:tc>
          <w:tcPr>
            <w:tcW w:w="275" w:type="pct"/>
            <w:shd w:val="clear" w:color="auto" w:fill="auto"/>
            <w:vAlign w:val="center"/>
          </w:tcPr>
          <w:p>
            <w:pPr>
              <w:jc w:val="center"/>
              <w:rPr>
                <w:rFonts w:ascii="Times New Roman" w:hAnsi="Times New Roman" w:cs="Times New Roman" w:eastAsiaTheme="minorEastAsia"/>
                <w:b/>
                <w:szCs w:val="21"/>
              </w:rPr>
            </w:pPr>
            <w:r>
              <w:rPr>
                <w:rFonts w:ascii="Times New Roman" w:hAnsi="Times New Roman" w:cs="Times New Roman" w:eastAsiaTheme="minorEastAsia"/>
                <w:b/>
                <w:szCs w:val="21"/>
              </w:rPr>
              <w:t>类别</w:t>
            </w:r>
          </w:p>
        </w:tc>
        <w:tc>
          <w:tcPr>
            <w:tcW w:w="497" w:type="pct"/>
            <w:vAlign w:val="center"/>
          </w:tcPr>
          <w:p>
            <w:pPr>
              <w:jc w:val="center"/>
              <w:rPr>
                <w:rFonts w:ascii="Times New Roman" w:hAnsi="Times New Roman" w:cs="Times New Roman" w:eastAsiaTheme="minorEastAsia"/>
                <w:b/>
                <w:szCs w:val="21"/>
              </w:rPr>
            </w:pPr>
            <w:r>
              <w:rPr>
                <w:rFonts w:ascii="Times New Roman" w:hAnsi="Times New Roman" w:cs="Times New Roman" w:eastAsiaTheme="minorEastAsia"/>
                <w:b/>
                <w:szCs w:val="21"/>
              </w:rPr>
              <w:t>污染源</w:t>
            </w:r>
          </w:p>
        </w:tc>
        <w:tc>
          <w:tcPr>
            <w:tcW w:w="581" w:type="pct"/>
            <w:vAlign w:val="center"/>
          </w:tcPr>
          <w:p>
            <w:pPr>
              <w:jc w:val="center"/>
              <w:rPr>
                <w:rFonts w:ascii="Times New Roman" w:hAnsi="Times New Roman" w:cs="Times New Roman" w:eastAsiaTheme="minorEastAsia"/>
                <w:b/>
                <w:szCs w:val="21"/>
              </w:rPr>
            </w:pPr>
            <w:r>
              <w:rPr>
                <w:rFonts w:ascii="Times New Roman" w:hAnsi="Times New Roman" w:cs="Times New Roman" w:eastAsiaTheme="minorEastAsia"/>
                <w:b/>
                <w:szCs w:val="21"/>
              </w:rPr>
              <w:t>污染物</w:t>
            </w:r>
          </w:p>
        </w:tc>
        <w:tc>
          <w:tcPr>
            <w:tcW w:w="1579" w:type="pct"/>
            <w:shd w:val="clear" w:color="auto" w:fill="auto"/>
            <w:vAlign w:val="center"/>
          </w:tcPr>
          <w:p>
            <w:pPr>
              <w:jc w:val="center"/>
              <w:rPr>
                <w:rFonts w:ascii="Times New Roman" w:hAnsi="Times New Roman" w:cs="Times New Roman" w:eastAsiaTheme="minorEastAsia"/>
                <w:b/>
                <w:szCs w:val="21"/>
              </w:rPr>
            </w:pPr>
            <w:r>
              <w:rPr>
                <w:rFonts w:ascii="Times New Roman" w:hAnsi="Times New Roman" w:cs="Times New Roman" w:eastAsiaTheme="minorEastAsia"/>
                <w:b/>
                <w:szCs w:val="21"/>
              </w:rPr>
              <w:t>环评要求</w:t>
            </w:r>
          </w:p>
        </w:tc>
        <w:tc>
          <w:tcPr>
            <w:tcW w:w="2068" w:type="pct"/>
            <w:vAlign w:val="center"/>
          </w:tcPr>
          <w:p>
            <w:pPr>
              <w:jc w:val="center"/>
              <w:rPr>
                <w:rFonts w:ascii="Times New Roman" w:hAnsi="Times New Roman" w:cs="Times New Roman" w:eastAsiaTheme="minorEastAsia"/>
                <w:b/>
                <w:szCs w:val="21"/>
              </w:rPr>
            </w:pPr>
            <w:r>
              <w:rPr>
                <w:rFonts w:ascii="Times New Roman" w:hAnsi="Times New Roman" w:cs="Times New Roman" w:eastAsiaTheme="minorEastAsia"/>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5" w:hRule="atLeast"/>
        </w:trPr>
        <w:tc>
          <w:tcPr>
            <w:tcW w:w="275" w:type="pct"/>
            <w:vMerge w:val="restart"/>
            <w:shd w:val="clear" w:color="auto" w:fill="auto"/>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废气</w:t>
            </w:r>
          </w:p>
        </w:tc>
        <w:tc>
          <w:tcPr>
            <w:tcW w:w="497"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预热/无氧化加热炉</w:t>
            </w:r>
          </w:p>
        </w:tc>
        <w:tc>
          <w:tcPr>
            <w:tcW w:w="581"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烟尘、SO</w:t>
            </w:r>
            <w:r>
              <w:rPr>
                <w:rFonts w:ascii="Times New Roman" w:hAnsi="Times New Roman" w:cs="Times New Roman" w:eastAsiaTheme="minorEastAsia"/>
                <w:color w:val="000000"/>
                <w:szCs w:val="21"/>
                <w:vertAlign w:val="subscript"/>
              </w:rPr>
              <w:t>2</w:t>
            </w:r>
            <w:r>
              <w:rPr>
                <w:rFonts w:ascii="Times New Roman" w:hAnsi="Times New Roman" w:cs="Times New Roman" w:eastAsiaTheme="minorEastAsia"/>
                <w:color w:val="000000"/>
                <w:szCs w:val="21"/>
              </w:rPr>
              <w:t>、NO</w:t>
            </w:r>
            <w:r>
              <w:rPr>
                <w:rFonts w:ascii="Times New Roman" w:hAnsi="Times New Roman" w:cs="Times New Roman" w:eastAsiaTheme="minorEastAsia"/>
                <w:color w:val="000000"/>
                <w:szCs w:val="21"/>
                <w:vertAlign w:val="subscript"/>
              </w:rPr>
              <w:t>X</w:t>
            </w:r>
          </w:p>
        </w:tc>
        <w:tc>
          <w:tcPr>
            <w:tcW w:w="1579" w:type="pct"/>
            <w:shd w:val="clear" w:color="auto" w:fill="auto"/>
            <w:vAlign w:val="center"/>
          </w:tcPr>
          <w:p>
            <w:pPr>
              <w:jc w:val="left"/>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加热炉燃料为焦炉煤气，排放的污染物能满足《工业炉窑大气污染物排放标准》（GB9078-1996）中二类标准烟尘排放浓度限值为200 mg/m</w:t>
            </w:r>
            <w:r>
              <w:rPr>
                <w:rFonts w:ascii="Times New Roman" w:hAnsi="Times New Roman" w:cs="Times New Roman" w:eastAsiaTheme="minorEastAsia"/>
                <w:color w:val="000000"/>
                <w:szCs w:val="21"/>
                <w:vertAlign w:val="superscript"/>
              </w:rPr>
              <w:t>3</w:t>
            </w:r>
            <w:r>
              <w:rPr>
                <w:rFonts w:ascii="Times New Roman" w:hAnsi="Times New Roman" w:cs="Times New Roman" w:eastAsiaTheme="minorEastAsia"/>
                <w:color w:val="000000"/>
                <w:szCs w:val="21"/>
              </w:rPr>
              <w:t>的要求。</w:t>
            </w:r>
          </w:p>
        </w:tc>
        <w:tc>
          <w:tcPr>
            <w:tcW w:w="2068" w:type="pct"/>
            <w:vAlign w:val="center"/>
          </w:tcPr>
          <w:p>
            <w:pPr>
              <w:jc w:val="left"/>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预热/无氧化加热炉燃料为太钢厂区焦炉煤气管网内的焦炉煤气，烟尘排放浓度为7.6mg/m</w:t>
            </w:r>
            <w:r>
              <w:rPr>
                <w:rFonts w:ascii="Times New Roman" w:hAnsi="Times New Roman" w:cs="Times New Roman" w:eastAsiaTheme="minorEastAsia"/>
                <w:color w:val="000000"/>
                <w:szCs w:val="21"/>
                <w:vertAlign w:val="superscript"/>
              </w:rPr>
              <w:t>3</w:t>
            </w:r>
            <w:r>
              <w:rPr>
                <w:rFonts w:ascii="Times New Roman" w:hAnsi="Times New Roman" w:cs="Times New Roman" w:eastAsiaTheme="minorEastAsia"/>
                <w:color w:val="000000"/>
                <w:szCs w:val="21"/>
              </w:rPr>
              <w:t>，SO</w:t>
            </w:r>
            <w:r>
              <w:rPr>
                <w:rFonts w:ascii="Times New Roman" w:hAnsi="Times New Roman" w:cs="Times New Roman" w:eastAsiaTheme="minorEastAsia"/>
                <w:color w:val="000000"/>
                <w:szCs w:val="21"/>
                <w:vertAlign w:val="subscript"/>
              </w:rPr>
              <w:t>2</w:t>
            </w:r>
            <w:r>
              <w:rPr>
                <w:rFonts w:ascii="Times New Roman" w:hAnsi="Times New Roman" w:cs="Times New Roman" w:eastAsiaTheme="minorEastAsia"/>
                <w:color w:val="000000"/>
                <w:szCs w:val="21"/>
              </w:rPr>
              <w:t>排放浓度为未检出，NOx排放浓度为32mg/m</w:t>
            </w:r>
            <w:r>
              <w:rPr>
                <w:rFonts w:ascii="Times New Roman" w:hAnsi="Times New Roman" w:cs="Times New Roman" w:eastAsiaTheme="minorEastAsia"/>
                <w:color w:val="000000"/>
                <w:szCs w:val="21"/>
                <w:vertAlign w:val="superscript"/>
              </w:rPr>
              <w:t>3</w:t>
            </w:r>
            <w:r>
              <w:rPr>
                <w:rFonts w:ascii="Times New Roman" w:hAnsi="Times New Roman" w:cs="Times New Roman" w:eastAsiaTheme="minorEastAsia"/>
                <w:color w:val="000000"/>
                <w:szCs w:val="21"/>
              </w:rPr>
              <w:t>，满足《轧钢工业大气污染物排放标准》（GB 28665-2012）表3大气污染物特别排放限值热处理炉颗粒物150 mg/m</w:t>
            </w:r>
            <w:r>
              <w:rPr>
                <w:rFonts w:ascii="Times New Roman" w:hAnsi="Times New Roman" w:cs="Times New Roman" w:eastAsiaTheme="minorEastAsia"/>
                <w:color w:val="000000"/>
                <w:szCs w:val="21"/>
                <w:vertAlign w:val="superscript"/>
              </w:rPr>
              <w:t>3</w:t>
            </w:r>
            <w:r>
              <w:rPr>
                <w:rFonts w:ascii="Times New Roman" w:hAnsi="Times New Roman" w:cs="Times New Roman" w:eastAsiaTheme="minorEastAsia"/>
                <w:color w:val="000000"/>
                <w:szCs w:val="21"/>
              </w:rPr>
              <w:t>，二氧化硫15 mg/m</w:t>
            </w:r>
            <w:r>
              <w:rPr>
                <w:rFonts w:ascii="Times New Roman" w:hAnsi="Times New Roman" w:cs="Times New Roman" w:eastAsiaTheme="minorEastAsia"/>
                <w:color w:val="000000"/>
                <w:szCs w:val="21"/>
                <w:vertAlign w:val="superscript"/>
              </w:rPr>
              <w:t>3</w:t>
            </w:r>
            <w:r>
              <w:rPr>
                <w:rFonts w:ascii="Times New Roman" w:hAnsi="Times New Roman" w:cs="Times New Roman" w:eastAsiaTheme="minorEastAsia"/>
                <w:color w:val="000000"/>
                <w:szCs w:val="21"/>
              </w:rPr>
              <w:t>，氮氧化物300 mg/m</w:t>
            </w:r>
            <w:r>
              <w:rPr>
                <w:rFonts w:ascii="Times New Roman" w:hAnsi="Times New Roman" w:cs="Times New Roman" w:eastAsiaTheme="minorEastAsia"/>
                <w:color w:val="000000"/>
                <w:szCs w:val="21"/>
                <w:vertAlign w:val="superscript"/>
              </w:rPr>
              <w:t>3</w:t>
            </w:r>
            <w:r>
              <w:rPr>
                <w:rFonts w:ascii="Times New Roman" w:hAnsi="Times New Roman" w:cs="Times New Roman" w:eastAsiaTheme="minorEastAsia"/>
                <w:color w:val="000000"/>
                <w:szCs w:val="21"/>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2" w:hRule="atLeast"/>
        </w:trPr>
        <w:tc>
          <w:tcPr>
            <w:tcW w:w="275" w:type="pct"/>
            <w:vMerge w:val="continue"/>
            <w:shd w:val="clear" w:color="auto" w:fill="auto"/>
            <w:vAlign w:val="center"/>
          </w:tcPr>
          <w:p>
            <w:pPr>
              <w:contextualSpacing/>
              <w:jc w:val="center"/>
              <w:rPr>
                <w:rFonts w:ascii="Times New Roman" w:hAnsi="Times New Roman" w:cs="Times New Roman" w:eastAsiaTheme="minorEastAsia"/>
                <w:szCs w:val="21"/>
              </w:rPr>
            </w:pPr>
          </w:p>
        </w:tc>
        <w:tc>
          <w:tcPr>
            <w:tcW w:w="497" w:type="pct"/>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抛丸机</w:t>
            </w:r>
          </w:p>
        </w:tc>
        <w:tc>
          <w:tcPr>
            <w:tcW w:w="581" w:type="pct"/>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粉尘</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抛丸机粉尘采用布袋除尘器处理，粉尘能满足《大气污染物综合排放标准》中最高允许排放浓度为150mg/m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、30m排气筒对应的最高允许排放速率为23kg/h的要求。</w:t>
            </w:r>
          </w:p>
        </w:tc>
        <w:tc>
          <w:tcPr>
            <w:tcW w:w="2068" w:type="pct"/>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抛丸机后短接一个旋风除尘器然后管路接袋式除尘器，除尘器排气筒高度为18m，直径0.6m，风机风量为70000 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/h。粉尘的排放浓度为4.5mg/m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，满足《轧钢工业大气污染物排放标准》（GB 28665-2012）表3大气污染物特别排放限值抛丸机15 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275" w:type="pct"/>
            <w:vMerge w:val="continue"/>
            <w:shd w:val="clear" w:color="auto" w:fill="auto"/>
            <w:vAlign w:val="center"/>
          </w:tcPr>
          <w:p>
            <w:pPr>
              <w:contextualSpacing/>
              <w:jc w:val="center"/>
              <w:rPr>
                <w:rFonts w:ascii="Times New Roman" w:hAnsi="Times New Roman" w:cs="Times New Roman" w:eastAsiaTheme="minorEastAsia"/>
                <w:szCs w:val="21"/>
              </w:rPr>
            </w:pPr>
          </w:p>
        </w:tc>
        <w:tc>
          <w:tcPr>
            <w:tcW w:w="497" w:type="pct"/>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常化酸洗</w:t>
            </w:r>
          </w:p>
        </w:tc>
        <w:tc>
          <w:tcPr>
            <w:tcW w:w="581" w:type="pct"/>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HCl</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酸雾采用酸雾净化塔水洗净化，处理后酸雾排放浓度和排放速率能满足《大气污染物综合排放标准》（GB16297-1996）中26m排气筒对应的最大排放速率为1.012kg/h，最大排放浓度为150mg/m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的要求。</w:t>
            </w:r>
          </w:p>
        </w:tc>
        <w:tc>
          <w:tcPr>
            <w:tcW w:w="2068" w:type="pct"/>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酸雾采用酸雾净化塔水洗净化，酸雾净化塔排气筒高度为25m，直径0.8m，风机风量为16000m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/h。氯化氢的排放浓度为6.02mg/m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，满足《轧钢工业大气污染物排放标准》（GB 28665-2012）表3大气污染物特别排放限值酸洗机组15 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275" w:type="pct"/>
            <w:vMerge w:val="restart"/>
            <w:shd w:val="clear" w:color="auto" w:fill="auto"/>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废水</w:t>
            </w:r>
          </w:p>
        </w:tc>
        <w:tc>
          <w:tcPr>
            <w:tcW w:w="497"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净循环系统</w:t>
            </w:r>
          </w:p>
        </w:tc>
        <w:tc>
          <w:tcPr>
            <w:tcW w:w="581"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盐类、SS</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净循环系统排污水进入浊循环系统串级利用</w:t>
            </w:r>
          </w:p>
        </w:tc>
        <w:tc>
          <w:tcPr>
            <w:tcW w:w="2068" w:type="pct"/>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净循环系统污水排入浊循环系统。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275" w:type="pct"/>
            <w:vMerge w:val="continue"/>
            <w:shd w:val="clear" w:color="auto" w:fill="auto"/>
            <w:vAlign w:val="center"/>
          </w:tcPr>
          <w:p>
            <w:pPr>
              <w:contextualSpacing/>
              <w:jc w:val="center"/>
              <w:rPr>
                <w:rFonts w:ascii="Times New Roman" w:hAnsi="Times New Roman" w:cs="Times New Roman" w:eastAsiaTheme="minorEastAsia"/>
                <w:szCs w:val="21"/>
              </w:rPr>
            </w:pPr>
          </w:p>
        </w:tc>
        <w:tc>
          <w:tcPr>
            <w:tcW w:w="497"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浊循环系统</w:t>
            </w:r>
          </w:p>
        </w:tc>
        <w:tc>
          <w:tcPr>
            <w:tcW w:w="581"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盐类、SS</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浊循环系统排污水送赵庄污水处理厂集中处理后回用</w:t>
            </w:r>
          </w:p>
        </w:tc>
        <w:tc>
          <w:tcPr>
            <w:tcW w:w="2068" w:type="pct"/>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浊循环系统水循环利用，产生废水排入赵庄污水处理厂五期。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275" w:type="pct"/>
            <w:vMerge w:val="continue"/>
            <w:shd w:val="clear" w:color="auto" w:fill="auto"/>
            <w:vAlign w:val="center"/>
          </w:tcPr>
          <w:p>
            <w:pPr>
              <w:contextualSpacing/>
              <w:jc w:val="center"/>
              <w:rPr>
                <w:rFonts w:ascii="Times New Roman" w:hAnsi="Times New Roman" w:cs="Times New Roman" w:eastAsiaTheme="minorEastAsia"/>
                <w:szCs w:val="21"/>
              </w:rPr>
            </w:pPr>
          </w:p>
        </w:tc>
        <w:tc>
          <w:tcPr>
            <w:tcW w:w="497" w:type="pct"/>
            <w:vAlign w:val="center"/>
          </w:tcPr>
          <w:p>
            <w:pPr>
              <w:jc w:val="center"/>
              <w:rPr>
                <w:rFonts w:ascii="Times New Roman" w:hAnsi="Times New Roman" w:cs="Times New Roman" w:eastAsiaTheme="minorEastAsia"/>
                <w:szCs w:val="21"/>
              </w:rPr>
            </w:pPr>
            <w:r>
              <w:rPr>
                <w:rFonts w:ascii="Times New Roman" w:hAnsi="Times New Roman" w:cs="Times New Roman" w:eastAsiaTheme="minorEastAsia"/>
                <w:szCs w:val="21"/>
              </w:rPr>
              <w:t>酸化漂洗</w:t>
            </w:r>
          </w:p>
        </w:tc>
        <w:tc>
          <w:tcPr>
            <w:tcW w:w="581" w:type="pct"/>
            <w:vAlign w:val="center"/>
          </w:tcPr>
          <w:p>
            <w:pPr>
              <w:jc w:val="center"/>
              <w:rPr>
                <w:rFonts w:ascii="Times New Roman" w:hAnsi="Times New Roman" w:cs="Times New Roman" w:eastAsiaTheme="minorEastAsia"/>
                <w:szCs w:val="21"/>
              </w:rPr>
            </w:pPr>
            <w:r>
              <w:rPr>
                <w:rFonts w:ascii="Times New Roman" w:hAnsi="Times New Roman" w:cs="Times New Roman" w:eastAsiaTheme="minorEastAsia"/>
                <w:szCs w:val="21"/>
              </w:rPr>
              <w:t>HCl</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酸化漂洗废水送太钢中和站处理后送赵庄污水处理厂集中处理后回用。</w:t>
            </w:r>
          </w:p>
        </w:tc>
        <w:tc>
          <w:tcPr>
            <w:tcW w:w="2068" w:type="pct"/>
            <w:vMerge w:val="restart"/>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酸化漂洗废水、酸雾洗涤废水排入太钢中和三站处理后排入赵庄污水处理厂五期处理。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trPr>
        <w:tc>
          <w:tcPr>
            <w:tcW w:w="275" w:type="pct"/>
            <w:vMerge w:val="continue"/>
            <w:shd w:val="clear" w:color="auto" w:fill="auto"/>
            <w:vAlign w:val="center"/>
          </w:tcPr>
          <w:p>
            <w:pPr>
              <w:contextualSpacing/>
              <w:jc w:val="center"/>
              <w:rPr>
                <w:rFonts w:ascii="Times New Roman" w:hAnsi="Times New Roman" w:cs="Times New Roman" w:eastAsiaTheme="minorEastAsia"/>
                <w:szCs w:val="21"/>
              </w:rPr>
            </w:pPr>
          </w:p>
        </w:tc>
        <w:tc>
          <w:tcPr>
            <w:tcW w:w="497" w:type="pct"/>
            <w:vAlign w:val="center"/>
          </w:tcPr>
          <w:p>
            <w:pPr>
              <w:jc w:val="center"/>
              <w:rPr>
                <w:rFonts w:ascii="Times New Roman" w:hAnsi="Times New Roman" w:cs="Times New Roman" w:eastAsiaTheme="minorEastAsia"/>
                <w:szCs w:val="21"/>
              </w:rPr>
            </w:pPr>
            <w:r>
              <w:rPr>
                <w:rFonts w:ascii="Times New Roman" w:hAnsi="Times New Roman" w:cs="Times New Roman" w:eastAsiaTheme="minorEastAsia"/>
                <w:szCs w:val="21"/>
              </w:rPr>
              <w:t>酸雾洗涤</w:t>
            </w:r>
          </w:p>
        </w:tc>
        <w:tc>
          <w:tcPr>
            <w:tcW w:w="581" w:type="pct"/>
            <w:vAlign w:val="center"/>
          </w:tcPr>
          <w:p>
            <w:pPr>
              <w:jc w:val="center"/>
              <w:rPr>
                <w:rFonts w:ascii="Times New Roman" w:hAnsi="Times New Roman" w:cs="Times New Roman" w:eastAsiaTheme="minorEastAsia"/>
                <w:szCs w:val="21"/>
              </w:rPr>
            </w:pPr>
            <w:r>
              <w:rPr>
                <w:rFonts w:ascii="Times New Roman" w:hAnsi="Times New Roman" w:cs="Times New Roman" w:eastAsiaTheme="minorEastAsia"/>
                <w:szCs w:val="21"/>
              </w:rPr>
              <w:t>HCl</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酸雾洗涤废水送太钢中和站处理后送赵庄污水处理厂集中处理后回用。</w:t>
            </w:r>
          </w:p>
        </w:tc>
        <w:tc>
          <w:tcPr>
            <w:tcW w:w="2068" w:type="pct"/>
            <w:vMerge w:val="continue"/>
            <w:vAlign w:val="center"/>
          </w:tcPr>
          <w:p>
            <w:pPr>
              <w:jc w:val="left"/>
              <w:rPr>
                <w:rFonts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atLeast"/>
        </w:trPr>
        <w:tc>
          <w:tcPr>
            <w:tcW w:w="275" w:type="pct"/>
            <w:vMerge w:val="restart"/>
            <w:shd w:val="clear" w:color="auto" w:fill="auto"/>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固废</w:t>
            </w:r>
          </w:p>
        </w:tc>
        <w:tc>
          <w:tcPr>
            <w:tcW w:w="497"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一般固废</w:t>
            </w:r>
          </w:p>
        </w:tc>
        <w:tc>
          <w:tcPr>
            <w:tcW w:w="581"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废边角料、铁粉</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本项目产生的废边角料、铁粉全部进入炼钢系统和原料配料进行综合利用</w:t>
            </w:r>
          </w:p>
        </w:tc>
        <w:tc>
          <w:tcPr>
            <w:tcW w:w="2068" w:type="pct"/>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钢料在进行剪切生产过程中产生的废边角料，钢板在抛丸处理过程中除尘器收集的铁粉全部进入炼钢系统和原料配料进行回收利用。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5" w:hRule="atLeast"/>
        </w:trPr>
        <w:tc>
          <w:tcPr>
            <w:tcW w:w="275" w:type="pct"/>
            <w:vMerge w:val="continue"/>
            <w:shd w:val="clear" w:color="auto" w:fill="auto"/>
            <w:vAlign w:val="center"/>
          </w:tcPr>
          <w:p>
            <w:pPr>
              <w:contextualSpacing/>
              <w:jc w:val="center"/>
              <w:rPr>
                <w:rFonts w:ascii="Times New Roman" w:hAnsi="Times New Roman" w:cs="Times New Roman" w:eastAsiaTheme="minorEastAsia"/>
                <w:szCs w:val="21"/>
              </w:rPr>
            </w:pPr>
          </w:p>
        </w:tc>
        <w:tc>
          <w:tcPr>
            <w:tcW w:w="497"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危险废物</w:t>
            </w:r>
          </w:p>
        </w:tc>
        <w:tc>
          <w:tcPr>
            <w:tcW w:w="581"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废盐酸、废机油</w:t>
            </w:r>
          </w:p>
        </w:tc>
        <w:tc>
          <w:tcPr>
            <w:tcW w:w="1579" w:type="pct"/>
            <w:shd w:val="clear" w:color="auto" w:fill="auto"/>
            <w:vAlign w:val="center"/>
          </w:tcPr>
          <w:p>
            <w:pPr>
              <w:jc w:val="left"/>
              <w:rPr>
                <w:rFonts w:ascii="Times New Roman" w:hAnsi="Times New Roman" w:cs="Times New Roman" w:eastAsiaTheme="minorEastAsia"/>
                <w:szCs w:val="21"/>
              </w:rPr>
            </w:pPr>
            <w:r>
              <w:rPr>
                <w:rFonts w:ascii="Times New Roman" w:hAnsi="Times New Roman" w:cs="Times New Roman" w:eastAsiaTheme="minorEastAsia"/>
                <w:szCs w:val="21"/>
              </w:rPr>
              <w:t>废酸送酸再生处理装置回收利用，废机油送太原钢铁（集团）公司福利总厂处理</w:t>
            </w:r>
          </w:p>
        </w:tc>
        <w:tc>
          <w:tcPr>
            <w:tcW w:w="2068" w:type="pct"/>
            <w:vAlign w:val="center"/>
          </w:tcPr>
          <w:p>
            <w:pPr>
              <w:contextualSpacing/>
              <w:jc w:val="left"/>
              <w:rPr>
                <w:rFonts w:ascii="Times New Roman" w:hAnsi="Times New Roman" w:cs="Times New Roman" w:eastAsiaTheme="minorEastAsia"/>
                <w:szCs w:val="21"/>
              </w:rPr>
            </w:pPr>
            <w:r>
              <w:rPr>
                <w:rFonts w:ascii="Times New Roman" w:hAnsi="Times New Roman" w:cs="Times New Roman" w:eastAsiaTheme="minorEastAsia"/>
                <w:szCs w:val="21"/>
              </w:rPr>
              <w:t>盐酸在酸洗钢板过程产生废酸，本项目将这部分废酸送酸再生处理装置回收利用；</w:t>
            </w:r>
          </w:p>
          <w:p>
            <w:pPr>
              <w:jc w:val="left"/>
              <w:rPr>
                <w:rFonts w:ascii="Times New Roman" w:hAnsi="Times New Roman" w:cs="Times New Roman" w:eastAsiaTheme="minorEastAsia"/>
                <w:szCs w:val="21"/>
              </w:rPr>
            </w:pPr>
            <w:r>
              <w:rPr>
                <w:rFonts w:ascii="Times New Roman" w:hAnsi="Times New Roman" w:cs="Times New Roman" w:eastAsiaTheme="minorEastAsia"/>
                <w:szCs w:val="21"/>
              </w:rPr>
              <w:t>机械设备运行使用的机油需要更换，产生的废机油由山西新鸿顺能源有限公司定期运输处理。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6" w:hRule="atLeast"/>
        </w:trPr>
        <w:tc>
          <w:tcPr>
            <w:tcW w:w="275" w:type="pct"/>
            <w:shd w:val="clear" w:color="auto" w:fill="auto"/>
            <w:vAlign w:val="center"/>
          </w:tcPr>
          <w:p>
            <w:pPr>
              <w:contextualSpacing/>
              <w:jc w:val="center"/>
              <w:rPr>
                <w:rFonts w:ascii="Times New Roman" w:hAnsi="Times New Roman" w:cs="Times New Roman" w:eastAsiaTheme="minorEastAsia"/>
                <w:szCs w:val="21"/>
              </w:rPr>
            </w:pPr>
            <w:r>
              <w:rPr>
                <w:rFonts w:ascii="Times New Roman" w:hAnsi="Times New Roman" w:cs="Times New Roman" w:eastAsiaTheme="minorEastAsia"/>
                <w:szCs w:val="21"/>
              </w:rPr>
              <w:t>噪声</w:t>
            </w:r>
          </w:p>
        </w:tc>
        <w:tc>
          <w:tcPr>
            <w:tcW w:w="497"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机械噪声、冷却塔</w:t>
            </w:r>
          </w:p>
        </w:tc>
        <w:tc>
          <w:tcPr>
            <w:tcW w:w="581" w:type="pct"/>
            <w:vAlign w:val="center"/>
          </w:tcPr>
          <w:p>
            <w:pPr>
              <w:jc w:val="center"/>
              <w:rPr>
                <w:rFonts w:ascii="Times New Roman" w:hAnsi="Times New Roman" w:cs="Times New Roman" w:eastAsiaTheme="minorEastAsia"/>
                <w:color w:val="000000"/>
                <w:szCs w:val="21"/>
              </w:rPr>
            </w:pPr>
            <w:r>
              <w:rPr>
                <w:rFonts w:ascii="Times New Roman" w:hAnsi="Times New Roman" w:cs="Times New Roman" w:eastAsiaTheme="minorEastAsia"/>
                <w:color w:val="000000"/>
                <w:szCs w:val="21"/>
              </w:rPr>
              <w:t>噪声</w:t>
            </w:r>
          </w:p>
        </w:tc>
        <w:tc>
          <w:tcPr>
            <w:tcW w:w="1579" w:type="pct"/>
            <w:shd w:val="clear" w:color="auto" w:fill="auto"/>
            <w:vAlign w:val="center"/>
          </w:tcPr>
          <w:p>
            <w:pPr>
              <w:contextualSpacing/>
              <w:jc w:val="left"/>
              <w:rPr>
                <w:rFonts w:ascii="Times New Roman" w:hAnsi="Times New Roman" w:cs="Times New Roman" w:eastAsiaTheme="minorEastAsia"/>
                <w:szCs w:val="21"/>
              </w:rPr>
            </w:pPr>
            <w:r>
              <w:rPr>
                <w:rFonts w:ascii="Times New Roman" w:hAnsi="Times New Roman" w:cs="Times New Roman" w:eastAsiaTheme="minorEastAsia"/>
                <w:szCs w:val="21"/>
              </w:rPr>
              <w:t>根据评价声环境预测结果分析，采取相应的降噪措施后，使得噪声污染得到有效控制，厂界噪声均未超过《工业企业厂界环境噪声排放标准》GB12348-2008中3类标准，即昼间65dB(A)、夜间55dB(A)的要求。</w:t>
            </w:r>
          </w:p>
        </w:tc>
        <w:tc>
          <w:tcPr>
            <w:tcW w:w="2068" w:type="pct"/>
            <w:vAlign w:val="center"/>
          </w:tcPr>
          <w:p>
            <w:pPr>
              <w:contextualSpacing/>
              <w:jc w:val="left"/>
              <w:rPr>
                <w:rFonts w:ascii="Times New Roman" w:hAnsi="Times New Roman" w:cs="Times New Roman" w:eastAsiaTheme="minorEastAsia"/>
                <w:szCs w:val="21"/>
              </w:rPr>
            </w:pPr>
            <w:r>
              <w:rPr>
                <w:rFonts w:ascii="Times New Roman" w:hAnsi="Times New Roman" w:cs="Times New Roman" w:eastAsiaTheme="minorEastAsia"/>
                <w:szCs w:val="21"/>
              </w:rPr>
              <w:t>本项目生产设备选用了低噪声设备，对于噪声、振动较大的设备安装了减振基础。厂界噪声昼间强度为55.6-59.6dB（A），夜间为48.6-53.8dB（A），均未超过《工业企业厂界环境噪声排放标准》GB12348-2008中3类标准，即昼间65dB(A)、夜间55dB(A)的要求。</w:t>
            </w:r>
          </w:p>
        </w:tc>
      </w:tr>
    </w:tbl>
    <w:p>
      <w:pPr>
        <w:pStyle w:val="81"/>
        <w:snapToGrid w:val="0"/>
        <w:spacing w:before="0" w:beforeAutospacing="0" w:after="0" w:afterAutospacing="0" w:line="500" w:lineRule="exact"/>
        <w:ind w:firstLine="560" w:firstLineChars="200"/>
        <w:jc w:val="both"/>
        <w:rPr>
          <w:rFonts w:ascii="Times New Roman" w:hAnsi="Times New Roman" w:cs="Times New Roman"/>
          <w:bCs/>
          <w:color w:val="000000"/>
        </w:rPr>
      </w:pPr>
      <w:r>
        <w:rPr>
          <w:rFonts w:ascii="Times New Roman" w:hAnsi="Times New Roman" w:cs="Times New Roman"/>
          <w:color w:val="000000"/>
          <w:sz w:val="28"/>
          <w:szCs w:val="28"/>
        </w:rPr>
        <w:t>环保设施实际建设情况与环评批复要求对照见表</w:t>
      </w:r>
      <w:r>
        <w:rPr>
          <w:rFonts w:hint="eastAsia" w:ascii="Times New Roman" w:hAnsi="Times New Roman" w:cs="Times New Roman"/>
          <w:color w:val="000000"/>
          <w:sz w:val="28"/>
          <w:szCs w:val="28"/>
        </w:rPr>
        <w:t>3</w:t>
      </w:r>
      <w:r>
        <w:rPr>
          <w:rFonts w:ascii="Times New Roman" w:hAnsi="Times New Roman" w:cs="Times New Roman"/>
          <w:color w:val="000000"/>
          <w:sz w:val="28"/>
          <w:szCs w:val="28"/>
        </w:rPr>
        <w:t>。</w:t>
      </w:r>
    </w:p>
    <w:p>
      <w:pPr>
        <w:pStyle w:val="81"/>
        <w:snapToGrid w:val="0"/>
        <w:spacing w:before="0" w:beforeAutospacing="0" w:after="0" w:afterAutospacing="0" w:line="500" w:lineRule="exact"/>
        <w:jc w:val="center"/>
        <w:rPr>
          <w:rFonts w:ascii="Times New Roman" w:hAnsi="Times New Roman" w:cs="Times New Roman"/>
          <w:b/>
          <w:color w:val="000000"/>
        </w:rPr>
      </w:pPr>
      <w:r>
        <w:rPr>
          <w:rFonts w:ascii="Times New Roman" w:hAnsi="Times New Roman" w:cs="Times New Roman"/>
          <w:b/>
          <w:color w:val="000000"/>
        </w:rPr>
        <w:t>表</w:t>
      </w:r>
      <w:r>
        <w:rPr>
          <w:rFonts w:hint="eastAsia" w:ascii="Times New Roman" w:hAnsi="Times New Roman" w:cs="Times New Roman"/>
          <w:b/>
          <w:color w:val="000000"/>
        </w:rPr>
        <w:t>3</w:t>
      </w:r>
      <w:r>
        <w:rPr>
          <w:rFonts w:ascii="Times New Roman" w:hAnsi="Times New Roman" w:cs="Times New Roman"/>
          <w:b/>
          <w:color w:val="000000"/>
        </w:rPr>
        <w:t xml:space="preserve">  环保设施实际建设情况与环评批复要求对照表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2"/>
        <w:gridCol w:w="4102"/>
        <w:gridCol w:w="4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44" w:type="pct"/>
            <w:vAlign w:val="center"/>
          </w:tcPr>
          <w:p>
            <w:pPr>
              <w:snapToGrid w:val="0"/>
              <w:jc w:val="center"/>
              <w:rPr>
                <w:rFonts w:ascii="Times New Roman" w:hAnsi="Times New Roman" w:cs="Times New Roman" w:eastAsiaTheme="minorEastAsia"/>
                <w:b/>
                <w:szCs w:val="21"/>
              </w:rPr>
            </w:pPr>
            <w:r>
              <w:rPr>
                <w:rFonts w:ascii="Times New Roman" w:hAnsi="Times New Roman" w:cs="Times New Roman" w:eastAsiaTheme="minorEastAsia"/>
                <w:b/>
                <w:szCs w:val="21"/>
              </w:rPr>
              <w:t>序号</w:t>
            </w:r>
          </w:p>
        </w:tc>
        <w:tc>
          <w:tcPr>
            <w:tcW w:w="2269" w:type="pct"/>
            <w:vAlign w:val="center"/>
          </w:tcPr>
          <w:p>
            <w:pPr>
              <w:snapToGrid w:val="0"/>
              <w:jc w:val="center"/>
              <w:rPr>
                <w:rFonts w:ascii="Times New Roman" w:hAnsi="Times New Roman" w:cs="Times New Roman" w:eastAsiaTheme="minorEastAsia"/>
                <w:b/>
                <w:szCs w:val="21"/>
              </w:rPr>
            </w:pPr>
            <w:r>
              <w:rPr>
                <w:rFonts w:ascii="Times New Roman" w:hAnsi="Times New Roman" w:cs="Times New Roman" w:eastAsiaTheme="minorEastAsia"/>
                <w:b/>
                <w:szCs w:val="21"/>
              </w:rPr>
              <w:t>环评批复要求措施</w:t>
            </w:r>
          </w:p>
        </w:tc>
        <w:tc>
          <w:tcPr>
            <w:tcW w:w="2387" w:type="pct"/>
            <w:vAlign w:val="center"/>
          </w:tcPr>
          <w:p>
            <w:pPr>
              <w:snapToGrid w:val="0"/>
              <w:jc w:val="center"/>
              <w:rPr>
                <w:rFonts w:ascii="Times New Roman" w:hAnsi="Times New Roman" w:cs="Times New Roman" w:eastAsiaTheme="minorEastAsia"/>
                <w:b/>
                <w:szCs w:val="21"/>
              </w:rPr>
            </w:pPr>
            <w:r>
              <w:rPr>
                <w:rFonts w:ascii="Times New Roman" w:hAnsi="Times New Roman" w:cs="Times New Roman" w:eastAsiaTheme="minorEastAsia"/>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344" w:type="pct"/>
            <w:vAlign w:val="center"/>
          </w:tcPr>
          <w:p>
            <w:pPr>
              <w:snapToGrid w:val="0"/>
              <w:jc w:val="center"/>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2269"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要切实落实“报告表”提出的各项大气污染防治措施抛丸粉尘经布袋除尘设施除尘，达到20mg/m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及以下排放；含HCL的酸性气体采用酸雾净化塔净化，达到10mg/m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及以下排放。以太钢经精脱硫后的焦炉煤气为常化退火炉的燃料，减轻对大气环境的影响。</w:t>
            </w:r>
          </w:p>
        </w:tc>
        <w:tc>
          <w:tcPr>
            <w:tcW w:w="2387"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预热/无氧化加热炉燃料为太钢厂区焦炉煤气管网内的焦炉煤气；</w:t>
            </w:r>
          </w:p>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抛丸机后短接一个旋风除尘器然后管路接袋式除尘器，粉尘排放浓度为4.5mg/m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，酸雾采用酸雾净化塔水洗净化，氯化氢的排放浓度为6.02mg/m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，满足环评批复的浓度要求。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344" w:type="pct"/>
            <w:vAlign w:val="center"/>
          </w:tcPr>
          <w:p>
            <w:pPr>
              <w:snapToGrid w:val="0"/>
              <w:jc w:val="center"/>
              <w:rPr>
                <w:rFonts w:ascii="Times New Roman" w:hAnsi="Times New Roman" w:cs="Times New Roman" w:eastAsiaTheme="minorEastAsia"/>
                <w:szCs w:val="21"/>
              </w:rPr>
            </w:pPr>
            <w:r>
              <w:rPr>
                <w:rFonts w:ascii="Times New Roman" w:hAnsi="Times New Roman" w:cs="Times New Roman" w:eastAsiaTheme="minorEastAsia"/>
                <w:szCs w:val="21"/>
              </w:rPr>
              <w:t>2</w:t>
            </w:r>
          </w:p>
        </w:tc>
        <w:tc>
          <w:tcPr>
            <w:tcW w:w="2269"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为减轻对水环境的影响，项目的生产废水要全部收集，合理利用。净循环系统排水，排入浊循环水系统再利用；浊循环系统排污水送赵庄污水处理厂集中处理后回用，酸化漂洗废水和酸雾洗涤废水经太钢中和站处理后送赵庄污水处理厂集中处理后回用。</w:t>
            </w:r>
          </w:p>
        </w:tc>
        <w:tc>
          <w:tcPr>
            <w:tcW w:w="2387"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净循环系统排水，排入浊循环系统循环利用；</w:t>
            </w:r>
          </w:p>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浊循环系统废水排入赵庄污水处理厂五期；</w:t>
            </w:r>
          </w:p>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酸化漂洗和酸雾洗涤废水经太钢中和三站处理后排入赵庄污水处理厂五期。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44" w:type="pct"/>
            <w:vAlign w:val="center"/>
          </w:tcPr>
          <w:p>
            <w:pPr>
              <w:snapToGrid w:val="0"/>
              <w:jc w:val="center"/>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2269"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要选用低噪声设备，并采取有效的减振、隔声等降噪措施，切实减轻噪声污染。</w:t>
            </w:r>
          </w:p>
        </w:tc>
        <w:tc>
          <w:tcPr>
            <w:tcW w:w="2387"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本项目生产设备选用了低噪声设备，对于噪声、振动较大的设备安装了减振基础。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Align w:val="center"/>
          </w:tcPr>
          <w:p>
            <w:pPr>
              <w:snapToGrid w:val="0"/>
              <w:jc w:val="center"/>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2269"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生产过程产生的各类固废不准随意倾倒，必须统一收集，分类处置。剪切、抛丸产生的边角料、铁粉返回炼钢系统和原料配料系统利用；产生的危险废物要严格按照《危险废物贮存污染控制标准》(GB18597-2001)暂存，其中废酸送酸再生处理装置回收利用，废油送太钢福利总厂进行处置。</w:t>
            </w:r>
          </w:p>
        </w:tc>
        <w:tc>
          <w:tcPr>
            <w:tcW w:w="2387"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钢料在进行剪切生产过程中产生的废边角料，钢板在抛丸处理过程中除尘器收集的铁粉全部进入炼钢系统和原料配料进行回收利用。</w:t>
            </w:r>
          </w:p>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盐酸在酸洗钢板过程产生废酸，本项目将这部分废酸送酸再生处理装置回收利用；</w:t>
            </w:r>
          </w:p>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机械设备运行使用的机油需要更换，产生的废机油由山西新鸿顺能源有限公司定期运输处理。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Align w:val="center"/>
          </w:tcPr>
          <w:p>
            <w:pPr>
              <w:snapToGrid w:val="0"/>
              <w:jc w:val="center"/>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2269"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严格做好厂区防渗工程，防止发生跑冒滴漏及地下渗漏事故。要制定环境风险应急预案，确保一旦发生事故，立即启动应急预案。</w:t>
            </w:r>
          </w:p>
        </w:tc>
        <w:tc>
          <w:tcPr>
            <w:tcW w:w="2387" w:type="pct"/>
            <w:vAlign w:val="center"/>
          </w:tcPr>
          <w:p>
            <w:pPr>
              <w:snapToGrid w:val="0"/>
              <w:rPr>
                <w:rFonts w:ascii="Times New Roman" w:hAnsi="Times New Roman" w:cs="Times New Roman" w:eastAsiaTheme="minorEastAsia"/>
                <w:szCs w:val="21"/>
              </w:rPr>
            </w:pPr>
            <w:r>
              <w:rPr>
                <w:rFonts w:ascii="Times New Roman" w:hAnsi="Times New Roman" w:cs="Times New Roman" w:eastAsiaTheme="minorEastAsia"/>
                <w:szCs w:val="21"/>
              </w:rPr>
              <w:t>厂区地面做了防渗工程，本项目制定了突发环境污染事件应急预案。</w:t>
            </w:r>
          </w:p>
        </w:tc>
      </w:tr>
    </w:tbl>
    <w:p>
      <w:pPr>
        <w:pStyle w:val="8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四、环境保护设施调试效果</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（一）环保设施处理效率</w:t>
      </w:r>
    </w:p>
    <w:p>
      <w:pPr>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项目调试运行期间，各项环保设施均运行正常，环保设施运行符合环境影响报告表及其环评批复的要求。</w:t>
      </w:r>
    </w:p>
    <w:p>
      <w:pPr>
        <w:pStyle w:val="81"/>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（二）污染物排放情况</w:t>
      </w:r>
    </w:p>
    <w:p>
      <w:pPr>
        <w:pStyle w:val="6"/>
        <w:snapToGrid w:val="0"/>
        <w:spacing w:line="500" w:lineRule="exact"/>
        <w:ind w:firstLine="560" w:firstLineChars="200"/>
        <w:rPr>
          <w:bCs/>
          <w:color w:val="000000"/>
          <w:sz w:val="28"/>
          <w:szCs w:val="28"/>
        </w:rPr>
      </w:pPr>
      <w:r>
        <w:rPr>
          <w:bCs/>
          <w:color w:val="000000"/>
          <w:sz w:val="28"/>
          <w:szCs w:val="28"/>
        </w:rPr>
        <w:t>1、有组织废气污染物</w:t>
      </w:r>
    </w:p>
    <w:p>
      <w:pPr>
        <w:pStyle w:val="6"/>
        <w:snapToGrid w:val="0"/>
        <w:spacing w:line="500" w:lineRule="exact"/>
        <w:ind w:firstLine="560" w:firstLineChars="200"/>
        <w:rPr>
          <w:bCs/>
          <w:color w:val="000000"/>
          <w:sz w:val="28"/>
          <w:szCs w:val="28"/>
        </w:rPr>
      </w:pPr>
      <w:r>
        <w:rPr>
          <w:bCs/>
          <w:color w:val="000000"/>
          <w:sz w:val="28"/>
          <w:szCs w:val="28"/>
        </w:rPr>
        <w:t>（1）加热炉烟气。验收监测结果表明，预热/无氧化加热炉排气筒出口烟尘浓度范围为3.8-11.8mg/m³，二氧化硫未检出，氮氧化物浓度范围为86.6-93.5 mg/m³，符合《轧钢工业大气污染物排放标准》（GB 28665-2012）表3大气污染物特别排放限值要求。</w:t>
      </w:r>
    </w:p>
    <w:p>
      <w:pPr>
        <w:pStyle w:val="6"/>
        <w:snapToGrid w:val="0"/>
        <w:spacing w:line="500" w:lineRule="exact"/>
        <w:ind w:firstLine="560" w:firstLineChars="200"/>
        <w:rPr>
          <w:bCs/>
          <w:color w:val="000000"/>
          <w:sz w:val="28"/>
          <w:szCs w:val="28"/>
        </w:rPr>
      </w:pPr>
      <w:r>
        <w:rPr>
          <w:bCs/>
          <w:color w:val="000000"/>
          <w:sz w:val="28"/>
          <w:szCs w:val="28"/>
        </w:rPr>
        <w:t>（2）抛丸机废气。监测结果表明，抛丸机除尘器排气筒出口颗粒物浓度范围为：2.08-14.6 mg/m³，符合《轧钢工业大气污染物排放标准》（GB 28665-2012）表3大气污染物特别排放限值要求。</w:t>
      </w:r>
    </w:p>
    <w:p>
      <w:pPr>
        <w:pStyle w:val="6"/>
        <w:snapToGrid w:val="0"/>
        <w:spacing w:line="500" w:lineRule="exact"/>
        <w:ind w:firstLine="560" w:firstLineChars="200"/>
        <w:rPr>
          <w:bCs/>
          <w:color w:val="000000"/>
          <w:sz w:val="28"/>
          <w:szCs w:val="28"/>
        </w:rPr>
      </w:pPr>
      <w:r>
        <w:rPr>
          <w:bCs/>
          <w:color w:val="000000"/>
          <w:sz w:val="28"/>
          <w:szCs w:val="28"/>
        </w:rPr>
        <w:t>（3）常化酸洗机组酸雾净化塔排气筒出口氯化氢浓度范围为：5.59-6.33mg/m³，符合《轧钢工业大气污染物排放标准》（GB 28665-2012）表3大气污染物特别排放限值要求。</w:t>
      </w:r>
    </w:p>
    <w:p>
      <w:pPr>
        <w:pStyle w:val="6"/>
        <w:snapToGrid w:val="0"/>
        <w:spacing w:line="500" w:lineRule="exact"/>
        <w:ind w:firstLine="560" w:firstLineChars="200"/>
        <w:rPr>
          <w:bCs/>
          <w:color w:val="000000"/>
          <w:sz w:val="28"/>
          <w:szCs w:val="28"/>
        </w:rPr>
      </w:pPr>
      <w:r>
        <w:rPr>
          <w:bCs/>
          <w:color w:val="000000"/>
          <w:sz w:val="28"/>
          <w:szCs w:val="28"/>
        </w:rPr>
        <w:t>2、厂界无组织排放</w:t>
      </w:r>
    </w:p>
    <w:p>
      <w:pPr>
        <w:pStyle w:val="6"/>
        <w:snapToGrid w:val="0"/>
        <w:spacing w:line="500" w:lineRule="exact"/>
        <w:ind w:firstLine="560" w:firstLineChars="200"/>
        <w:rPr>
          <w:bCs/>
          <w:color w:val="000000"/>
          <w:sz w:val="28"/>
          <w:szCs w:val="28"/>
        </w:rPr>
      </w:pPr>
      <w:r>
        <w:rPr>
          <w:bCs/>
          <w:color w:val="000000"/>
          <w:sz w:val="28"/>
          <w:szCs w:val="28"/>
        </w:rPr>
        <w:t>厂界无组织排放验收监测结果表明：颗粒物浓度范围为0.14-0.45 mg/m³，满足《轧钢工业大气污染物排放标准》（GB 28665-2012）表3大气污染物无组织排放限值要求</w:t>
      </w:r>
    </w:p>
    <w:p>
      <w:pPr>
        <w:pStyle w:val="6"/>
        <w:snapToGrid w:val="0"/>
        <w:spacing w:line="500" w:lineRule="exact"/>
        <w:ind w:firstLine="560" w:firstLineChars="200"/>
        <w:rPr>
          <w:bCs/>
          <w:color w:val="000000"/>
          <w:sz w:val="28"/>
          <w:szCs w:val="28"/>
        </w:rPr>
      </w:pPr>
      <w:r>
        <w:rPr>
          <w:bCs/>
          <w:color w:val="000000"/>
          <w:sz w:val="28"/>
          <w:szCs w:val="28"/>
        </w:rPr>
        <w:t>3、工业废水</w:t>
      </w:r>
    </w:p>
    <w:p>
      <w:pPr>
        <w:pStyle w:val="6"/>
        <w:snapToGrid w:val="0"/>
        <w:spacing w:line="500" w:lineRule="exact"/>
        <w:ind w:firstLine="560" w:firstLineChars="200"/>
        <w:rPr>
          <w:rFonts w:hint="eastAsia"/>
          <w:bCs/>
          <w:color w:val="000000"/>
          <w:sz w:val="28"/>
          <w:szCs w:val="28"/>
        </w:rPr>
      </w:pPr>
      <w:r>
        <w:rPr>
          <w:rFonts w:hint="eastAsia"/>
          <w:bCs/>
          <w:color w:val="000000"/>
          <w:sz w:val="28"/>
          <w:szCs w:val="28"/>
        </w:rPr>
        <w:t>酸性废水送太钢中和三站处理，然后送</w:t>
      </w:r>
      <w:bookmarkStart w:id="9" w:name="_Hlk38880418"/>
      <w:r>
        <w:rPr>
          <w:rFonts w:hint="eastAsia"/>
          <w:bCs/>
          <w:color w:val="000000"/>
          <w:sz w:val="28"/>
          <w:szCs w:val="28"/>
        </w:rPr>
        <w:t>太钢赵庄污水处理厂五期处理；</w:t>
      </w:r>
      <w:bookmarkEnd w:id="9"/>
      <w:r>
        <w:rPr>
          <w:rFonts w:hint="eastAsia"/>
          <w:bCs/>
          <w:color w:val="000000"/>
          <w:sz w:val="28"/>
          <w:szCs w:val="28"/>
        </w:rPr>
        <w:t>浊环水系统排水送太钢赵庄污水处理厂五期处理。</w:t>
      </w:r>
    </w:p>
    <w:p>
      <w:pPr>
        <w:pStyle w:val="6"/>
        <w:snapToGrid w:val="0"/>
        <w:spacing w:line="500" w:lineRule="exact"/>
        <w:ind w:firstLine="560" w:firstLineChars="200"/>
        <w:rPr>
          <w:bCs/>
          <w:color w:val="000000"/>
          <w:sz w:val="28"/>
          <w:szCs w:val="28"/>
        </w:rPr>
      </w:pPr>
      <w:r>
        <w:rPr>
          <w:bCs/>
          <w:color w:val="000000"/>
          <w:sz w:val="28"/>
          <w:szCs w:val="28"/>
        </w:rPr>
        <w:t>（1）太钢中和三站排口。</w:t>
      </w:r>
      <w:bookmarkStart w:id="10" w:name="_Hlk38880459"/>
      <w:r>
        <w:rPr>
          <w:bCs/>
          <w:color w:val="000000"/>
          <w:sz w:val="28"/>
          <w:szCs w:val="28"/>
        </w:rPr>
        <w:t>监测结果</w:t>
      </w:r>
      <w:r>
        <w:rPr>
          <w:rFonts w:hint="eastAsia"/>
          <w:bCs/>
          <w:color w:val="000000"/>
          <w:sz w:val="28"/>
          <w:szCs w:val="28"/>
        </w:rPr>
        <w:t>表明，</w:t>
      </w:r>
      <w:bookmarkEnd w:id="10"/>
      <w:r>
        <w:rPr>
          <w:bCs/>
          <w:color w:val="000000"/>
          <w:sz w:val="28"/>
          <w:szCs w:val="28"/>
        </w:rPr>
        <w:t>SS为9-14mg/L，石油类为0.06-0.10mg/L，PH为 6.58-7.02，CODcr为32.5-38.9mg/L，NH3-N为2.78-3.31mg/L，总铁检测结果为未检出。</w:t>
      </w:r>
    </w:p>
    <w:p>
      <w:pPr>
        <w:pStyle w:val="6"/>
        <w:snapToGrid w:val="0"/>
        <w:spacing w:line="500" w:lineRule="exact"/>
        <w:ind w:firstLine="560" w:firstLineChars="200"/>
        <w:rPr>
          <w:rFonts w:hint="eastAsia"/>
          <w:bCs/>
          <w:sz w:val="28"/>
          <w:szCs w:val="28"/>
        </w:rPr>
      </w:pPr>
      <w:r>
        <w:rPr>
          <w:bCs/>
          <w:color w:val="000000"/>
          <w:sz w:val="28"/>
          <w:szCs w:val="28"/>
        </w:rPr>
        <w:t>（2）</w:t>
      </w:r>
      <w:r>
        <w:rPr>
          <w:rFonts w:hint="eastAsia"/>
          <w:bCs/>
          <w:color w:val="000000"/>
          <w:sz w:val="28"/>
          <w:szCs w:val="28"/>
        </w:rPr>
        <w:t>太钢</w:t>
      </w:r>
      <w:r>
        <w:rPr>
          <w:bCs/>
          <w:color w:val="000000"/>
          <w:sz w:val="28"/>
          <w:szCs w:val="28"/>
        </w:rPr>
        <w:t>赵庄污水处理厂五期出口。监测结果</w:t>
      </w:r>
      <w:r>
        <w:rPr>
          <w:rFonts w:hint="eastAsia"/>
          <w:bCs/>
          <w:color w:val="000000"/>
          <w:sz w:val="28"/>
          <w:szCs w:val="28"/>
        </w:rPr>
        <w:t>表明，</w:t>
      </w:r>
      <w:r>
        <w:rPr>
          <w:bCs/>
          <w:color w:val="000000"/>
          <w:sz w:val="28"/>
          <w:szCs w:val="28"/>
        </w:rPr>
        <w:t>SS为7-11mg/L，石油类为0.09-0.14mg/L，PH为7.76-7.84，CODcr为24.4-36.5mg/L，NH3-N为2.72-3.37mg/L，总铁检测结果为未检出</w:t>
      </w:r>
      <w:r>
        <w:rPr>
          <w:bCs/>
          <w:sz w:val="28"/>
          <w:szCs w:val="28"/>
        </w:rPr>
        <w:t>。满足《钢铁工业水污染物排放标准》（GB13456-2012）表2相关要求。</w:t>
      </w:r>
    </w:p>
    <w:p>
      <w:pPr>
        <w:pStyle w:val="6"/>
        <w:snapToGrid w:val="0"/>
        <w:spacing w:line="500" w:lineRule="exact"/>
        <w:ind w:firstLine="560" w:firstLineChars="200"/>
        <w:rPr>
          <w:bCs/>
          <w:sz w:val="28"/>
          <w:szCs w:val="28"/>
        </w:rPr>
      </w:pPr>
      <w:r>
        <w:rPr>
          <w:bCs/>
          <w:sz w:val="28"/>
          <w:szCs w:val="28"/>
        </w:rPr>
        <w:t>4、厂界噪声</w:t>
      </w:r>
    </w:p>
    <w:p>
      <w:pPr>
        <w:pStyle w:val="6"/>
        <w:snapToGrid w:val="0"/>
        <w:spacing w:line="500" w:lineRule="exact"/>
        <w:ind w:firstLine="560" w:firstLineChars="200"/>
        <w:rPr>
          <w:bCs/>
          <w:color w:val="000000"/>
          <w:sz w:val="28"/>
          <w:szCs w:val="28"/>
        </w:rPr>
      </w:pPr>
      <w:r>
        <w:rPr>
          <w:bCs/>
          <w:color w:val="000000"/>
          <w:sz w:val="28"/>
          <w:szCs w:val="28"/>
        </w:rPr>
        <w:t>厂界噪声验收监测结果表明：监测期间，厂界噪声昼间监测值范围为55.6-59.6dB（A），夜间为48.6-53.8dB（A），均满足《工业企业厂界环境噪声排放标准》（GB12348-2008）中3类标准要求。</w:t>
      </w:r>
    </w:p>
    <w:p>
      <w:pPr>
        <w:pStyle w:val="81"/>
        <w:snapToGrid w:val="0"/>
        <w:spacing w:before="0" w:beforeAutospacing="0" w:after="0" w:afterAutospacing="0" w:line="500" w:lineRule="exact"/>
        <w:ind w:firstLine="560" w:firstLineChars="200"/>
        <w:jc w:val="both"/>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5、固体废物</w:t>
      </w:r>
    </w:p>
    <w:p>
      <w:pPr>
        <w:pStyle w:val="6"/>
        <w:snapToGrid w:val="0"/>
        <w:spacing w:line="500" w:lineRule="exact"/>
        <w:ind w:firstLine="560" w:firstLineChars="200"/>
        <w:rPr>
          <w:bCs/>
          <w:color w:val="000000"/>
          <w:sz w:val="28"/>
          <w:szCs w:val="28"/>
        </w:rPr>
      </w:pPr>
      <w:r>
        <w:rPr>
          <w:bCs/>
          <w:color w:val="000000"/>
          <w:sz w:val="28"/>
          <w:szCs w:val="28"/>
        </w:rPr>
        <w:t>（1）一般固体废弃物：</w:t>
      </w:r>
    </w:p>
    <w:p>
      <w:pPr>
        <w:pStyle w:val="6"/>
        <w:snapToGrid w:val="0"/>
        <w:spacing w:line="500" w:lineRule="exact"/>
        <w:ind w:firstLine="560" w:firstLineChars="200"/>
        <w:rPr>
          <w:bCs/>
          <w:color w:val="000000"/>
          <w:sz w:val="28"/>
          <w:szCs w:val="28"/>
        </w:rPr>
      </w:pPr>
      <w:r>
        <w:rPr>
          <w:bCs/>
          <w:color w:val="000000"/>
          <w:sz w:val="28"/>
          <w:szCs w:val="28"/>
        </w:rPr>
        <w:t>废边角料、除尘器收集的铁粉全部进入</w:t>
      </w:r>
      <w:r>
        <w:rPr>
          <w:rFonts w:hint="eastAsia"/>
          <w:bCs/>
          <w:color w:val="000000"/>
          <w:sz w:val="28"/>
          <w:szCs w:val="28"/>
        </w:rPr>
        <w:t>公司</w:t>
      </w:r>
      <w:r>
        <w:rPr>
          <w:bCs/>
          <w:color w:val="000000"/>
          <w:sz w:val="28"/>
          <w:szCs w:val="28"/>
        </w:rPr>
        <w:t>炼钢系统和原料配料进行回收利用。</w:t>
      </w:r>
    </w:p>
    <w:p>
      <w:pPr>
        <w:pStyle w:val="6"/>
        <w:snapToGrid w:val="0"/>
        <w:spacing w:line="500" w:lineRule="exact"/>
        <w:ind w:firstLine="560" w:firstLineChars="200"/>
        <w:rPr>
          <w:bCs/>
          <w:color w:val="000000"/>
          <w:sz w:val="28"/>
          <w:szCs w:val="28"/>
        </w:rPr>
      </w:pPr>
      <w:r>
        <w:rPr>
          <w:bCs/>
          <w:color w:val="000000"/>
          <w:sz w:val="28"/>
          <w:szCs w:val="28"/>
        </w:rPr>
        <w:t>（2）危险固体废弃物：</w:t>
      </w:r>
    </w:p>
    <w:p>
      <w:pPr>
        <w:pStyle w:val="6"/>
        <w:snapToGrid w:val="0"/>
        <w:spacing w:line="500" w:lineRule="exact"/>
        <w:ind w:firstLine="560" w:firstLineChars="200"/>
        <w:rPr>
          <w:bCs/>
          <w:color w:val="000000"/>
          <w:sz w:val="28"/>
          <w:szCs w:val="28"/>
        </w:rPr>
      </w:pPr>
      <w:r>
        <w:rPr>
          <w:bCs/>
          <w:color w:val="000000"/>
          <w:sz w:val="28"/>
          <w:szCs w:val="28"/>
        </w:rPr>
        <w:t>酸洗废盐酸送</w:t>
      </w:r>
      <w:r>
        <w:rPr>
          <w:rFonts w:hint="eastAsia"/>
          <w:bCs/>
          <w:color w:val="000000"/>
          <w:sz w:val="28"/>
          <w:szCs w:val="28"/>
        </w:rPr>
        <w:t>本厂</w:t>
      </w:r>
      <w:r>
        <w:rPr>
          <w:bCs/>
          <w:color w:val="000000"/>
          <w:sz w:val="28"/>
          <w:szCs w:val="28"/>
        </w:rPr>
        <w:t>酸再生处理装置回收利用；</w:t>
      </w:r>
    </w:p>
    <w:p>
      <w:pPr>
        <w:pStyle w:val="6"/>
        <w:snapToGrid w:val="0"/>
        <w:spacing w:line="500" w:lineRule="exact"/>
        <w:ind w:firstLine="560" w:firstLineChars="200"/>
        <w:rPr>
          <w:bCs/>
          <w:color w:val="000000"/>
          <w:sz w:val="28"/>
          <w:szCs w:val="28"/>
        </w:rPr>
      </w:pPr>
      <w:r>
        <w:rPr>
          <w:bCs/>
          <w:color w:val="000000"/>
          <w:sz w:val="28"/>
          <w:szCs w:val="28"/>
        </w:rPr>
        <w:t>废机油由山西新鸿顺能源有限公司定期运输处理。</w:t>
      </w:r>
    </w:p>
    <w:p>
      <w:pPr>
        <w:pStyle w:val="81"/>
        <w:snapToGrid w:val="0"/>
        <w:spacing w:before="0" w:beforeAutospacing="0" w:after="0" w:afterAutospacing="0" w:line="500" w:lineRule="exact"/>
        <w:ind w:firstLine="560" w:firstLineChars="200"/>
        <w:jc w:val="both"/>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五、污染物排放总量</w:t>
      </w:r>
    </w:p>
    <w:p>
      <w:pPr>
        <w:pStyle w:val="6"/>
        <w:snapToGrid w:val="0"/>
        <w:spacing w:line="500" w:lineRule="exact"/>
        <w:ind w:firstLine="560" w:firstLineChars="200"/>
        <w:rPr>
          <w:bCs/>
          <w:color w:val="000000"/>
          <w:sz w:val="28"/>
          <w:szCs w:val="28"/>
        </w:rPr>
      </w:pPr>
      <w:r>
        <w:rPr>
          <w:bCs/>
          <w:color w:val="000000"/>
          <w:sz w:val="28"/>
          <w:szCs w:val="28"/>
        </w:rPr>
        <w:t>经校核，本项目烟尘排放量为0.38t/a，粉尘排放量为1.33t/a，二氧化硫</w:t>
      </w:r>
      <w:r>
        <w:rPr>
          <w:bCs/>
          <w:sz w:val="28"/>
          <w:szCs w:val="28"/>
        </w:rPr>
        <w:t>排放量为未</w:t>
      </w:r>
      <w:r>
        <w:rPr>
          <w:rFonts w:hint="eastAsia"/>
          <w:bCs/>
          <w:sz w:val="28"/>
          <w:szCs w:val="28"/>
        </w:rPr>
        <w:t>检</w:t>
      </w:r>
      <w:r>
        <w:rPr>
          <w:bCs/>
          <w:sz w:val="28"/>
          <w:szCs w:val="28"/>
        </w:rPr>
        <w:t>出，氮氧</w:t>
      </w:r>
      <w:r>
        <w:rPr>
          <w:bCs/>
          <w:color w:val="000000"/>
          <w:sz w:val="28"/>
          <w:szCs w:val="28"/>
        </w:rPr>
        <w:t>化物排放量为8.38t/a，满足《关于核定山西太钢不锈钢股份有限公司硅钢常化酸洗生产线技术改造项目污染物排放总量的函》（晋环函[2012]1348号）核定的烟尘2.08吨/年、粉尘2.52吨/年、</w:t>
      </w:r>
      <w:bookmarkStart w:id="11" w:name="_Hlk38827754"/>
      <w:r>
        <w:rPr>
          <w:bCs/>
          <w:color w:val="000000"/>
          <w:sz w:val="28"/>
          <w:szCs w:val="28"/>
        </w:rPr>
        <w:t>二氧化硫</w:t>
      </w:r>
      <w:bookmarkEnd w:id="11"/>
      <w:r>
        <w:rPr>
          <w:bCs/>
          <w:color w:val="000000"/>
          <w:sz w:val="28"/>
          <w:szCs w:val="28"/>
        </w:rPr>
        <w:t>1.61吨/年、氮氧化物31.76吨/年</w:t>
      </w:r>
      <w:r>
        <w:rPr>
          <w:rFonts w:hint="eastAsia"/>
          <w:bCs/>
          <w:color w:val="000000"/>
          <w:sz w:val="28"/>
          <w:szCs w:val="28"/>
        </w:rPr>
        <w:t>的</w:t>
      </w:r>
      <w:r>
        <w:rPr>
          <w:bCs/>
          <w:color w:val="000000"/>
          <w:sz w:val="28"/>
          <w:szCs w:val="28"/>
        </w:rPr>
        <w:t>总量控制指标。</w:t>
      </w:r>
    </w:p>
    <w:p>
      <w:pPr>
        <w:pStyle w:val="8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六、工程建设对环境的影响</w:t>
      </w:r>
    </w:p>
    <w:p>
      <w:pPr>
        <w:pStyle w:val="81"/>
        <w:snapToGrid w:val="0"/>
        <w:spacing w:before="0" w:beforeAutospacing="0" w:after="0" w:afterAutospacing="0"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项目生产废水统一处理利用不外排；各大气污染物排放源采取有效措施净化；产噪设备采取隔声、降噪等措施控制；各类固废采取相应处置和循环利用措施。据验收监测结果可知，各污染物满足达标排放，周围环境质量可达到验收执行标准。工程建设对周围环境产生的影响较小。</w:t>
      </w:r>
    </w:p>
    <w:p>
      <w:pPr>
        <w:pStyle w:val="8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七、验收结论</w:t>
      </w:r>
    </w:p>
    <w:p>
      <w:pPr>
        <w:adjustRightInd w:val="0"/>
        <w:snapToGrid w:val="0"/>
        <w:spacing w:line="500" w:lineRule="exact"/>
        <w:ind w:firstLine="560" w:firstLineChars="200"/>
        <w:rPr>
          <w:rFonts w:ascii="Times New Roman" w:hAnsi="Times New Roman" w:cs="Times New Roman"/>
          <w:bCs/>
          <w:color w:val="000000"/>
          <w:sz w:val="28"/>
          <w:szCs w:val="28"/>
        </w:rPr>
      </w:pPr>
      <w:bookmarkStart w:id="12" w:name="_Hlk38860454"/>
      <w:r>
        <w:rPr>
          <w:rFonts w:ascii="Times New Roman" w:hAnsi="Times New Roman" w:cs="Times New Roman"/>
          <w:color w:val="000000"/>
          <w:kern w:val="0"/>
          <w:sz w:val="28"/>
          <w:szCs w:val="28"/>
        </w:rPr>
        <w:t>山西太钢不锈钢股份有限公司硅钢常化酸洗生产线技术改造项目</w:t>
      </w:r>
      <w:bookmarkEnd w:id="12"/>
      <w:r>
        <w:rPr>
          <w:rFonts w:ascii="Times New Roman" w:hAnsi="Times New Roman" w:cs="Times New Roman"/>
          <w:color w:val="000000"/>
          <w:kern w:val="0"/>
          <w:sz w:val="28"/>
          <w:szCs w:val="28"/>
        </w:rPr>
        <w:t>进行了环境影响评价，报告表经原山西省环境</w:t>
      </w:r>
      <w:r>
        <w:rPr>
          <w:rFonts w:ascii="Times New Roman" w:hAnsi="Times New Roman" w:cs="Times New Roman"/>
          <w:bCs/>
          <w:color w:val="000000"/>
          <w:sz w:val="28"/>
          <w:szCs w:val="28"/>
        </w:rPr>
        <w:t>保护厅批复。项目基本按照环评及其批复要求进行了建设。验收监测结果表明，污染物可以做到达标排放，符合总量控制指标要求，不存在国家规定的验收不合格情形。验收组认为，本项目竣工环境保护验收为基本合格。</w:t>
      </w:r>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bookmarkStart w:id="13" w:name="_GoBack"/>
      <w:bookmarkEnd w:id="13"/>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p>
    <w:p>
      <w:pPr>
        <w:pStyle w:val="8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p>
    <w:p>
      <w:pPr>
        <w:pStyle w:val="81"/>
        <w:snapToGrid w:val="0"/>
        <w:spacing w:before="0" w:beforeAutospacing="0" w:after="0" w:afterAutospacing="0" w:line="500" w:lineRule="exact"/>
        <w:ind w:left="562"/>
        <w:jc w:val="both"/>
        <w:outlineLvl w:val="0"/>
        <w:rPr>
          <w:rFonts w:hint="eastAsia" w:ascii="Times New Roman" w:hAnsi="Times New Roman" w:cs="Times New Roman"/>
          <w:b/>
          <w:color w:val="000000"/>
          <w:sz w:val="28"/>
          <w:szCs w:val="28"/>
        </w:rPr>
      </w:pPr>
    </w:p>
    <w:p>
      <w:pPr>
        <w:pStyle w:val="89"/>
        <w:widowControl/>
        <w:adjustRightInd w:val="0"/>
        <w:snapToGrid w:val="0"/>
        <w:spacing w:line="460" w:lineRule="exact"/>
        <w:ind w:left="420" w:firstLine="0" w:firstLineChars="0"/>
        <w:jc w:val="right"/>
        <w:rPr>
          <w:rFonts w:ascii="Times New Roman" w:hAnsi="Times New Roman" w:cs="Times New Roman"/>
          <w:sz w:val="24"/>
        </w:rPr>
      </w:pPr>
    </w:p>
    <w:p>
      <w:pPr>
        <w:pStyle w:val="89"/>
        <w:widowControl/>
        <w:adjustRightInd w:val="0"/>
        <w:snapToGrid w:val="0"/>
        <w:spacing w:line="460" w:lineRule="exact"/>
        <w:ind w:left="420" w:right="1080" w:firstLine="0" w:firstLineChars="0"/>
        <w:jc w:val="right"/>
        <w:rPr>
          <w:rFonts w:ascii="Times New Roman" w:hAnsi="Times New Roman" w:cs="Times New Roman"/>
          <w:kern w:val="0"/>
          <w:sz w:val="28"/>
          <w:szCs w:val="28"/>
        </w:rPr>
      </w:pPr>
      <w:r>
        <w:rPr>
          <w:rFonts w:ascii="Times New Roman" w:hAnsi="Times New Roman" w:cs="Times New Roman"/>
          <w:sz w:val="28"/>
          <w:szCs w:val="28"/>
        </w:rPr>
        <w:t>20</w:t>
      </w:r>
      <w:r>
        <w:rPr>
          <w:rFonts w:hint="eastAsia" w:ascii="Times New Roman" w:hAnsi="Times New Roman" w:cs="Times New Roman"/>
          <w:sz w:val="28"/>
          <w:szCs w:val="28"/>
        </w:rPr>
        <w:t>20</w:t>
      </w:r>
      <w:r>
        <w:rPr>
          <w:rFonts w:ascii="Times New Roman" w:hAnsi="Times New Roman" w:cs="Times New Roman"/>
          <w:sz w:val="28"/>
          <w:szCs w:val="28"/>
        </w:rPr>
        <w:t>年4月</w:t>
      </w:r>
      <w:r>
        <w:rPr>
          <w:rFonts w:hint="eastAsia" w:ascii="Times New Roman" w:hAnsi="Times New Roman" w:cs="Times New Roman"/>
          <w:sz w:val="28"/>
          <w:szCs w:val="28"/>
        </w:rPr>
        <w:t>27</w:t>
      </w:r>
      <w:r>
        <w:rPr>
          <w:rFonts w:ascii="Times New Roman" w:hAnsi="Times New Roman" w:cs="Times New Roman"/>
          <w:sz w:val="28"/>
          <w:szCs w:val="28"/>
        </w:rPr>
        <w:t>日</w:t>
      </w:r>
    </w:p>
    <w:p>
      <w:pPr>
        <w:rPr>
          <w:rFonts w:ascii="Times New Roman" w:hAnsi="Times New Roman" w:cs="Times New Roman"/>
          <w:color w:val="000000"/>
          <w:sz w:val="28"/>
          <w:szCs w:val="28"/>
        </w:rPr>
      </w:pPr>
    </w:p>
    <w:p>
      <w:pPr>
        <w:pStyle w:val="81"/>
        <w:spacing w:before="0" w:beforeAutospacing="0" w:after="0" w:afterAutospacing="0" w:line="520" w:lineRule="exact"/>
        <w:ind w:firstLine="560" w:firstLineChars="200"/>
        <w:jc w:val="both"/>
        <w:rPr>
          <w:rFonts w:ascii="Times New Roman" w:hAnsi="Times New Roman" w:cs="Times New Roman"/>
          <w:sz w:val="28"/>
          <w:szCs w:val="28"/>
        </w:rPr>
      </w:pPr>
    </w:p>
    <w:sectPr>
      <w:footerReference r:id="rId3" w:type="default"/>
      <w:pgSz w:w="11907" w:h="16839"/>
      <w:pgMar w:top="1440" w:right="1287" w:bottom="1440" w:left="1797" w:header="907" w:footer="1021"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PMingLiU">
    <w:panose1 w:val="02020500000000000000"/>
    <w:charset w:val="88"/>
    <w:family w:val="roman"/>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59"/>
        <w:rFonts w:ascii="Times New Roman" w:hAnsi="Times New Roman" w:cs="Times New Roman"/>
      </w:rPr>
    </w:pPr>
    <w:r>
      <w:rPr>
        <w:rFonts w:ascii="Times New Roman" w:hAnsi="Times New Roman" w:cs="Times New Roman"/>
      </w:rPr>
      <w:fldChar w:fldCharType="begin"/>
    </w:r>
    <w:r>
      <w:rPr>
        <w:rStyle w:val="59"/>
        <w:rFonts w:ascii="Times New Roman" w:hAnsi="Times New Roman" w:cs="Times New Roman"/>
      </w:rPr>
      <w:instrText xml:space="preserve">PAGE  </w:instrText>
    </w:r>
    <w:r>
      <w:rPr>
        <w:rFonts w:ascii="Times New Roman" w:hAnsi="Times New Roman" w:cs="Times New Roman"/>
      </w:rPr>
      <w:fldChar w:fldCharType="separate"/>
    </w:r>
    <w:r>
      <w:rPr>
        <w:rStyle w:val="59"/>
        <w:rFonts w:ascii="Times New Roman" w:hAnsi="Times New Roman" w:cs="Times New Roman"/>
      </w:rPr>
      <w:t>1</w:t>
    </w:r>
    <w:r>
      <w:rPr>
        <w:rFonts w:ascii="Times New Roman" w:hAnsi="Times New Roman" w:cs="Times New Roman"/>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F363E"/>
    <w:rsid w:val="0000473B"/>
    <w:rsid w:val="0001384F"/>
    <w:rsid w:val="00021A86"/>
    <w:rsid w:val="000326B5"/>
    <w:rsid w:val="00035E40"/>
    <w:rsid w:val="00037630"/>
    <w:rsid w:val="00044CF5"/>
    <w:rsid w:val="00047464"/>
    <w:rsid w:val="00050165"/>
    <w:rsid w:val="000507DF"/>
    <w:rsid w:val="00061F18"/>
    <w:rsid w:val="00066E43"/>
    <w:rsid w:val="00071976"/>
    <w:rsid w:val="000A31D5"/>
    <w:rsid w:val="00107B08"/>
    <w:rsid w:val="00114EC8"/>
    <w:rsid w:val="00126C68"/>
    <w:rsid w:val="0013317C"/>
    <w:rsid w:val="0016411D"/>
    <w:rsid w:val="00173589"/>
    <w:rsid w:val="00180E87"/>
    <w:rsid w:val="0018468E"/>
    <w:rsid w:val="00194D9F"/>
    <w:rsid w:val="001A2FF8"/>
    <w:rsid w:val="001B515C"/>
    <w:rsid w:val="001C1712"/>
    <w:rsid w:val="001C2896"/>
    <w:rsid w:val="001F4571"/>
    <w:rsid w:val="001F4B69"/>
    <w:rsid w:val="00223A4A"/>
    <w:rsid w:val="00224850"/>
    <w:rsid w:val="00225172"/>
    <w:rsid w:val="002307B3"/>
    <w:rsid w:val="00232B9D"/>
    <w:rsid w:val="00242A19"/>
    <w:rsid w:val="00252851"/>
    <w:rsid w:val="00252BE6"/>
    <w:rsid w:val="0025751C"/>
    <w:rsid w:val="0026055B"/>
    <w:rsid w:val="00277FD4"/>
    <w:rsid w:val="002951D1"/>
    <w:rsid w:val="00297A4E"/>
    <w:rsid w:val="002C65BE"/>
    <w:rsid w:val="002D31E4"/>
    <w:rsid w:val="002F468A"/>
    <w:rsid w:val="00301DEB"/>
    <w:rsid w:val="003229B0"/>
    <w:rsid w:val="003313AF"/>
    <w:rsid w:val="0033781A"/>
    <w:rsid w:val="0036031B"/>
    <w:rsid w:val="003637AD"/>
    <w:rsid w:val="00382FBC"/>
    <w:rsid w:val="00393D20"/>
    <w:rsid w:val="003963DA"/>
    <w:rsid w:val="003B0F4E"/>
    <w:rsid w:val="003C070C"/>
    <w:rsid w:val="003D7671"/>
    <w:rsid w:val="003E551D"/>
    <w:rsid w:val="00403C4D"/>
    <w:rsid w:val="00420368"/>
    <w:rsid w:val="00421B60"/>
    <w:rsid w:val="004257AB"/>
    <w:rsid w:val="00435C2D"/>
    <w:rsid w:val="00445416"/>
    <w:rsid w:val="00463846"/>
    <w:rsid w:val="00476B38"/>
    <w:rsid w:val="004827C6"/>
    <w:rsid w:val="00486FE2"/>
    <w:rsid w:val="004955B1"/>
    <w:rsid w:val="004A018C"/>
    <w:rsid w:val="004A033D"/>
    <w:rsid w:val="004A6E79"/>
    <w:rsid w:val="004C6AEC"/>
    <w:rsid w:val="004E6866"/>
    <w:rsid w:val="004F00C6"/>
    <w:rsid w:val="00515BAD"/>
    <w:rsid w:val="00520C2F"/>
    <w:rsid w:val="00555A91"/>
    <w:rsid w:val="00573AAD"/>
    <w:rsid w:val="00575337"/>
    <w:rsid w:val="00582F6E"/>
    <w:rsid w:val="005A0650"/>
    <w:rsid w:val="005A1018"/>
    <w:rsid w:val="005B4AC1"/>
    <w:rsid w:val="005E1E5F"/>
    <w:rsid w:val="005E7BD0"/>
    <w:rsid w:val="005F0FC3"/>
    <w:rsid w:val="005F7BD3"/>
    <w:rsid w:val="00601293"/>
    <w:rsid w:val="0060596E"/>
    <w:rsid w:val="00625FEB"/>
    <w:rsid w:val="00635A1F"/>
    <w:rsid w:val="0065229A"/>
    <w:rsid w:val="00664A2A"/>
    <w:rsid w:val="00666FA2"/>
    <w:rsid w:val="00673C45"/>
    <w:rsid w:val="00676BA7"/>
    <w:rsid w:val="0069793D"/>
    <w:rsid w:val="006C2892"/>
    <w:rsid w:val="006D1387"/>
    <w:rsid w:val="006D2839"/>
    <w:rsid w:val="006D423D"/>
    <w:rsid w:val="0070531B"/>
    <w:rsid w:val="0070540C"/>
    <w:rsid w:val="00714D0F"/>
    <w:rsid w:val="00715301"/>
    <w:rsid w:val="007158E0"/>
    <w:rsid w:val="007304A6"/>
    <w:rsid w:val="00732C43"/>
    <w:rsid w:val="00740926"/>
    <w:rsid w:val="00744DAE"/>
    <w:rsid w:val="007568A1"/>
    <w:rsid w:val="00762BA1"/>
    <w:rsid w:val="00773CF6"/>
    <w:rsid w:val="00792343"/>
    <w:rsid w:val="0079375F"/>
    <w:rsid w:val="00795560"/>
    <w:rsid w:val="0079774C"/>
    <w:rsid w:val="007A34F3"/>
    <w:rsid w:val="007B738A"/>
    <w:rsid w:val="007F40CD"/>
    <w:rsid w:val="0080712E"/>
    <w:rsid w:val="00812D34"/>
    <w:rsid w:val="008414C3"/>
    <w:rsid w:val="00846642"/>
    <w:rsid w:val="00855A93"/>
    <w:rsid w:val="00887000"/>
    <w:rsid w:val="008B181B"/>
    <w:rsid w:val="008F08A8"/>
    <w:rsid w:val="008F363E"/>
    <w:rsid w:val="008F5593"/>
    <w:rsid w:val="0090612F"/>
    <w:rsid w:val="00913015"/>
    <w:rsid w:val="00921EFE"/>
    <w:rsid w:val="00935AF2"/>
    <w:rsid w:val="00940FED"/>
    <w:rsid w:val="00942359"/>
    <w:rsid w:val="0096391E"/>
    <w:rsid w:val="00974BDD"/>
    <w:rsid w:val="0098573A"/>
    <w:rsid w:val="00991DE6"/>
    <w:rsid w:val="009A1934"/>
    <w:rsid w:val="009B63D3"/>
    <w:rsid w:val="009C0E36"/>
    <w:rsid w:val="009C58B3"/>
    <w:rsid w:val="009C6D20"/>
    <w:rsid w:val="009E4E35"/>
    <w:rsid w:val="00A01903"/>
    <w:rsid w:val="00A1265C"/>
    <w:rsid w:val="00A24F29"/>
    <w:rsid w:val="00A2763C"/>
    <w:rsid w:val="00A3789D"/>
    <w:rsid w:val="00A459FA"/>
    <w:rsid w:val="00A96EBE"/>
    <w:rsid w:val="00AA543F"/>
    <w:rsid w:val="00AA70B8"/>
    <w:rsid w:val="00AB2A5C"/>
    <w:rsid w:val="00AC575B"/>
    <w:rsid w:val="00AD2C91"/>
    <w:rsid w:val="00AF03FF"/>
    <w:rsid w:val="00B01554"/>
    <w:rsid w:val="00B17F06"/>
    <w:rsid w:val="00B54328"/>
    <w:rsid w:val="00B67202"/>
    <w:rsid w:val="00B743C4"/>
    <w:rsid w:val="00B8411C"/>
    <w:rsid w:val="00B8481D"/>
    <w:rsid w:val="00B97094"/>
    <w:rsid w:val="00BA5872"/>
    <w:rsid w:val="00BA7DD5"/>
    <w:rsid w:val="00BC38C2"/>
    <w:rsid w:val="00BC3FC1"/>
    <w:rsid w:val="00BD7A20"/>
    <w:rsid w:val="00BF7BD1"/>
    <w:rsid w:val="00C145EA"/>
    <w:rsid w:val="00C302AB"/>
    <w:rsid w:val="00C568F8"/>
    <w:rsid w:val="00C60226"/>
    <w:rsid w:val="00C70992"/>
    <w:rsid w:val="00C72D2D"/>
    <w:rsid w:val="00C73032"/>
    <w:rsid w:val="00C743E5"/>
    <w:rsid w:val="00C848A6"/>
    <w:rsid w:val="00C91C5C"/>
    <w:rsid w:val="00C9699A"/>
    <w:rsid w:val="00CA1AE4"/>
    <w:rsid w:val="00CC2C51"/>
    <w:rsid w:val="00CC6488"/>
    <w:rsid w:val="00CD3B96"/>
    <w:rsid w:val="00CF6DAF"/>
    <w:rsid w:val="00D01AE1"/>
    <w:rsid w:val="00D066D0"/>
    <w:rsid w:val="00D10DBA"/>
    <w:rsid w:val="00D15448"/>
    <w:rsid w:val="00D331F7"/>
    <w:rsid w:val="00D6096D"/>
    <w:rsid w:val="00D613D8"/>
    <w:rsid w:val="00D70CBD"/>
    <w:rsid w:val="00D7593B"/>
    <w:rsid w:val="00D76058"/>
    <w:rsid w:val="00D813C3"/>
    <w:rsid w:val="00D86662"/>
    <w:rsid w:val="00DB5D8B"/>
    <w:rsid w:val="00DD1E21"/>
    <w:rsid w:val="00DD64D5"/>
    <w:rsid w:val="00E27CCC"/>
    <w:rsid w:val="00E3574A"/>
    <w:rsid w:val="00E650BB"/>
    <w:rsid w:val="00E66B53"/>
    <w:rsid w:val="00EA027F"/>
    <w:rsid w:val="00EA2AB4"/>
    <w:rsid w:val="00EB37D9"/>
    <w:rsid w:val="00EB5458"/>
    <w:rsid w:val="00EC6297"/>
    <w:rsid w:val="00EE0E64"/>
    <w:rsid w:val="00F0270F"/>
    <w:rsid w:val="00F05BF4"/>
    <w:rsid w:val="00F31C63"/>
    <w:rsid w:val="00F324C6"/>
    <w:rsid w:val="00F3764F"/>
    <w:rsid w:val="00F5616E"/>
    <w:rsid w:val="00F66119"/>
    <w:rsid w:val="00F73EBB"/>
    <w:rsid w:val="00F7770D"/>
    <w:rsid w:val="00F80B53"/>
    <w:rsid w:val="00F81748"/>
    <w:rsid w:val="00FC593F"/>
    <w:rsid w:val="00FF3838"/>
    <w:rsid w:val="10B04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4"/>
      <w:lang w:val="en-US" w:eastAsia="zh-CN" w:bidi="ar-SA"/>
    </w:rPr>
  </w:style>
  <w:style w:type="paragraph" w:styleId="2">
    <w:name w:val="heading 1"/>
    <w:basedOn w:val="1"/>
    <w:next w:val="1"/>
    <w:link w:val="8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79"/>
    <w:uiPriority w:val="0"/>
    <w:pPr>
      <w:widowControl/>
      <w:spacing w:before="260" w:after="260" w:line="2800" w:lineRule="atLeast"/>
      <w:ind w:firstLine="419"/>
      <w:textAlignment w:val="baseline"/>
      <w:outlineLvl w:val="1"/>
    </w:pPr>
    <w:rPr>
      <w:rFonts w:ascii="Arial" w:eastAsia="黑体"/>
      <w:b/>
      <w:color w:val="000000"/>
      <w:sz w:val="31"/>
      <w:u w:color="000000"/>
    </w:rPr>
  </w:style>
  <w:style w:type="paragraph" w:styleId="4">
    <w:name w:val="heading 3"/>
    <w:basedOn w:val="1"/>
    <w:next w:val="1"/>
    <w:uiPriority w:val="0"/>
    <w:pPr>
      <w:keepNext/>
      <w:keepLines/>
      <w:spacing w:before="260" w:after="260" w:line="416" w:lineRule="auto"/>
      <w:outlineLvl w:val="2"/>
    </w:pPr>
    <w:rPr>
      <w:b/>
      <w:bCs/>
      <w:sz w:val="32"/>
      <w:szCs w:val="32"/>
    </w:rPr>
  </w:style>
  <w:style w:type="paragraph" w:styleId="5">
    <w:name w:val="heading 4"/>
    <w:basedOn w:val="1"/>
    <w:next w:val="1"/>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93"/>
    <w:qFormat/>
    <w:uiPriority w:val="0"/>
    <w:pPr>
      <w:ind w:firstLine="420"/>
    </w:pPr>
    <w:rPr>
      <w:rFonts w:ascii="Times New Roman" w:hAnsi="Times New Roman" w:cs="Times New Roman"/>
    </w:rPr>
  </w:style>
  <w:style w:type="paragraph" w:styleId="7">
    <w:name w:val="Document Map"/>
    <w:basedOn w:val="1"/>
    <w:link w:val="87"/>
    <w:semiHidden/>
    <w:unhideWhenUsed/>
    <w:qFormat/>
    <w:uiPriority w:val="99"/>
    <w:rPr>
      <w:rFonts w:ascii="宋体"/>
      <w:sz w:val="18"/>
      <w:szCs w:val="18"/>
    </w:rPr>
  </w:style>
  <w:style w:type="paragraph" w:styleId="8">
    <w:name w:val="annotation text"/>
    <w:basedOn w:val="1"/>
    <w:link w:val="69"/>
    <w:qFormat/>
    <w:uiPriority w:val="99"/>
    <w:pPr>
      <w:jc w:val="left"/>
    </w:pPr>
  </w:style>
  <w:style w:type="paragraph" w:styleId="9">
    <w:name w:val="Body Text"/>
    <w:basedOn w:val="1"/>
    <w:link w:val="70"/>
    <w:qFormat/>
    <w:uiPriority w:val="0"/>
    <w:pPr>
      <w:spacing w:after="120"/>
    </w:pPr>
  </w:style>
  <w:style w:type="paragraph" w:styleId="10">
    <w:name w:val="Plain Text"/>
    <w:basedOn w:val="1"/>
    <w:link w:val="95"/>
    <w:semiHidden/>
    <w:unhideWhenUsed/>
    <w:qFormat/>
    <w:uiPriority w:val="0"/>
    <w:rPr>
      <w:rFonts w:ascii="宋体" w:hAnsi="Courier New" w:cs="Courier New"/>
      <w:szCs w:val="21"/>
    </w:rPr>
  </w:style>
  <w:style w:type="paragraph" w:styleId="11">
    <w:name w:val="Date"/>
    <w:basedOn w:val="1"/>
    <w:next w:val="1"/>
    <w:link w:val="85"/>
    <w:semiHidden/>
    <w:unhideWhenUsed/>
    <w:uiPriority w:val="99"/>
    <w:pPr>
      <w:ind w:left="100" w:leftChars="2500"/>
    </w:pPr>
  </w:style>
  <w:style w:type="paragraph" w:styleId="12">
    <w:name w:val="Balloon Text"/>
    <w:basedOn w:val="1"/>
    <w:qFormat/>
    <w:uiPriority w:val="0"/>
    <w:rPr>
      <w:sz w:val="18"/>
      <w:szCs w:val="18"/>
    </w:rPr>
  </w:style>
  <w:style w:type="paragraph" w:styleId="13">
    <w:name w:val="footer"/>
    <w:basedOn w:val="1"/>
    <w:uiPriority w:val="0"/>
    <w:pPr>
      <w:tabs>
        <w:tab w:val="center" w:pos="4153"/>
        <w:tab w:val="right" w:pos="8306"/>
      </w:tabs>
      <w:snapToGrid w:val="0"/>
      <w:jc w:val="left"/>
    </w:pPr>
    <w:rPr>
      <w:sz w:val="18"/>
      <w:szCs w:val="18"/>
    </w:rPr>
  </w:style>
  <w:style w:type="paragraph" w:styleId="14">
    <w:name w:val="header"/>
    <w:basedOn w:val="1"/>
    <w:link w:val="75"/>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qFormat/>
    <w:uiPriority w:val="99"/>
    <w:pPr>
      <w:widowControl/>
      <w:ind w:left="420" w:leftChars="200"/>
      <w:jc w:val="left"/>
    </w:pPr>
    <w:rPr>
      <w:rFonts w:cs="Times New Roman"/>
      <w:kern w:val="0"/>
      <w:sz w:val="24"/>
    </w:rPr>
  </w:style>
  <w:style w:type="paragraph" w:styleId="16">
    <w:name w:val="Body Text 2"/>
    <w:basedOn w:val="1"/>
    <w:link w:val="83"/>
    <w:semiHidden/>
    <w:unhideWhenUsed/>
    <w:qFormat/>
    <w:uiPriority w:val="99"/>
    <w:pPr>
      <w:spacing w:after="120" w:line="480" w:lineRule="auto"/>
    </w:pPr>
    <w:rPr>
      <w:rFonts w:cs="Times New Roman"/>
      <w:szCs w:val="22"/>
    </w:rPr>
  </w:style>
  <w:style w:type="paragraph" w:styleId="17">
    <w:name w:val="annotation subject"/>
    <w:basedOn w:val="8"/>
    <w:next w:val="8"/>
    <w:link w:val="86"/>
    <w:semiHidden/>
    <w:unhideWhenUsed/>
    <w:qFormat/>
    <w:uiPriority w:val="99"/>
    <w:rPr>
      <w:b/>
      <w:bCs/>
    </w:rPr>
  </w:style>
  <w:style w:type="table" w:styleId="19">
    <w:name w:val="Table Grid"/>
    <w:basedOn w:val="18"/>
    <w:qFormat/>
    <w:uiPriority w:val="59"/>
    <w:rPr>
      <w:rFonts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annotation reference"/>
    <w:semiHidden/>
    <w:unhideWhenUsed/>
    <w:qFormat/>
    <w:uiPriority w:val="99"/>
    <w:rPr>
      <w:sz w:val="21"/>
      <w:szCs w:val="21"/>
    </w:rPr>
  </w:style>
  <w:style w:type="paragraph" w:customStyle="1" w:styleId="22">
    <w:name w:val="批注主题1"/>
    <w:basedOn w:val="8"/>
    <w:next w:val="8"/>
    <w:qFormat/>
    <w:uiPriority w:val="0"/>
    <w:rPr>
      <w:b/>
      <w:bCs/>
    </w:rPr>
  </w:style>
  <w:style w:type="paragraph" w:customStyle="1" w:styleId="23">
    <w:name w:val="正文缩进1"/>
    <w:basedOn w:val="1"/>
    <w:link w:val="68"/>
    <w:qFormat/>
    <w:uiPriority w:val="0"/>
    <w:pPr>
      <w:ind w:firstLine="420" w:firstLineChars="200"/>
    </w:pPr>
  </w:style>
  <w:style w:type="paragraph" w:customStyle="1" w:styleId="24">
    <w:name w:val="文档结构图1"/>
    <w:basedOn w:val="1"/>
    <w:qFormat/>
    <w:uiPriority w:val="0"/>
    <w:pPr>
      <w:shd w:val="clear" w:color="auto" w:fill="000080"/>
    </w:pPr>
  </w:style>
  <w:style w:type="paragraph" w:customStyle="1" w:styleId="25">
    <w:name w:val="正文文本缩进1"/>
    <w:basedOn w:val="1"/>
    <w:link w:val="72"/>
    <w:uiPriority w:val="0"/>
    <w:pPr>
      <w:spacing w:after="120"/>
      <w:ind w:left="420" w:leftChars="200"/>
    </w:pPr>
  </w:style>
  <w:style w:type="paragraph" w:customStyle="1" w:styleId="26">
    <w:name w:val="纯文本1"/>
    <w:basedOn w:val="1"/>
    <w:link w:val="78"/>
    <w:uiPriority w:val="0"/>
    <w:rPr>
      <w:rFonts w:ascii="宋体" w:hAnsi="Courier New"/>
    </w:rPr>
  </w:style>
  <w:style w:type="paragraph" w:customStyle="1" w:styleId="27">
    <w:name w:val="日期1"/>
    <w:basedOn w:val="1"/>
    <w:next w:val="1"/>
    <w:qFormat/>
    <w:uiPriority w:val="0"/>
    <w:pPr>
      <w:ind w:left="100" w:leftChars="2500"/>
    </w:pPr>
  </w:style>
  <w:style w:type="paragraph" w:customStyle="1" w:styleId="28">
    <w:name w:val="正文文本缩进 21"/>
    <w:basedOn w:val="1"/>
    <w:link w:val="73"/>
    <w:qFormat/>
    <w:uiPriority w:val="0"/>
    <w:pPr>
      <w:spacing w:after="120" w:line="480" w:lineRule="auto"/>
      <w:ind w:left="420" w:leftChars="200"/>
    </w:pPr>
  </w:style>
  <w:style w:type="paragraph" w:customStyle="1" w:styleId="29">
    <w:name w:val="列表1"/>
    <w:basedOn w:val="1"/>
    <w:uiPriority w:val="0"/>
    <w:pPr>
      <w:autoSpaceDE w:val="0"/>
      <w:autoSpaceDN w:val="0"/>
      <w:adjustRightInd w:val="0"/>
      <w:snapToGrid w:val="0"/>
      <w:spacing w:line="480" w:lineRule="exact"/>
      <w:jc w:val="center"/>
    </w:pPr>
    <w:rPr>
      <w:kern w:val="32"/>
      <w:sz w:val="24"/>
      <w:szCs w:val="20"/>
    </w:rPr>
  </w:style>
  <w:style w:type="paragraph" w:customStyle="1" w:styleId="30">
    <w:name w:val="正文文本缩进 31"/>
    <w:basedOn w:val="1"/>
    <w:link w:val="61"/>
    <w:uiPriority w:val="0"/>
    <w:pPr>
      <w:spacing w:after="120"/>
      <w:ind w:left="420" w:leftChars="200"/>
    </w:pPr>
    <w:rPr>
      <w:sz w:val="16"/>
      <w:szCs w:val="16"/>
    </w:rPr>
  </w:style>
  <w:style w:type="paragraph" w:customStyle="1" w:styleId="31">
    <w:name w:val="正文文本 21"/>
    <w:basedOn w:val="1"/>
    <w:qFormat/>
    <w:uiPriority w:val="0"/>
    <w:pPr>
      <w:spacing w:after="120" w:line="480" w:lineRule="auto"/>
    </w:pPr>
  </w:style>
  <w:style w:type="paragraph" w:customStyle="1" w:styleId="32">
    <w:name w:val="普通(网站)1"/>
    <w:basedOn w:val="1"/>
    <w:qFormat/>
    <w:uiPriority w:val="0"/>
    <w:pPr>
      <w:widowControl/>
      <w:jc w:val="left"/>
    </w:pPr>
    <w:rPr>
      <w:rFonts w:ascii="Arial" w:hAnsi="Arial" w:cs="Arial"/>
      <w:color w:val="333333"/>
      <w:kern w:val="0"/>
      <w:sz w:val="14"/>
      <w:szCs w:val="14"/>
    </w:rPr>
  </w:style>
  <w:style w:type="paragraph" w:customStyle="1" w:styleId="33">
    <w:name w:val="li表格"/>
    <w:basedOn w:val="1"/>
    <w:next w:val="1"/>
    <w:qFormat/>
    <w:uiPriority w:val="0"/>
    <w:pPr>
      <w:spacing w:line="360" w:lineRule="exact"/>
      <w:jc w:val="center"/>
    </w:pPr>
    <w:rPr>
      <w:rFonts w:hAnsi="宋体"/>
      <w:b/>
      <w:color w:val="0000FF"/>
      <w:spacing w:val="4"/>
      <w:szCs w:val="21"/>
    </w:rPr>
  </w:style>
  <w:style w:type="paragraph" w:customStyle="1" w:styleId="34">
    <w:name w:val="默认段落字体 Para Char"/>
    <w:basedOn w:val="1"/>
    <w:uiPriority w:val="0"/>
    <w:pPr>
      <w:spacing w:line="360" w:lineRule="auto"/>
      <w:ind w:firstLine="200" w:firstLineChars="200"/>
    </w:pPr>
    <w:rPr>
      <w:szCs w:val="20"/>
    </w:rPr>
  </w:style>
  <w:style w:type="paragraph" w:customStyle="1" w:styleId="35">
    <w:name w:val="正文1"/>
    <w:qFormat/>
    <w:uiPriority w:val="0"/>
    <w:pPr>
      <w:jc w:val="both"/>
    </w:pPr>
    <w:rPr>
      <w:rFonts w:ascii="Calibri" w:hAnsi="Calibri" w:eastAsia="宋体" w:cs="Calibri"/>
      <w:kern w:val="2"/>
      <w:sz w:val="21"/>
      <w:szCs w:val="21"/>
      <w:lang w:val="en-US" w:eastAsia="zh-CN" w:bidi="ar-SA"/>
    </w:rPr>
  </w:style>
  <w:style w:type="paragraph" w:customStyle="1" w:styleId="36">
    <w:name w:val="3级"/>
    <w:basedOn w:val="4"/>
    <w:uiPriority w:val="0"/>
    <w:pPr>
      <w:spacing w:before="0" w:after="0" w:line="500" w:lineRule="exact"/>
    </w:pPr>
    <w:rPr>
      <w:rFonts w:cs="宋体"/>
      <w:sz w:val="28"/>
      <w:szCs w:val="20"/>
    </w:rPr>
  </w:style>
  <w:style w:type="paragraph" w:customStyle="1" w:styleId="37">
    <w:name w:val="样式 标题 4 + Times New Roman 小四 非加粗 段前: 0 磅 段后: 7.8 磅 行距: 多倍行距..."/>
    <w:basedOn w:val="5"/>
    <w:qFormat/>
    <w:uiPriority w:val="0"/>
    <w:pPr>
      <w:spacing w:before="0" w:after="156" w:line="377" w:lineRule="auto"/>
    </w:pPr>
    <w:rPr>
      <w:rFonts w:ascii="Times New Roman" w:hAnsi="Times New Roman" w:cs="宋体"/>
      <w:b w:val="0"/>
      <w:bCs w:val="0"/>
      <w:sz w:val="24"/>
      <w:szCs w:val="24"/>
    </w:rPr>
  </w:style>
  <w:style w:type="paragraph" w:customStyle="1" w:styleId="38">
    <w:name w:val="正文11"/>
    <w:basedOn w:val="1"/>
    <w:link w:val="76"/>
    <w:qFormat/>
    <w:uiPriority w:val="0"/>
    <w:pPr>
      <w:spacing w:line="460" w:lineRule="exact"/>
      <w:ind w:firstLine="200" w:firstLineChars="200"/>
    </w:pPr>
    <w:rPr>
      <w:b/>
      <w:color w:val="000000"/>
      <w:sz w:val="24"/>
    </w:rPr>
  </w:style>
  <w:style w:type="paragraph" w:customStyle="1" w:styleId="39">
    <w:name w:val="正文内容"/>
    <w:link w:val="62"/>
    <w:qFormat/>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40">
    <w:name w:val="列出段落1"/>
    <w:basedOn w:val="1"/>
    <w:uiPriority w:val="0"/>
    <w:pPr>
      <w:ind w:firstLine="420" w:firstLineChars="200"/>
    </w:pPr>
    <w:rPr>
      <w:szCs w:val="20"/>
    </w:rPr>
  </w:style>
  <w:style w:type="paragraph" w:customStyle="1" w:styleId="41">
    <w:name w:val="Default"/>
    <w:qForma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2">
    <w:name w:val="MSG_EN_FONT_STYLE_NAME_TEMPLATE_ROLE_NUMBER MSG_EN_FONT_STYLE_NAME_BY_ROLE_TEXT 2"/>
    <w:basedOn w:val="1"/>
    <w:link w:val="65"/>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3">
    <w:name w:val="表格内容5号"/>
    <w:link w:val="67"/>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4">
    <w:name w:val="表内容1-1"/>
    <w:basedOn w:val="1"/>
    <w:qFormat/>
    <w:uiPriority w:val="0"/>
    <w:pPr>
      <w:jc w:val="center"/>
      <w:textAlignment w:val="baseline"/>
    </w:pPr>
    <w:rPr>
      <w:rFonts w:ascii="Times New Roman" w:hAnsi="Times New Roman"/>
      <w:kern w:val="0"/>
      <w:szCs w:val="21"/>
    </w:rPr>
  </w:style>
  <w:style w:type="paragraph" w:customStyle="1" w:styleId="45">
    <w:name w:val="表格文字1"/>
    <w:basedOn w:val="1"/>
    <w:qFormat/>
    <w:uiPriority w:val="0"/>
    <w:pPr>
      <w:tabs>
        <w:tab w:val="left" w:pos="1080"/>
      </w:tabs>
      <w:snapToGrid w:val="0"/>
      <w:spacing w:line="240" w:lineRule="exact"/>
      <w:jc w:val="center"/>
    </w:pPr>
    <w:rPr>
      <w:rFonts w:hAnsi="宋体"/>
      <w:spacing w:val="-2"/>
      <w:kern w:val="32"/>
      <w:szCs w:val="21"/>
    </w:rPr>
  </w:style>
  <w:style w:type="paragraph" w:customStyle="1" w:styleId="46">
    <w:name w:val="表格文字"/>
    <w:basedOn w:val="1"/>
    <w:next w:val="1"/>
    <w:link w:val="64"/>
    <w:qFormat/>
    <w:uiPriority w:val="0"/>
    <w:pPr>
      <w:spacing w:line="280" w:lineRule="exact"/>
      <w:jc w:val="center"/>
    </w:pPr>
    <w:rPr>
      <w:rFonts w:ascii="Arial" w:hAnsi="Arial" w:eastAsia="宋体-方正超大字符集" w:cs="Arial"/>
    </w:rPr>
  </w:style>
  <w:style w:type="paragraph" w:customStyle="1" w:styleId="47">
    <w:name w:val="表格文字-五号-左对齐"/>
    <w:basedOn w:val="1"/>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48">
    <w:name w:val="陈正文"/>
    <w:basedOn w:val="1"/>
    <w:next w:val="1"/>
    <w:link w:val="71"/>
    <w:qFormat/>
    <w:uiPriority w:val="0"/>
    <w:pPr>
      <w:ind w:left="178" w:leftChars="85" w:firstLine="405" w:firstLineChars="193"/>
    </w:pPr>
    <w:rPr>
      <w:rFonts w:ascii="Arial" w:hAnsi="Arial" w:cs="宋体"/>
      <w:color w:val="000000"/>
      <w:szCs w:val="21"/>
    </w:rPr>
  </w:style>
  <w:style w:type="paragraph" w:customStyle="1" w:styleId="49">
    <w:name w:val="彩霞-正文"/>
    <w:basedOn w:val="1"/>
    <w:link w:val="74"/>
    <w:uiPriority w:val="0"/>
    <w:pPr>
      <w:spacing w:line="360" w:lineRule="auto"/>
      <w:ind w:firstLine="200" w:firstLineChars="200"/>
    </w:pPr>
    <w:rPr>
      <w:rFonts w:cs="宋体"/>
      <w:sz w:val="24"/>
      <w:szCs w:val="28"/>
      <w:lang w:val="zh-CN"/>
    </w:rPr>
  </w:style>
  <w:style w:type="paragraph" w:customStyle="1" w:styleId="50">
    <w:name w:val="样式 首行缩进:  2 字符"/>
    <w:basedOn w:val="1"/>
    <w:uiPriority w:val="0"/>
    <w:pPr>
      <w:spacing w:line="520" w:lineRule="exact"/>
      <w:ind w:firstLine="200" w:firstLineChars="200"/>
    </w:pPr>
    <w:rPr>
      <w:sz w:val="24"/>
    </w:rPr>
  </w:style>
  <w:style w:type="paragraph" w:customStyle="1" w:styleId="51">
    <w:name w:val="Char"/>
    <w:basedOn w:val="1"/>
    <w:next w:val="1"/>
    <w:qFormat/>
    <w:uiPriority w:val="0"/>
    <w:pPr>
      <w:spacing w:line="360" w:lineRule="auto"/>
      <w:ind w:firstLine="200" w:firstLineChars="200"/>
    </w:pPr>
    <w:rPr>
      <w:rFonts w:ascii="宋体" w:hAnsi="宋体" w:cs="宋体"/>
      <w:sz w:val="24"/>
    </w:rPr>
  </w:style>
  <w:style w:type="paragraph" w:customStyle="1" w:styleId="52">
    <w:name w:val="4"/>
    <w:basedOn w:val="1"/>
    <w:next w:val="1"/>
    <w:link w:val="63"/>
    <w:qFormat/>
    <w:uiPriority w:val="0"/>
    <w:pPr>
      <w:spacing w:line="500" w:lineRule="exact"/>
      <w:outlineLvl w:val="3"/>
    </w:pPr>
    <w:rPr>
      <w:rFonts w:ascii="Arial" w:hAnsi="Arial" w:eastAsia="黑体"/>
      <w:b/>
      <w:sz w:val="24"/>
    </w:rPr>
  </w:style>
  <w:style w:type="paragraph" w:customStyle="1" w:styleId="53">
    <w:name w:val="Char Char Char Char"/>
    <w:basedOn w:val="1"/>
    <w:qFormat/>
    <w:uiPriority w:val="0"/>
    <w:pPr>
      <w:snapToGrid w:val="0"/>
      <w:spacing w:line="360" w:lineRule="auto"/>
      <w:ind w:firstLine="529" w:firstLineChars="200"/>
    </w:pPr>
    <w:rPr>
      <w:rFonts w:ascii="宋体" w:hAnsi="宋体"/>
      <w:b/>
      <w:sz w:val="24"/>
    </w:rPr>
  </w:style>
  <w:style w:type="paragraph" w:customStyle="1" w:styleId="54">
    <w:name w:val="Char Char Char Char Char Char Char Char Char Char Char Char Char Char Char Char Char Char1 Char Char Char Char Char Char Char Char Char Char Char Char1 Char Char Char"/>
    <w:basedOn w:val="1"/>
    <w:next w:val="1"/>
    <w:uiPriority w:val="0"/>
    <w:pPr>
      <w:snapToGrid w:val="0"/>
      <w:spacing w:line="360" w:lineRule="auto"/>
      <w:ind w:firstLine="200" w:firstLineChars="200"/>
      <w:jc w:val="left"/>
    </w:pPr>
    <w:rPr>
      <w:rFonts w:ascii="宋体" w:hAnsi="宋体" w:cs="宋体"/>
      <w:sz w:val="24"/>
    </w:rPr>
  </w:style>
  <w:style w:type="paragraph" w:customStyle="1" w:styleId="55">
    <w:name w:val="表格文字-五号"/>
    <w:basedOn w:val="1"/>
    <w:next w:val="1"/>
    <w:qFormat/>
    <w:uiPriority w:val="0"/>
    <w:pPr>
      <w:widowControl/>
      <w:tabs>
        <w:tab w:val="left" w:pos="2340"/>
      </w:tabs>
      <w:adjustRightInd w:val="0"/>
      <w:snapToGrid w:val="0"/>
      <w:jc w:val="center"/>
    </w:pPr>
    <w:rPr>
      <w:color w:val="000000"/>
      <w:kern w:val="0"/>
      <w:sz w:val="20"/>
    </w:rPr>
  </w:style>
  <w:style w:type="paragraph" w:customStyle="1" w:styleId="56">
    <w:name w:val="Char Char Char Char Char Char Char"/>
    <w:basedOn w:val="1"/>
    <w:uiPriority w:val="0"/>
    <w:pPr>
      <w:spacing w:line="360" w:lineRule="auto"/>
      <w:ind w:firstLine="200" w:firstLineChars="200"/>
    </w:pPr>
    <w:rPr>
      <w:rFonts w:ascii="宋体" w:hAnsi="宋体" w:cs="宋体"/>
      <w:sz w:val="24"/>
    </w:rPr>
  </w:style>
  <w:style w:type="paragraph" w:customStyle="1" w:styleId="57">
    <w:name w:val="列出段落2"/>
    <w:basedOn w:val="1"/>
    <w:uiPriority w:val="0"/>
    <w:pPr>
      <w:ind w:firstLine="420" w:firstLineChars="200"/>
    </w:pPr>
    <w:rPr>
      <w:szCs w:val="22"/>
    </w:rPr>
  </w:style>
  <w:style w:type="paragraph" w:customStyle="1" w:styleId="58">
    <w:name w:val="表中"/>
    <w:basedOn w:val="1"/>
    <w:link w:val="77"/>
    <w:qFormat/>
    <w:uiPriority w:val="0"/>
    <w:pPr>
      <w:spacing w:line="300" w:lineRule="exact"/>
      <w:jc w:val="center"/>
    </w:pPr>
    <w:rPr>
      <w:szCs w:val="21"/>
    </w:rPr>
  </w:style>
  <w:style w:type="character" w:customStyle="1" w:styleId="59">
    <w:name w:val="页码1"/>
    <w:basedOn w:val="20"/>
    <w:qFormat/>
    <w:uiPriority w:val="0"/>
  </w:style>
  <w:style w:type="character" w:customStyle="1" w:styleId="60">
    <w:name w:val="批注引用1"/>
    <w:qFormat/>
    <w:uiPriority w:val="0"/>
    <w:rPr>
      <w:sz w:val="21"/>
      <w:szCs w:val="21"/>
    </w:rPr>
  </w:style>
  <w:style w:type="character" w:customStyle="1" w:styleId="61">
    <w:name w:val="正文文本缩进 3 Char Char Char"/>
    <w:link w:val="30"/>
    <w:semiHidden/>
    <w:uiPriority w:val="0"/>
    <w:rPr>
      <w:kern w:val="2"/>
      <w:sz w:val="16"/>
      <w:szCs w:val="16"/>
    </w:rPr>
  </w:style>
  <w:style w:type="character" w:customStyle="1" w:styleId="62">
    <w:name w:val="正文内容 Char Char"/>
    <w:link w:val="39"/>
    <w:semiHidden/>
    <w:qFormat/>
    <w:uiPriority w:val="0"/>
    <w:rPr>
      <w:kern w:val="2"/>
      <w:sz w:val="24"/>
      <w:szCs w:val="24"/>
      <w:lang w:val="en-US" w:eastAsia="zh-CN" w:bidi="ar-SA"/>
    </w:rPr>
  </w:style>
  <w:style w:type="character" w:customStyle="1" w:styleId="63">
    <w:name w:val="4 Char Char"/>
    <w:link w:val="52"/>
    <w:semiHidden/>
    <w:uiPriority w:val="0"/>
    <w:rPr>
      <w:rFonts w:ascii="Arial" w:hAnsi="Arial" w:eastAsia="黑体"/>
      <w:b/>
      <w:kern w:val="2"/>
      <w:sz w:val="24"/>
      <w:szCs w:val="24"/>
      <w:lang w:val="en-US" w:eastAsia="zh-CN" w:bidi="ar-SA"/>
    </w:rPr>
  </w:style>
  <w:style w:type="character" w:customStyle="1" w:styleId="64">
    <w:name w:val="表格文字 Char Char"/>
    <w:link w:val="46"/>
    <w:semiHidden/>
    <w:uiPriority w:val="0"/>
    <w:rPr>
      <w:rFonts w:ascii="Arial" w:hAnsi="Arial" w:eastAsia="宋体-方正超大字符集" w:cs="Arial"/>
      <w:sz w:val="21"/>
      <w:szCs w:val="24"/>
    </w:rPr>
  </w:style>
  <w:style w:type="character" w:customStyle="1" w:styleId="65">
    <w:name w:val="MSG_EN_FONT_STYLE_NAME_TEMPLATE_ROLE_NUMBER MSG_EN_FONT_STYLE_NAME_BY_ROLE_TEXT 2_"/>
    <w:link w:val="42"/>
    <w:semiHidden/>
    <w:qFormat/>
    <w:uiPriority w:val="0"/>
    <w:rPr>
      <w:rFonts w:ascii="PMingLiU" w:hAnsi="PMingLiU" w:eastAsia="PMingLiU"/>
      <w:spacing w:val="20"/>
      <w:sz w:val="26"/>
      <w:szCs w:val="26"/>
      <w:shd w:val="clear" w:color="auto" w:fill="FFFFFF"/>
      <w:lang w:bidi="ar-SA"/>
    </w:rPr>
  </w:style>
  <w:style w:type="character" w:customStyle="1" w:styleId="66">
    <w:name w:val="newsitemtext1"/>
    <w:qFormat/>
    <w:uiPriority w:val="0"/>
    <w:rPr>
      <w:color w:val="000000"/>
      <w:sz w:val="17"/>
      <w:szCs w:val="17"/>
    </w:rPr>
  </w:style>
  <w:style w:type="character" w:customStyle="1" w:styleId="67">
    <w:name w:val="表格内容5号 Char Char"/>
    <w:link w:val="43"/>
    <w:semiHidden/>
    <w:qFormat/>
    <w:uiPriority w:val="0"/>
    <w:rPr>
      <w:kern w:val="2"/>
      <w:sz w:val="21"/>
      <w:szCs w:val="24"/>
      <w:lang w:val="en-US" w:eastAsia="zh-CN" w:bidi="ar-SA"/>
    </w:rPr>
  </w:style>
  <w:style w:type="character" w:customStyle="1" w:styleId="68">
    <w:name w:val="正文缩进 Char Char Char"/>
    <w:link w:val="23"/>
    <w:qFormat/>
    <w:uiPriority w:val="0"/>
    <w:rPr>
      <w:kern w:val="2"/>
      <w:sz w:val="21"/>
      <w:szCs w:val="24"/>
    </w:rPr>
  </w:style>
  <w:style w:type="character" w:customStyle="1" w:styleId="69">
    <w:name w:val="批注文字 字符"/>
    <w:link w:val="8"/>
    <w:semiHidden/>
    <w:uiPriority w:val="0"/>
    <w:rPr>
      <w:kern w:val="2"/>
      <w:sz w:val="21"/>
    </w:rPr>
  </w:style>
  <w:style w:type="character" w:customStyle="1" w:styleId="70">
    <w:name w:val="正文文本 字符"/>
    <w:link w:val="9"/>
    <w:semiHidden/>
    <w:uiPriority w:val="0"/>
    <w:rPr>
      <w:kern w:val="2"/>
      <w:sz w:val="21"/>
      <w:szCs w:val="24"/>
    </w:rPr>
  </w:style>
  <w:style w:type="character" w:customStyle="1" w:styleId="71">
    <w:name w:val="陈正文 Char Char"/>
    <w:link w:val="48"/>
    <w:semiHidden/>
    <w:qFormat/>
    <w:uiPriority w:val="0"/>
    <w:rPr>
      <w:rFonts w:ascii="Arial" w:hAnsi="Arial" w:eastAsia="宋体" w:cs="宋体"/>
      <w:color w:val="000000"/>
      <w:kern w:val="2"/>
      <w:sz w:val="21"/>
      <w:szCs w:val="21"/>
      <w:lang w:val="en-US" w:eastAsia="zh-CN" w:bidi="ar-SA"/>
    </w:rPr>
  </w:style>
  <w:style w:type="character" w:customStyle="1" w:styleId="72">
    <w:name w:val="正文文本缩进 Char Char Char"/>
    <w:link w:val="25"/>
    <w:semiHidden/>
    <w:qFormat/>
    <w:uiPriority w:val="0"/>
    <w:rPr>
      <w:kern w:val="2"/>
      <w:sz w:val="21"/>
      <w:szCs w:val="24"/>
    </w:rPr>
  </w:style>
  <w:style w:type="character" w:customStyle="1" w:styleId="73">
    <w:name w:val="正文文本缩进 2 Char Char Char"/>
    <w:link w:val="28"/>
    <w:semiHidden/>
    <w:qFormat/>
    <w:uiPriority w:val="0"/>
    <w:rPr>
      <w:kern w:val="2"/>
      <w:sz w:val="21"/>
      <w:szCs w:val="24"/>
    </w:rPr>
  </w:style>
  <w:style w:type="character" w:customStyle="1" w:styleId="74">
    <w:name w:val="彩霞-正文 Char Char"/>
    <w:link w:val="49"/>
    <w:semiHidden/>
    <w:uiPriority w:val="0"/>
    <w:rPr>
      <w:rFonts w:cs="宋体"/>
      <w:sz w:val="24"/>
      <w:szCs w:val="28"/>
      <w:lang w:val="zh-CN"/>
    </w:rPr>
  </w:style>
  <w:style w:type="character" w:customStyle="1" w:styleId="75">
    <w:name w:val="页眉 字符"/>
    <w:link w:val="14"/>
    <w:semiHidden/>
    <w:qFormat/>
    <w:uiPriority w:val="0"/>
    <w:rPr>
      <w:kern w:val="2"/>
      <w:sz w:val="18"/>
      <w:szCs w:val="18"/>
    </w:rPr>
  </w:style>
  <w:style w:type="character" w:customStyle="1" w:styleId="76">
    <w:name w:val="正文1 Char Char"/>
    <w:link w:val="38"/>
    <w:semiHidden/>
    <w:uiPriority w:val="0"/>
    <w:rPr>
      <w:b/>
      <w:color w:val="000000"/>
      <w:kern w:val="2"/>
      <w:sz w:val="24"/>
    </w:rPr>
  </w:style>
  <w:style w:type="character" w:customStyle="1" w:styleId="77">
    <w:name w:val="表中 Char Char"/>
    <w:link w:val="58"/>
    <w:semiHidden/>
    <w:qFormat/>
    <w:uiPriority w:val="0"/>
    <w:rPr>
      <w:rFonts w:ascii="Calibri" w:hAnsi="Calibri"/>
      <w:kern w:val="2"/>
      <w:sz w:val="21"/>
      <w:szCs w:val="21"/>
    </w:rPr>
  </w:style>
  <w:style w:type="character" w:customStyle="1" w:styleId="78">
    <w:name w:val="纯文本 Char Char Char"/>
    <w:link w:val="26"/>
    <w:semiHidden/>
    <w:qFormat/>
    <w:uiPriority w:val="0"/>
    <w:rPr>
      <w:rFonts w:ascii="宋体" w:hAnsi="Courier New" w:eastAsia="宋体"/>
      <w:kern w:val="2"/>
      <w:sz w:val="21"/>
      <w:lang w:val="en-US" w:eastAsia="zh-CN" w:bidi="ar-SA"/>
    </w:rPr>
  </w:style>
  <w:style w:type="character" w:customStyle="1" w:styleId="79">
    <w:name w:val="标题 2 字符"/>
    <w:link w:val="3"/>
    <w:semiHidden/>
    <w:qFormat/>
    <w:uiPriority w:val="0"/>
    <w:rPr>
      <w:rFonts w:ascii="Arial" w:eastAsia="黑体"/>
      <w:b/>
      <w:color w:val="000000"/>
      <w:sz w:val="31"/>
      <w:u w:val="none" w:color="000000"/>
      <w:lang w:val="en-US" w:eastAsia="zh-CN" w:bidi="ar-SA"/>
    </w:rPr>
  </w:style>
  <w:style w:type="character" w:customStyle="1" w:styleId="80">
    <w:name w:val="MSG_EN_FONT_STYLE_NAME_TEMPLATE_ROLE_NUMBER MSG_EN_FONT_STYLE_NAME_BY_ROLE_TEXT 2 + MSG_EN_FONT_STYLE_MODIFER_NAME Courier New"/>
    <w:qFormat/>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paragraph" w:customStyle="1" w:styleId="81">
    <w:name w:val="普通(网站)2"/>
    <w:basedOn w:val="1"/>
    <w:qFormat/>
    <w:uiPriority w:val="0"/>
    <w:pPr>
      <w:widowControl/>
      <w:spacing w:before="100" w:beforeAutospacing="1" w:after="100" w:afterAutospacing="1"/>
      <w:jc w:val="left"/>
    </w:pPr>
    <w:rPr>
      <w:rFonts w:ascii="宋体" w:hAnsi="宋体" w:cs="宋体"/>
      <w:kern w:val="0"/>
      <w:sz w:val="24"/>
    </w:rPr>
  </w:style>
  <w:style w:type="character" w:customStyle="1" w:styleId="82">
    <w:name w:val="正文文本 2 字符"/>
    <w:semiHidden/>
    <w:qFormat/>
    <w:uiPriority w:val="99"/>
    <w:rPr>
      <w:kern w:val="2"/>
      <w:sz w:val="21"/>
      <w:szCs w:val="24"/>
    </w:rPr>
  </w:style>
  <w:style w:type="character" w:customStyle="1" w:styleId="83">
    <w:name w:val="正文文本 2 字符1"/>
    <w:link w:val="16"/>
    <w:semiHidden/>
    <w:qFormat/>
    <w:uiPriority w:val="99"/>
    <w:rPr>
      <w:rFonts w:cs="Times New Roman"/>
      <w:kern w:val="2"/>
      <w:sz w:val="21"/>
      <w:szCs w:val="22"/>
    </w:rPr>
  </w:style>
  <w:style w:type="character" w:customStyle="1" w:styleId="84">
    <w:name w:val="批注文字 Char"/>
    <w:semiHidden/>
    <w:uiPriority w:val="99"/>
    <w:rPr>
      <w:kern w:val="2"/>
      <w:sz w:val="21"/>
      <w:szCs w:val="22"/>
    </w:rPr>
  </w:style>
  <w:style w:type="character" w:customStyle="1" w:styleId="85">
    <w:name w:val="日期 字符"/>
    <w:link w:val="11"/>
    <w:semiHidden/>
    <w:uiPriority w:val="99"/>
    <w:rPr>
      <w:kern w:val="2"/>
      <w:sz w:val="21"/>
      <w:szCs w:val="24"/>
    </w:rPr>
  </w:style>
  <w:style w:type="character" w:customStyle="1" w:styleId="86">
    <w:name w:val="批注主题 字符"/>
    <w:basedOn w:val="69"/>
    <w:link w:val="17"/>
    <w:semiHidden/>
    <w:qFormat/>
    <w:uiPriority w:val="99"/>
    <w:rPr>
      <w:b/>
      <w:bCs/>
      <w:kern w:val="2"/>
      <w:sz w:val="21"/>
      <w:szCs w:val="24"/>
    </w:rPr>
  </w:style>
  <w:style w:type="character" w:customStyle="1" w:styleId="87">
    <w:name w:val="文档结构图 字符"/>
    <w:basedOn w:val="20"/>
    <w:link w:val="7"/>
    <w:semiHidden/>
    <w:uiPriority w:val="99"/>
    <w:rPr>
      <w:rFonts w:ascii="宋体"/>
      <w:kern w:val="2"/>
      <w:sz w:val="18"/>
      <w:szCs w:val="18"/>
    </w:rPr>
  </w:style>
  <w:style w:type="character" w:customStyle="1" w:styleId="88">
    <w:name w:val="标题 1 字符"/>
    <w:basedOn w:val="20"/>
    <w:link w:val="2"/>
    <w:qFormat/>
    <w:uiPriority w:val="9"/>
    <w:rPr>
      <w:b/>
      <w:bCs/>
      <w:kern w:val="44"/>
      <w:sz w:val="44"/>
      <w:szCs w:val="44"/>
    </w:rPr>
  </w:style>
  <w:style w:type="paragraph" w:styleId="89">
    <w:name w:val="List Paragraph"/>
    <w:basedOn w:val="1"/>
    <w:qFormat/>
    <w:uiPriority w:val="34"/>
    <w:pPr>
      <w:ind w:firstLine="420" w:firstLineChars="200"/>
    </w:pPr>
  </w:style>
  <w:style w:type="paragraph" w:customStyle="1" w:styleId="90">
    <w:name w:val="普通(网站)3"/>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正文文本缩进 22"/>
    <w:basedOn w:val="1"/>
    <w:qFormat/>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92">
    <w:name w:val="表文字"/>
    <w:basedOn w:val="1"/>
    <w:qFormat/>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character" w:customStyle="1" w:styleId="93">
    <w:name w:val="正文缩进 字符"/>
    <w:link w:val="6"/>
    <w:locked/>
    <w:uiPriority w:val="0"/>
    <w:rPr>
      <w:rFonts w:ascii="Times New Roman" w:hAnsi="Times New Roman" w:cs="Times New Roman"/>
      <w:kern w:val="2"/>
      <w:sz w:val="21"/>
      <w:szCs w:val="24"/>
    </w:rPr>
  </w:style>
  <w:style w:type="character" w:customStyle="1" w:styleId="94">
    <w:name w:val="fontstyle01"/>
    <w:uiPriority w:val="0"/>
    <w:rPr>
      <w:rFonts w:ascii="宋体" w:hAnsi="宋体" w:eastAsia="宋体" w:cs="宋体"/>
      <w:color w:val="000000"/>
      <w:sz w:val="24"/>
      <w:szCs w:val="24"/>
    </w:rPr>
  </w:style>
  <w:style w:type="character" w:customStyle="1" w:styleId="95">
    <w:name w:val="纯文本 字符"/>
    <w:basedOn w:val="20"/>
    <w:link w:val="10"/>
    <w:semiHidden/>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5AC11B-7FA1-46E0-955D-D8517F7D1A5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11</Pages>
  <Words>1082</Words>
  <Characters>6171</Characters>
  <Lines>51</Lines>
  <Paragraphs>14</Paragraphs>
  <TotalTime>959</TotalTime>
  <ScaleCrop>false</ScaleCrop>
  <LinksUpToDate>false</LinksUpToDate>
  <CharactersWithSpaces>7239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曲朝峰</cp:lastModifiedBy>
  <cp:lastPrinted>2018-07-13T17:29:00Z</cp:lastPrinted>
  <dcterms:modified xsi:type="dcterms:W3CDTF">2020-06-24T09:23:23Z</dcterms:modified>
  <dc:title>ygd</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