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Microsoft New Tai Lue" w:hAnsi="Microsoft New Tai Lue" w:cs="Microsoft New Tai Lue"/>
          <w:b/>
          <w:sz w:val="32"/>
          <w:szCs w:val="32"/>
        </w:rPr>
      </w:pPr>
      <w:r>
        <w:rPr>
          <w:rFonts w:ascii="Microsoft New Tai Lue" w:hAnsi="Microsoft New Tai Lue" w:cs="Microsoft New Tai Lue"/>
          <w:b/>
          <w:sz w:val="32"/>
          <w:szCs w:val="32"/>
        </w:rPr>
        <w:t>山西太钢不锈钢股份有限公司</w:t>
      </w:r>
    </w:p>
    <w:p>
      <w:pPr>
        <w:spacing w:line="460" w:lineRule="exact"/>
        <w:jc w:val="center"/>
        <w:rPr>
          <w:rFonts w:ascii="Microsoft New Tai Lue" w:hAnsi="Microsoft New Tai Lue" w:cs="Microsoft New Tai Lue"/>
          <w:b/>
          <w:sz w:val="32"/>
          <w:szCs w:val="32"/>
        </w:rPr>
      </w:pPr>
      <w:r>
        <w:rPr>
          <w:rFonts w:hint="default" w:ascii="Microsoft New Tai Lue" w:hAnsi="Microsoft New Tai Lue" w:cs="Microsoft New Tai Lue"/>
          <w:b/>
          <w:sz w:val="32"/>
          <w:szCs w:val="32"/>
        </w:rPr>
        <w:t>申报2012年节能技术改造财政奖励备选项目</w:t>
      </w:r>
    </w:p>
    <w:p>
      <w:pPr>
        <w:spacing w:line="460" w:lineRule="exact"/>
        <w:jc w:val="center"/>
        <w:rPr>
          <w:rFonts w:ascii="Microsoft New Tai Lue" w:hAnsi="Microsoft New Tai Lue" w:cs="Microsoft New Tai Lue"/>
          <w:b/>
          <w:sz w:val="32"/>
          <w:szCs w:val="32"/>
        </w:rPr>
      </w:pPr>
      <w:r>
        <w:rPr>
          <w:rFonts w:ascii="Microsoft New Tai Lue" w:hAnsi="Microsoft New Tai Lue" w:cs="Microsoft New Tai Lue"/>
          <w:b/>
          <w:sz w:val="32"/>
          <w:szCs w:val="32"/>
        </w:rPr>
        <w:t>竣工环境保护验收组意见</w:t>
      </w:r>
    </w:p>
    <w:p>
      <w:pPr>
        <w:spacing w:line="460" w:lineRule="exact"/>
        <w:rPr>
          <w:rFonts w:ascii="Microsoft New Tai Lue" w:hAnsi="Microsoft New Tai Lue" w:cs="Microsoft New Tai Lue"/>
          <w:sz w:val="24"/>
          <w:szCs w:val="24"/>
        </w:rPr>
      </w:pPr>
    </w:p>
    <w:p>
      <w:pPr>
        <w:spacing w:line="460" w:lineRule="exact"/>
        <w:jc w:val="left"/>
        <w:rPr>
          <w:rFonts w:ascii="Microsoft New Tai Lue" w:hAnsi="Microsoft New Tai Lue" w:cs="Microsoft New Tai Lue"/>
          <w:sz w:val="24"/>
          <w:szCs w:val="24"/>
        </w:rPr>
      </w:pPr>
      <w:r>
        <w:rPr>
          <w:rFonts w:hint="eastAsia" w:ascii="Microsoft New Tai Lue" w:hAnsi="Microsoft New Tai Lue" w:cs="Microsoft New Tai Lue"/>
          <w:b/>
          <w:sz w:val="24"/>
          <w:szCs w:val="24"/>
        </w:rPr>
        <w:t xml:space="preserve">   </w:t>
      </w:r>
      <w:r>
        <w:rPr>
          <w:rFonts w:hint="eastAsia" w:ascii="Microsoft New Tai Lue" w:hAnsi="Microsoft New Tai Lue" w:cs="Microsoft New Tai Lue"/>
          <w:b/>
          <w:sz w:val="24"/>
          <w:szCs w:val="24"/>
          <w:lang w:val="en-US" w:eastAsia="zh-CN"/>
        </w:rPr>
        <w:t xml:space="preserve"> </w:t>
      </w:r>
      <w:r>
        <w:rPr>
          <w:rFonts w:ascii="Microsoft New Tai Lue" w:hAnsi="Microsoft New Tai Lue" w:cs="Microsoft New Tai Lue"/>
          <w:sz w:val="24"/>
          <w:szCs w:val="24"/>
        </w:rPr>
        <w:t>根据《建设项目竣工环境保护验收暂行办法》</w:t>
      </w:r>
      <w:r>
        <w:rPr>
          <w:rFonts w:hint="eastAsia" w:ascii="Microsoft New Tai Lue" w:hAnsi="Microsoft New Tai Lue" w:cs="Microsoft New Tai Lue"/>
          <w:sz w:val="24"/>
          <w:szCs w:val="24"/>
        </w:rPr>
        <w:t>等</w:t>
      </w:r>
      <w:r>
        <w:rPr>
          <w:rFonts w:ascii="Microsoft New Tai Lue" w:hAnsi="Microsoft New Tai Lue" w:cs="Microsoft New Tai Lue"/>
          <w:sz w:val="24"/>
          <w:szCs w:val="24"/>
        </w:rPr>
        <w:t>相关要求，20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20</w:t>
      </w:r>
      <w:r>
        <w:rPr>
          <w:rFonts w:ascii="Microsoft New Tai Lue" w:hAnsi="Microsoft New Tai Lue" w:cs="Microsoft New Tai Lue"/>
          <w:sz w:val="24"/>
          <w:szCs w:val="24"/>
        </w:rPr>
        <w:t>年</w:t>
      </w:r>
      <w:r>
        <w:rPr>
          <w:rFonts w:hint="eastAsia" w:ascii="Microsoft New Tai Lue" w:hAnsi="Microsoft New Tai Lue" w:cs="Microsoft New Tai Lue"/>
          <w:sz w:val="24"/>
          <w:szCs w:val="24"/>
          <w:highlight w:val="none"/>
          <w:lang w:val="en-US" w:eastAsia="zh-CN"/>
        </w:rPr>
        <w:t>4</w:t>
      </w:r>
      <w:r>
        <w:rPr>
          <w:rFonts w:ascii="Microsoft New Tai Lue" w:hAnsi="Microsoft New Tai Lue" w:cs="Microsoft New Tai Lue"/>
          <w:sz w:val="24"/>
          <w:szCs w:val="24"/>
          <w:highlight w:val="none"/>
        </w:rPr>
        <w:t>月</w:t>
      </w:r>
      <w:r>
        <w:rPr>
          <w:rFonts w:hint="eastAsia" w:ascii="Microsoft New Tai Lue" w:hAnsi="Microsoft New Tai Lue" w:cs="Microsoft New Tai Lue"/>
          <w:sz w:val="24"/>
          <w:szCs w:val="24"/>
          <w:highlight w:val="none"/>
          <w:lang w:val="en-US" w:eastAsia="zh-CN"/>
        </w:rPr>
        <w:t>27</w:t>
      </w:r>
      <w:r>
        <w:rPr>
          <w:rFonts w:ascii="Microsoft New Tai Lue" w:hAnsi="Microsoft New Tai Lue" w:cs="Microsoft New Tai Lue"/>
          <w:sz w:val="24"/>
          <w:szCs w:val="24"/>
          <w:highlight w:val="none"/>
        </w:rPr>
        <w:t>日</w:t>
      </w:r>
      <w:r>
        <w:rPr>
          <w:rFonts w:ascii="Microsoft New Tai Lue" w:hAnsi="Microsoft New Tai Lue" w:cs="Microsoft New Tai Lue"/>
          <w:sz w:val="24"/>
          <w:szCs w:val="24"/>
        </w:rPr>
        <w:t>，</w:t>
      </w:r>
      <w:r>
        <w:rPr>
          <w:rFonts w:ascii="Microsoft New Tai Lue" w:hAnsi="Microsoft New Tai Lue" w:eastAsia="宋体" w:cs="Microsoft New Tai Lue"/>
          <w:sz w:val="24"/>
          <w:szCs w:val="24"/>
        </w:rPr>
        <w:t>山西太钢不锈钢股份有限公司</w:t>
      </w:r>
      <w:r>
        <w:rPr>
          <w:rFonts w:ascii="Microsoft New Tai Lue" w:hAnsi="Microsoft New Tai Lue" w:cs="Microsoft New Tai Lue"/>
          <w:sz w:val="24"/>
          <w:szCs w:val="24"/>
        </w:rPr>
        <w:t>组织召开</w:t>
      </w:r>
      <w:r>
        <w:rPr>
          <w:rFonts w:ascii="Microsoft New Tai Lue" w:hAnsi="Microsoft New Tai Lue" w:eastAsia="宋体" w:cs="Microsoft New Tai Lue"/>
          <w:sz w:val="24"/>
          <w:szCs w:val="24"/>
        </w:rPr>
        <w:t>了</w:t>
      </w:r>
      <w:r>
        <w:rPr>
          <w:rFonts w:ascii="Microsoft New Tai Lue" w:hAnsi="Microsoft New Tai Lue" w:cs="Microsoft New Tai Lue"/>
          <w:sz w:val="24"/>
          <w:szCs w:val="24"/>
        </w:rPr>
        <w:t>《山西太钢不锈钢股份有限公司</w:t>
      </w:r>
      <w:r>
        <w:rPr>
          <w:rFonts w:hint="default" w:ascii="Microsoft New Tai Lue" w:hAnsi="Microsoft New Tai Lue" w:cs="Microsoft New Tai Lue"/>
          <w:sz w:val="24"/>
          <w:szCs w:val="24"/>
        </w:rPr>
        <w:t>申报2012年节能技术改造财政奖励备选项目</w:t>
      </w:r>
      <w:r>
        <w:rPr>
          <w:rFonts w:ascii="Microsoft New Tai Lue" w:hAnsi="Microsoft New Tai Lue" w:cs="Microsoft New Tai Lue"/>
          <w:sz w:val="24"/>
          <w:szCs w:val="24"/>
        </w:rPr>
        <w:t>》</w:t>
      </w:r>
      <w:r>
        <w:rPr>
          <w:rFonts w:ascii="Microsoft New Tai Lue" w:hAnsi="Microsoft New Tai Lue" w:eastAsia="宋体" w:cs="Microsoft New Tai Lue"/>
          <w:sz w:val="24"/>
          <w:szCs w:val="24"/>
        </w:rPr>
        <w:t>竣工</w:t>
      </w:r>
      <w:r>
        <w:rPr>
          <w:rFonts w:ascii="Microsoft New Tai Lue" w:hAnsi="Microsoft New Tai Lue" w:cs="Microsoft New Tai Lue"/>
          <w:sz w:val="24"/>
          <w:szCs w:val="24"/>
        </w:rPr>
        <w:t>环境保护验收会，参加会议的有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验收</w:t>
      </w:r>
      <w:r>
        <w:rPr>
          <w:rFonts w:ascii="Microsoft New Tai Lue" w:hAnsi="Microsoft New Tai Lue" w:cs="Microsoft New Tai Lue"/>
          <w:sz w:val="24"/>
          <w:szCs w:val="24"/>
        </w:rPr>
        <w:t>监测单位</w:t>
      </w:r>
      <w:r>
        <w:rPr>
          <w:rFonts w:hint="eastAsia" w:ascii="Microsoft New Tai Lue" w:hAnsi="Microsoft New Tai Lue" w:cs="Microsoft New Tai Lue"/>
          <w:sz w:val="24"/>
          <w:szCs w:val="24"/>
        </w:rPr>
        <w:t>太原市福兴顺科技有限公司</w:t>
      </w:r>
      <w:r>
        <w:rPr>
          <w:rFonts w:ascii="Microsoft New Tai Lue" w:hAnsi="Microsoft New Tai Lue" w:cs="Microsoft New Tai Lue"/>
          <w:sz w:val="24"/>
          <w:szCs w:val="24"/>
        </w:rPr>
        <w:t>及环保专家。建设单位对项目情况做了简要汇报，监测单位对竣工环保验收监测报告内容进行了详细汇报，经过讨论形成验收意见如下：</w:t>
      </w:r>
    </w:p>
    <w:p>
      <w:pPr>
        <w:pStyle w:val="16"/>
        <w:spacing w:line="480" w:lineRule="exact"/>
        <w:ind w:left="420" w:leftChars="200" w:firstLine="0" w:firstLineChars="0"/>
        <w:rPr>
          <w:rFonts w:ascii="Microsoft New Tai Lue" w:hAnsi="Microsoft New Tai Lue" w:cs="Microsoft New Tai Lue"/>
          <w:sz w:val="24"/>
          <w:szCs w:val="24"/>
        </w:rPr>
      </w:pPr>
      <w:r>
        <w:rPr>
          <w:rFonts w:ascii="Microsoft New Tai Lue" w:hAnsi="Microsoft New Tai Lue" w:cs="Microsoft New Tai Lue"/>
          <w:sz w:val="24"/>
          <w:szCs w:val="24"/>
        </w:rPr>
        <w:t>一、工程建设基本情况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项目名称：</w:t>
      </w:r>
      <w:r>
        <w:rPr>
          <w:rFonts w:ascii="Microsoft New Tai Lue" w:hAnsi="Microsoft New Tai Lue" w:cs="Microsoft New Tai Lue"/>
          <w:sz w:val="24"/>
          <w:szCs w:val="24"/>
        </w:rPr>
        <w:t>山西太钢不锈钢股份有限公司</w:t>
      </w:r>
      <w:r>
        <w:rPr>
          <w:rFonts w:hint="default" w:ascii="Microsoft New Tai Lue" w:hAnsi="Microsoft New Tai Lue" w:cs="Microsoft New Tai Lue"/>
          <w:sz w:val="24"/>
          <w:szCs w:val="24"/>
        </w:rPr>
        <w:t>申报2012年节能技术改造财政奖励备选项目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投资总额：</w:t>
      </w:r>
      <w:r>
        <w:rPr>
          <w:rFonts w:hint="default" w:ascii="Microsoft New Tai Lue" w:hAnsi="Microsoft New Tai Lue" w:eastAsia="宋体" w:cs="Microsoft New Tai Lue"/>
          <w:sz w:val="24"/>
          <w:szCs w:val="24"/>
          <w:lang w:val="en-US" w:eastAsia="zh-CN"/>
        </w:rPr>
        <w:t>136900</w:t>
      </w:r>
      <w:r>
        <w:rPr>
          <w:rFonts w:ascii="Microsoft New Tai Lue" w:hAnsi="Microsoft New Tai Lue" w:eastAsia="宋体" w:cs="Microsoft New Tai Lue"/>
          <w:sz w:val="24"/>
          <w:szCs w:val="24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环保投资：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3100</w:t>
      </w:r>
      <w:r>
        <w:rPr>
          <w:rFonts w:ascii="Microsoft New Tai Lue" w:hAnsi="Microsoft New Tai Lue" w:eastAsia="宋体" w:cs="Microsoft New Tai Lue"/>
          <w:sz w:val="24"/>
          <w:szCs w:val="24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建设地点：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山西太钢不锈钢股份有限公司本部厂区内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Microsoft New Tai Lue" w:hAnsi="Microsoft New Tai Lue" w:eastAsia="宋体" w:cs="Microsoft New Tai Lue"/>
          <w:sz w:val="24"/>
          <w:szCs w:val="24"/>
        </w:rPr>
        <w:t>2012年2月，山西太钢不锈钢股份有限公司编制完成了《</w:t>
      </w:r>
      <w:r>
        <w:rPr>
          <w:rFonts w:ascii="Microsoft New Tai Lue" w:hAnsi="Microsoft New Tai Lue" w:cs="Microsoft New Tai Lue"/>
          <w:sz w:val="24"/>
          <w:szCs w:val="24"/>
        </w:rPr>
        <w:t>山西太钢不锈钢股份有限公司</w:t>
      </w:r>
      <w:r>
        <w:rPr>
          <w:rFonts w:hint="default" w:ascii="Microsoft New Tai Lue" w:hAnsi="Microsoft New Tai Lue" w:cs="Microsoft New Tai Lue"/>
          <w:sz w:val="24"/>
          <w:szCs w:val="24"/>
        </w:rPr>
        <w:t>申报2012年节能技术改造财政奖励备选项目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环境影响报告表》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eastAsia="zh-CN"/>
        </w:rPr>
        <w:t>；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2012月3日16日太原市环境保护局以并环审批[2012]038号对其进行了批复。项目于201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3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年4月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陆续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开始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建设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，2018年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8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月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全部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建设完成。</w:t>
      </w:r>
    </w:p>
    <w:p>
      <w:pPr>
        <w:pStyle w:val="16"/>
        <w:spacing w:line="420" w:lineRule="exact"/>
        <w:ind w:left="420" w:leftChars="200" w:firstLine="0" w:firstLineChars="0"/>
        <w:rPr>
          <w:rFonts w:ascii="Microsoft New Tai Lue" w:hAnsi="Microsoft New Tai Lue" w:cs="Microsoft New Tai Lue"/>
          <w:sz w:val="24"/>
          <w:szCs w:val="24"/>
        </w:rPr>
      </w:pPr>
      <w:r>
        <w:rPr>
          <w:rFonts w:ascii="Microsoft New Tai Lue" w:hAnsi="Microsoft New Tai Lue" w:cs="Microsoft New Tai Lue"/>
          <w:sz w:val="24"/>
          <w:szCs w:val="24"/>
        </w:rPr>
        <w:t>二、</w:t>
      </w:r>
      <w:r>
        <w:rPr>
          <w:rFonts w:hint="eastAsia" w:ascii="Microsoft New Tai Lue" w:hAnsi="Microsoft New Tai Lue" w:cs="Microsoft New Tai Lue"/>
          <w:sz w:val="24"/>
          <w:szCs w:val="24"/>
        </w:rPr>
        <w:t>项目主要建设情况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hint="eastAsia" w:ascii="Microsoft New Tai Lue" w:hAnsi="Microsoft New Tai Lue" w:eastAsia="宋体" w:cs="Microsoft New Tai Lue"/>
          <w:sz w:val="24"/>
          <w:szCs w:val="24"/>
        </w:rPr>
        <w:t>项目主要建设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内容</w:t>
      </w:r>
      <w:r>
        <w:rPr>
          <w:rFonts w:ascii="Microsoft New Tai Lue" w:hAnsi="Microsoft New Tai Lue" w:eastAsia="宋体" w:cs="Microsoft New Tai Lue"/>
          <w:sz w:val="24"/>
          <w:szCs w:val="24"/>
        </w:rPr>
        <w:t>见表1。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ascii="Microsoft New Tai Lue" w:hAnsi="Microsoft New Tai Lue" w:eastAsia="宋体" w:cs="Microsoft New Tai Lue"/>
          <w:sz w:val="24"/>
          <w:szCs w:val="24"/>
        </w:rPr>
      </w:pPr>
      <w:r>
        <w:rPr>
          <w:rFonts w:hint="eastAsia" w:ascii="Microsoft New Tai Lue" w:hAnsi="Microsoft New Tai Lue" w:eastAsia="宋体" w:cs="Microsoft New Tai Lue"/>
          <w:sz w:val="24"/>
          <w:szCs w:val="24"/>
        </w:rPr>
        <w:t>项目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环评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要求建设设施及实际情况一览见表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2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Times New Roman" w:hAnsi="Times New Roman"/>
          <w:b/>
          <w:bCs/>
          <w:sz w:val="24"/>
        </w:rPr>
      </w:pP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环保设施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建设情况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见表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3</w:t>
      </w:r>
      <w:r>
        <w:rPr>
          <w:rFonts w:hint="eastAsia"/>
          <w:lang w:val="en-US" w:eastAsia="zh-CN"/>
        </w:rPr>
        <w:t>。</w:t>
      </w:r>
    </w:p>
    <w:p>
      <w:pPr>
        <w:spacing w:line="360" w:lineRule="auto"/>
        <w:jc w:val="center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jc w:val="center"/>
        <w:rPr>
          <w:rFonts w:ascii="Times New Roman" w:hAnsi="Times New Roman" w:eastAsiaTheme="minorEastAsia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表1  </w:t>
      </w:r>
      <w:r>
        <w:rPr>
          <w:rFonts w:hint="eastAsia" w:ascii="Times New Roman" w:hAnsi="Times New Roman"/>
          <w:b/>
          <w:bCs/>
          <w:sz w:val="24"/>
          <w:lang w:eastAsia="zh-CN"/>
        </w:rPr>
        <w:t>项目</w:t>
      </w:r>
      <w:r>
        <w:rPr>
          <w:rFonts w:hint="eastAsia" w:ascii="Times New Roman" w:hAnsi="Times New Roman" w:eastAsiaTheme="minorEastAsia"/>
          <w:b/>
          <w:bCs/>
          <w:sz w:val="24"/>
          <w:lang w:val="en-US" w:eastAsia="zh-CN"/>
        </w:rPr>
        <w:t>主要建设</w:t>
      </w:r>
      <w:r>
        <w:rPr>
          <w:rFonts w:ascii="Times New Roman" w:hAnsi="Times New Roman" w:eastAsiaTheme="minorEastAsia"/>
          <w:b/>
          <w:bCs/>
          <w:sz w:val="24"/>
        </w:rPr>
        <w:t>内容一览表</w:t>
      </w:r>
    </w:p>
    <w:tbl>
      <w:tblPr>
        <w:tblStyle w:val="9"/>
        <w:tblW w:w="4998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700"/>
        <w:gridCol w:w="128"/>
        <w:gridCol w:w="1638"/>
        <w:gridCol w:w="4360"/>
        <w:gridCol w:w="169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11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28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工程名称</w:t>
            </w:r>
          </w:p>
        </w:tc>
        <w:tc>
          <w:tcPr>
            <w:tcW w:w="2347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环评建设内容</w:t>
            </w:r>
          </w:p>
        </w:tc>
        <w:tc>
          <w:tcPr>
            <w:tcW w:w="912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实际建设内容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411" w:type="pct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主体工程</w:t>
            </w:r>
          </w:p>
        </w:tc>
        <w:tc>
          <w:tcPr>
            <w:tcW w:w="9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电炉、AOD炉余热回收节能改造工程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将太钢二炼钢厂2座150吨电炉和三炼钢厂90吨电炉水冷烟道改造为汽化冷却烟道回收余热；将二炼钢厂2座160吨AOD炉汽化冷却烟道之后，增加低温余热回收锅炉。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AOD炉未进行改造，仅对电炉进行了改造。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高炉煤气高效综合利用项目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建设一套130MW高炉煤气-蒸汽联合循环发电系统（CCPP装置），将现有燃气锅炉消耗的高炉煤气及新增碳钢尘泥处理线项目OXYCUP竖炉产生的煤气优先用于CCPP回收发电，实现资源高效回收利用。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建设一套54MW高炉煤气-蒸汽联合循环发电系统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热连轧厂1549mm生产系统3#加热炉改造工程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 w:firstLine="420" w:firstLineChars="200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将太钢热连轧厂1549mm系统3#加热炉拆除更换，同时将水冷冷却方式改为汽化冷却，回收余热，副产蒸汽并网。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电机变频节能改造项目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 w:firstLine="420" w:firstLineChars="200"/>
              <w:jc w:val="left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对现有分布在9个生产企业的50台风机、水泵电机进行变频节能技术改造，节约电能消耗。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钢坯红送热装节能工程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 w:firstLine="420" w:firstLineChars="200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利用厂区内现有3条铁路线，增加保温运输车15台、保温罩40个、建设保温坑3个，实现钢坯从钢厂到热连轧厂的红送热装，年红装热送运输钢坯102.5万吨，将轧钢厂的原料冷装改为热装，减少煤气消耗，节约燃料资源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供热管道及换热设施节能改造工程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 w:firstLine="420" w:firstLineChars="200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利用太钢自备电厂现有2×300MW热电联产集中供热蒸汽热源及管网，对厂区内现有1个换热首站和11个换热站及20.4km管网进行改造和扩建。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411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2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辅助工程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 w:firstLine="420" w:firstLineChars="200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针对改建设备，根据生产需要建设给排水、动力、电器等公用配套设施；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11" w:type="pct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4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公用工程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供水系统</w:t>
            </w:r>
          </w:p>
        </w:tc>
        <w:tc>
          <w:tcPr>
            <w:tcW w:w="2347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厂内由公司统一提供，厂外由城市供水、供电系统提供</w:t>
            </w:r>
          </w:p>
        </w:tc>
        <w:tc>
          <w:tcPr>
            <w:tcW w:w="912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供电系统</w:t>
            </w:r>
          </w:p>
        </w:tc>
        <w:tc>
          <w:tcPr>
            <w:tcW w:w="2347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  <w:jc w:val="center"/>
        </w:trPr>
        <w:tc>
          <w:tcPr>
            <w:tcW w:w="411" w:type="pct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4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环保工程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CCPP发电装置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 w:firstLine="420" w:firstLineChars="200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燃气废气经静电除尘净化后，由高40m、口径1.5m烟囱外排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热连轧厂3#加热炉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 w:firstLine="420" w:firstLineChars="200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以清洁燃料—高焦混合煤气为燃料，并采用低氮烧嘴技术，经高35m、口径2.5m烟囱排放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汽化冷却水循环系统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 w:firstLine="388" w:firstLineChars="200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-8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建立循环系统，排水经管网送生产废水处理系统集中处理。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1" w:type="pct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4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其它附属工程</w:t>
            </w: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生产废水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 w:firstLine="420" w:firstLineChars="200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按照软水-净循环水-浊循环水的串级补充方式，实现各品质生产废水的梯级利用，节约用水。浊环水系统定期外排水为厂区生产废水，经厂区生产废水下水管网排入太钢赵庄生产废水系统处理系统，再回用于生产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生活污水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 w:firstLine="420" w:firstLineChars="200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经集团生活污水管网，进入赵庄污水处理站生活污水处理系统，再经深度膜处理后回用于生产。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噪声防治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低噪声设备、基础减振、隔声厂房等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1" w:type="pct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绿化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增加厂区内绿化面积22500m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411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2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储运工程</w:t>
            </w:r>
          </w:p>
        </w:tc>
        <w:tc>
          <w:tcPr>
            <w:tcW w:w="2347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以汽车运输为主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与环评一致</w:t>
            </w:r>
          </w:p>
        </w:tc>
      </w:tr>
    </w:tbl>
    <w:p>
      <w:pPr>
        <w:autoSpaceDE w:val="0"/>
        <w:autoSpaceDN w:val="0"/>
        <w:adjustRightInd w:val="0"/>
        <w:spacing w:line="360" w:lineRule="exact"/>
        <w:ind w:firstLine="420" w:firstLineChars="200"/>
        <w:jc w:val="center"/>
        <w:rPr>
          <w:rFonts w:ascii="Microsoft New Tai Lue" w:hAnsi="Microsoft New Tai Lue" w:cs="Microsoft New Tai Lue"/>
          <w:szCs w:val="21"/>
        </w:rPr>
      </w:pPr>
    </w:p>
    <w:p>
      <w:pPr>
        <w:spacing w:line="360" w:lineRule="auto"/>
        <w:ind w:firstLine="480"/>
        <w:jc w:val="center"/>
      </w:pPr>
      <w:r>
        <w:rPr>
          <w:rFonts w:hint="eastAsia" w:ascii="Microsoft New Tai Lue" w:hAnsi="Microsoft New Tai Lue" w:cs="Microsoft New Tai Lue"/>
          <w:szCs w:val="21"/>
          <w:lang w:val="en-US" w:eastAsia="zh-CN"/>
        </w:rPr>
        <w:t xml:space="preserve">表2   </w:t>
      </w:r>
      <w:r>
        <w:rPr>
          <w:rFonts w:hint="eastAsia" w:ascii="宋体" w:hAnsi="宋体" w:eastAsia="宋体" w:cs="宋体"/>
          <w:b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本工程环评要求建设设施及实际情况一览表</w:t>
      </w:r>
    </w:p>
    <w:tbl>
      <w:tblPr>
        <w:tblStyle w:val="9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527"/>
        <w:gridCol w:w="175"/>
        <w:gridCol w:w="2241"/>
        <w:gridCol w:w="978"/>
        <w:gridCol w:w="1158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电机变频改造技改工程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出焦除尘风机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额定功率：1250kW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三高炉炉前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除尘风机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额定功率：1600kW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五高炉水渣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冷却塔风机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额定功率：55kW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AOD炉除尘风机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额定功率：2600kW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90吨电炉除尘风机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额定功率：1000kW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AOD炉除尘风机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额定功率：900kW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辊道电机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额定功率：11kW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2250mm生产线除磷泵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额定功率：3000kW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1#轧机排烟风机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额定功率：90kW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2250mm热轧层流供水泵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额定功率：250kW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2250mm热轧平流提升泵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额定功率：250kW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混线抛丸机抛头电机</w:t>
            </w:r>
          </w:p>
        </w:tc>
        <w:tc>
          <w:tcPr>
            <w:tcW w:w="12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额定功率：90kW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钢坯红送热装节能工程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运输保温车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辆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保温罩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保温坑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供热管道及换热设施节能改造工程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换热首站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供热总面积826.1万m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热负荷496.5MW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座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一次热力网</w:t>
            </w:r>
          </w:p>
        </w:tc>
        <w:tc>
          <w:tcPr>
            <w:tcW w:w="1301" w:type="pct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供水管2.5MPa、回水管1.6MPa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管径D600-1200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Km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20.4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其中直埋管道</w:t>
            </w:r>
          </w:p>
        </w:tc>
        <w:tc>
          <w:tcPr>
            <w:tcW w:w="1301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Km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6.26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架空管道</w:t>
            </w:r>
          </w:p>
        </w:tc>
        <w:tc>
          <w:tcPr>
            <w:tcW w:w="1301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Km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14.14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二级换热站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座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其中厂内二级换热站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供热面积43万m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座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厂外二级换热站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供热面积793.1万m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座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软水处理系统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1549mm热连轧厂3#加热炉改造工程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烟道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汽化冷却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余热锅炉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4.5t/h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高炉煤气高效综合利用项目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CCPP装置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额定功率130MW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54MW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电炉、AOD炉余热回收节能改造工程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改造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电炉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150吨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座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0"/>
              </w:tabs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电炉</w:t>
            </w:r>
          </w:p>
        </w:tc>
        <w:tc>
          <w:tcPr>
            <w:tcW w:w="13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90吨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座</w:t>
            </w:r>
          </w:p>
        </w:tc>
        <w:tc>
          <w:tcPr>
            <w:tcW w:w="6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一致</w:t>
            </w:r>
          </w:p>
        </w:tc>
      </w:tr>
    </w:tbl>
    <w:p>
      <w:pPr>
        <w:pStyle w:val="2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/>
        <w:ind w:left="0" w:right="0" w:firstLine="735" w:firstLineChars="350"/>
        <w:jc w:val="center"/>
        <w:textAlignment w:val="auto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 xml:space="preserve">表3    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项目环保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措施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一览</w:t>
      </w:r>
      <w:r>
        <w:rPr>
          <w:rFonts w:hint="eastAsia" w:ascii="宋体" w:hAnsi="宋体" w:eastAsia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表</w:t>
      </w:r>
    </w:p>
    <w:tbl>
      <w:tblPr>
        <w:tblStyle w:val="9"/>
        <w:tblW w:w="487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309"/>
        <w:gridCol w:w="1960"/>
        <w:gridCol w:w="1097"/>
        <w:gridCol w:w="40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6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2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污染源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污染物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治理措施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364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23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炼钢烟气余热回收</w:t>
            </w: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汽化冷却水循环系统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含盐废水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建立循环系统，排水经管网送生产废水处理系统集中处理。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余热锅炉、水泵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噪声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基础减振、设独立机房、汽包烟道设消声器、建筑隔声。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64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23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CCPP发电</w:t>
            </w: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CCPP燃气机组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烟尘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配套燃气烟气静电除尘器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循环冷却水系统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含盐废水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建立循环系统，排水经管网送生产废水处理系统集中处理。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汽轮机、压缩机等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噪声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选择低噪声设备、基础减振、设独立机房、气包、烟道设消声器。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绿化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新增绿化面积2500m2。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4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23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热连轧加热炉改造</w:t>
            </w: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汽化冷却水循环系统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含盐废水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建立循环系统，排水经管网送生产废水处理系统集中处理。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水泵、风机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噪声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选择低噪声设备、基础减振、设独立机房、利用建筑隔声。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64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23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集中供热工程</w:t>
            </w: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施工场地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扬尘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挡板、洒水抑尘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施工车辆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扬尘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加盖篷布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施工清洗水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废水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设临时沉淀池，防治随意排放。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换热站水泵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噪声</w:t>
            </w: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隔音、消声、减振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64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绿化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绿化面积20000m2</w:t>
            </w:r>
          </w:p>
        </w:tc>
      </w:tr>
    </w:tbl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7" w:beforeLines="50" w:line="360" w:lineRule="auto"/>
        <w:ind w:firstLine="48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工程及环保设施变更情况：</w:t>
      </w:r>
    </w:p>
    <w:p>
      <w:pPr>
        <w:keepNext w:val="0"/>
        <w:keepLines w:val="0"/>
        <w:widowControl/>
        <w:suppressLineNumbers w:val="0"/>
        <w:spacing w:before="0" w:beforeAutospacing="0" w:afterAutospacing="0"/>
        <w:ind w:left="0" w:right="0"/>
        <w:jc w:val="center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2-3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   项目变动情况一览表</w:t>
      </w:r>
    </w:p>
    <w:tbl>
      <w:tblPr>
        <w:tblStyle w:val="9"/>
        <w:tblW w:w="829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200"/>
        <w:gridCol w:w="1140"/>
        <w:gridCol w:w="1585"/>
        <w:gridCol w:w="1050"/>
        <w:gridCol w:w="12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widowControl/>
              <w:suppressLineNumbers w:val="0"/>
              <w:autoSpaceDE w:val="0"/>
              <w:spacing w:before="0" w:beforeAutospacing="0" w:afterAutospacing="0" w:line="300" w:lineRule="exact"/>
              <w:ind w:left="0" w:right="0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widowControl/>
              <w:suppressLineNumbers w:val="0"/>
              <w:autoSpaceDE w:val="0"/>
              <w:spacing w:before="0" w:beforeAutospacing="0" w:afterAutospacing="0" w:line="300" w:lineRule="exact"/>
              <w:ind w:left="0" w:right="0" w:firstLine="420" w:firstLineChars="200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环评要求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实际建设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变动原因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是否属于重大变动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变动说明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widowControl/>
              <w:suppressLineNumbers w:val="0"/>
              <w:autoSpaceDE w:val="0"/>
              <w:spacing w:before="0" w:beforeAutospacing="0" w:afterAutospacing="0" w:line="300" w:lineRule="exact"/>
              <w:ind w:left="0" w:right="0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电炉、AOD炉余热回收节能改造工程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将太钢二炼钢厂2座150吨电炉和三炼钢厂90吨电炉水冷烟道改造为汽化冷却烟道回收余热；将二炼钢厂2座160吨AOD炉汽化冷却烟道之后，增加低温余热回收锅炉。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AOD炉未进行改造，仅对电炉进行了改造。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加强对余热的利用，达到节能的效果。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ahoma" w:eastAsia="宋体" w:cs="宋体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原水冷烟道无法对烟气余热进行回收利用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keepNext w:val="0"/>
              <w:keepLines w:val="0"/>
              <w:widowControl/>
              <w:suppressLineNumbers w:val="0"/>
              <w:autoSpaceDE w:val="0"/>
              <w:spacing w:before="0" w:beforeAutospacing="0" w:afterAutospacing="0" w:line="300" w:lineRule="exact"/>
              <w:ind w:left="0" w:right="0"/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高炉煤气高效综合利用项目</w:t>
            </w:r>
          </w:p>
        </w:tc>
        <w:tc>
          <w:tcPr>
            <w:tcW w:w="2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建设一套130MW高炉煤气-蒸汽联合循环发电系统（CCPP装置），将现有燃气锅炉消耗的高炉煤气及新增碳钢尘泥处理线项目OXYCUP竖炉产生的煤气优先用于CCPP回收发电，实现资源的高效回收利用。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实际为建设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套54MW高炉煤气-蒸汽联合循环发电系统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 w:firstLine="420" w:firstLineChars="200"/>
              <w:textAlignment w:val="auto"/>
              <w:rPr>
                <w:rFonts w:hint="eastAsia" w:ascii="宋体" w:hAnsi="Tahoma" w:eastAsia="宋体" w:cs="宋体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ahoma" w:cs="宋体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2套</w:t>
            </w:r>
            <w:r>
              <w:rPr>
                <w:rFonts w:hint="eastAsia" w:ascii="宋体" w:hAnsi="Tahoma" w:eastAsia="宋体" w:cs="宋体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54MW CCPP项目的投产运行，是最符合现场实际情况的机型、轴制</w:t>
            </w:r>
            <w:r>
              <w:rPr>
                <w:rFonts w:hint="eastAsia" w:ascii="宋体" w:eastAsia="宋体" w:cs="宋体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Tahoma" w:eastAsia="宋体" w:cs="宋体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是符合太钢实情需要的。其实践证明：太钢建设高炉煤气联合CCPP发电项目对低品质能源加以高效转化，节能环保，实现可持续发展是必要的、也是可行的。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宋体" w:hAnsi="Tahoma" w:eastAsia="宋体" w:cs="宋体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ahoma" w:eastAsia="宋体" w:cs="宋体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可节省投资约3亿元，充分利用现有设施，减少占地面积，提高整体热效率；能适应负荷变化快、范围宽的性能，可全部满负荷运行又可单独维修，同时在能耗相同的情况下可减少污染物的排放。</w:t>
            </w:r>
          </w:p>
        </w:tc>
      </w:tr>
    </w:tbl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7" w:beforeLines="50" w:line="360" w:lineRule="auto"/>
        <w:ind w:firstLine="480" w:firstLineChars="200"/>
        <w:textAlignment w:val="auto"/>
        <w:rPr>
          <w:rFonts w:hint="default"/>
          <w:lang w:val="en-US" w:eastAsia="zh-CN"/>
        </w:rPr>
      </w:pPr>
    </w:p>
    <w:p>
      <w:pPr>
        <w:pStyle w:val="16"/>
        <w:spacing w:line="440" w:lineRule="exact"/>
        <w:ind w:left="420" w:leftChars="200" w:firstLine="0" w:firstLineChars="0"/>
        <w:jc w:val="left"/>
        <w:rPr>
          <w:rFonts w:ascii="Microsoft New Tai Lue" w:hAnsi="Microsoft New Tai Lue" w:cs="Microsoft New Tai Lue"/>
          <w:sz w:val="24"/>
          <w:szCs w:val="24"/>
        </w:rPr>
      </w:pPr>
      <w:r>
        <w:rPr>
          <w:rFonts w:ascii="Microsoft New Tai Lue" w:hAnsi="Microsoft New Tai Lue" w:cs="Microsoft New Tai Lue"/>
          <w:sz w:val="24"/>
          <w:szCs w:val="24"/>
        </w:rPr>
        <w:t>四、污染物达标排放情况</w:t>
      </w:r>
    </w:p>
    <w:p>
      <w:pPr>
        <w:autoSpaceDE w:val="0"/>
        <w:autoSpaceDN w:val="0"/>
        <w:spacing w:line="440" w:lineRule="exact"/>
        <w:ind w:firstLine="480" w:firstLineChars="200"/>
        <w:rPr>
          <w:rFonts w:ascii="Microsoft New Tai Lue" w:hAnsi="Microsoft New Tai Lue" w:cs="Microsoft New Tai Lue"/>
          <w:sz w:val="24"/>
          <w:szCs w:val="24"/>
        </w:rPr>
      </w:pPr>
      <w:r>
        <w:rPr>
          <w:rFonts w:ascii="Microsoft New Tai Lue" w:hAnsi="Microsoft New Tai Lue" w:cs="Microsoft New Tai Lue"/>
          <w:sz w:val="24"/>
          <w:szCs w:val="24"/>
        </w:rPr>
        <w:t>（一）废气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/>
        <w:spacing w:line="440" w:lineRule="exact"/>
        <w:ind w:firstLine="480" w:firstLineChars="200"/>
        <w:textAlignment w:val="auto"/>
        <w:rPr>
          <w:rFonts w:ascii="Microsoft New Tai Lue" w:hAnsi="Microsoft New Tai Lue" w:cs="Microsoft New Tai Lue"/>
          <w:sz w:val="24"/>
          <w:szCs w:val="24"/>
        </w:rPr>
      </w:pPr>
      <w:r>
        <w:rPr>
          <w:rFonts w:ascii="Microsoft New Tai Lue" w:hAnsi="Microsoft New Tai Lue" w:cs="Microsoft New Tai Lue"/>
          <w:sz w:val="24"/>
          <w:szCs w:val="24"/>
        </w:rPr>
        <w:t>1、有组织废气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Microsoft New Tai Lue" w:hAnsi="Microsoft New Tai Lue" w:cs="Microsoft New Tai Lue"/>
          <w:sz w:val="24"/>
          <w:szCs w:val="24"/>
          <w:lang w:eastAsia="zh-CN"/>
        </w:rPr>
      </w:pPr>
      <w:r>
        <w:rPr>
          <w:rFonts w:hint="eastAsia" w:ascii="Microsoft New Tai Lue" w:hAnsi="Microsoft New Tai Lue" w:cs="Microsoft New Tai Lue"/>
          <w:sz w:val="24"/>
          <w:szCs w:val="24"/>
        </w:rPr>
        <w:t>热连轧加热炉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出口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颗粒物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、二氧化硫、氮氧化物排放均低于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《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轧钢工业大气污染物排放标准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》（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28665-2012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）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表3大气污染物特别排放限值；</w:t>
      </w:r>
      <w:r>
        <w:rPr>
          <w:rFonts w:hint="eastAsia" w:ascii="Microsoft New Tai Lue" w:hAnsi="Microsoft New Tai Lue" w:cs="Microsoft New Tai Lue"/>
          <w:sz w:val="24"/>
          <w:szCs w:val="24"/>
        </w:rPr>
        <w:t>CCPP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出口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颗粒物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、二氧化硫、氮氧化物、烟气黑度排放均低于</w:t>
      </w:r>
      <w:r>
        <w:rPr>
          <w:rFonts w:hint="eastAsia" w:ascii="Microsoft New Tai Lue" w:hAnsi="Microsoft New Tai Lue" w:cs="Microsoft New Tai Lue"/>
          <w:sz w:val="24"/>
          <w:szCs w:val="24"/>
        </w:rPr>
        <w:t>《火电厂大气污染物排放标准》（GB13223-2011）表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1大气污染物排放限值</w:t>
      </w:r>
      <w:r>
        <w:rPr>
          <w:rFonts w:hint="eastAsia" w:ascii="Microsoft New Tai Lue" w:hAnsi="Microsoft New Tai Lue" w:cs="Microsoft New Tai Lue"/>
          <w:sz w:val="24"/>
          <w:szCs w:val="24"/>
        </w:rPr>
        <w:t>燃气轮机组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；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default" w:ascii="Microsoft New Tai Lue" w:hAnsi="Microsoft New Tai Lue" w:cs="Microsoft New Tai Lue"/>
          <w:sz w:val="24"/>
          <w:szCs w:val="24"/>
          <w:lang w:val="en-US" w:eastAsia="zh-CN"/>
        </w:rPr>
      </w:pP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2、废水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Microsoft New Tai Lue" w:hAnsi="Microsoft New Tai Lue" w:cs="Microsoft New Tai Lue"/>
          <w:sz w:val="24"/>
          <w:szCs w:val="24"/>
          <w:lang w:eastAsia="zh-CN"/>
        </w:rPr>
      </w:pP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生产废水出口所检项目均低于</w:t>
      </w:r>
      <w:r>
        <w:rPr>
          <w:rFonts w:hint="eastAsia" w:ascii="Microsoft New Tai Lue" w:hAnsi="Microsoft New Tai Lue" w:cs="Microsoft New Tai Lue"/>
          <w:sz w:val="24"/>
          <w:szCs w:val="24"/>
        </w:rPr>
        <w:t>《钢铁工业水污染物排放标准》（GB13456-2012）表2间接排放限值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；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</w:pP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生活污水出口所检项目均低于</w:t>
      </w:r>
      <w:r>
        <w:rPr>
          <w:rFonts w:hint="eastAsia" w:ascii="Microsoft New Tai Lue" w:hAnsi="Microsoft New Tai Lue" w:cs="Microsoft New Tai Lue"/>
          <w:sz w:val="24"/>
          <w:szCs w:val="24"/>
        </w:rPr>
        <w:t>《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城镇污水处理厂污染物</w:t>
      </w:r>
      <w:r>
        <w:rPr>
          <w:rFonts w:hint="eastAsia" w:ascii="Microsoft New Tai Lue" w:hAnsi="Microsoft New Tai Lue" w:cs="Microsoft New Tai Lue"/>
          <w:sz w:val="24"/>
          <w:szCs w:val="24"/>
        </w:rPr>
        <w:t>排放标准》（GB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18918</w:t>
      </w:r>
      <w:r>
        <w:rPr>
          <w:rFonts w:hint="eastAsia" w:ascii="Microsoft New Tai Lue" w:hAnsi="Microsoft New Tai Lue" w:cs="Microsoft New Tai Lue"/>
          <w:sz w:val="24"/>
          <w:szCs w:val="24"/>
        </w:rPr>
        <w:t>-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2002</w:t>
      </w:r>
      <w:r>
        <w:rPr>
          <w:rFonts w:hint="eastAsia" w:ascii="Microsoft New Tai Lue" w:hAnsi="Microsoft New Tai Lue" w:cs="Microsoft New Tai Lue"/>
          <w:sz w:val="24"/>
          <w:szCs w:val="24"/>
        </w:rPr>
        <w:t>）表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1</w:t>
      </w:r>
      <w:r>
        <w:rPr>
          <w:rFonts w:hint="eastAsia" w:ascii="Microsoft New Tai Lue" w:hAnsi="Microsoft New Tai Lue" w:cs="Microsoft New Tai Lue"/>
          <w:sz w:val="24"/>
          <w:szCs w:val="24"/>
        </w:rPr>
        <w:t>一级标准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A。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</w:pP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噪声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Microsoft New Tai Lue" w:hAnsi="Microsoft New Tai Lue" w:cs="Microsoft New Tai Lue"/>
          <w:sz w:val="24"/>
          <w:szCs w:val="24"/>
        </w:rPr>
      </w:pPr>
      <w:r>
        <w:rPr>
          <w:rFonts w:hint="eastAsia" w:ascii="Microsoft New Tai Lue" w:hAnsi="Microsoft New Tai Lue" w:cs="Microsoft New Tai Lue"/>
          <w:sz w:val="24"/>
          <w:szCs w:val="24"/>
        </w:rPr>
        <w:t>厂界噪声昼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、夜</w:t>
      </w:r>
      <w:r>
        <w:rPr>
          <w:rFonts w:hint="eastAsia" w:ascii="Microsoft New Tai Lue" w:hAnsi="Microsoft New Tai Lue" w:cs="Microsoft New Tai Lue"/>
          <w:sz w:val="24"/>
          <w:szCs w:val="24"/>
        </w:rPr>
        <w:t>间监测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值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均低于</w:t>
      </w:r>
      <w:r>
        <w:rPr>
          <w:rFonts w:hint="eastAsia" w:ascii="Microsoft New Tai Lue" w:hAnsi="Microsoft New Tai Lue" w:cs="Microsoft New Tai Lue"/>
          <w:sz w:val="24"/>
          <w:szCs w:val="24"/>
        </w:rPr>
        <w:t>《工业企业厂界环境噪声排放标准》（GB12348-2008）3类</w:t>
      </w:r>
      <w:r>
        <w:rPr>
          <w:rFonts w:hint="eastAsia" w:ascii="Microsoft New Tai Lue" w:hAnsi="Microsoft New Tai Lue" w:cs="Microsoft New Tai Lue"/>
          <w:sz w:val="24"/>
          <w:szCs w:val="24"/>
          <w:lang w:eastAsia="zh-CN"/>
        </w:rPr>
        <w:t>标准，</w:t>
      </w:r>
      <w:r>
        <w:rPr>
          <w:rFonts w:hint="eastAsia" w:ascii="Microsoft New Tai Lue" w:hAnsi="Microsoft New Tai Lue" w:cs="Microsoft New Tai Lue"/>
          <w:sz w:val="24"/>
          <w:szCs w:val="24"/>
        </w:rPr>
        <w:t>达标率为100%。</w:t>
      </w:r>
    </w:p>
    <w:p>
      <w:pPr>
        <w:pStyle w:val="16"/>
        <w:autoSpaceDE w:val="0"/>
        <w:autoSpaceDN w:val="0"/>
        <w:spacing w:line="420" w:lineRule="exact"/>
        <w:ind w:left="420" w:leftChars="200" w:firstLine="0" w:firstLineChars="0"/>
        <w:rPr>
          <w:rFonts w:ascii="Microsoft New Tai Lue" w:hAnsi="Microsoft New Tai Lue" w:cs="Microsoft New Tai Lue"/>
          <w:kern w:val="0"/>
          <w:sz w:val="24"/>
          <w:szCs w:val="24"/>
        </w:rPr>
      </w:pPr>
      <w:r>
        <w:rPr>
          <w:rFonts w:ascii="Microsoft New Tai Lue" w:hAnsi="Microsoft New Tai Lue" w:cs="Microsoft New Tai Lue"/>
          <w:kern w:val="0"/>
          <w:sz w:val="24"/>
          <w:szCs w:val="24"/>
        </w:rPr>
        <w:t>五、工程建设对环境的影响</w:t>
      </w:r>
    </w:p>
    <w:p>
      <w:pPr>
        <w:spacing w:line="360" w:lineRule="auto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  <w:r>
        <w:rPr>
          <w:rFonts w:ascii="Microsoft New Tai Lue" w:hAnsi="Microsoft New Tai Lue" w:cs="Microsoft New Tai Lue"/>
          <w:kern w:val="0"/>
          <w:sz w:val="24"/>
          <w:szCs w:val="24"/>
        </w:rPr>
        <w:t>在环保设施正常运行的状态下，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各项废气污染物都可以做到达标排放；</w:t>
      </w:r>
      <w:r>
        <w:rPr>
          <w:rFonts w:ascii="Times New Roman" w:hAnsi="Times New Roman"/>
          <w:kern w:val="0"/>
          <w:sz w:val="24"/>
        </w:rPr>
        <w:t>废水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可以达到相应标准</w:t>
      </w:r>
      <w:r>
        <w:rPr>
          <w:rFonts w:ascii="Times New Roman" w:hAnsi="Times New Roman"/>
          <w:kern w:val="0"/>
          <w:sz w:val="24"/>
        </w:rPr>
        <w:t>；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厂界昼间夜间噪声监测结果均符合相关标准要求，对外环境影响较小。</w:t>
      </w:r>
    </w:p>
    <w:p>
      <w:pPr>
        <w:pStyle w:val="16"/>
        <w:autoSpaceDE w:val="0"/>
        <w:autoSpaceDN w:val="0"/>
        <w:spacing w:line="420" w:lineRule="exact"/>
        <w:ind w:left="420" w:leftChars="200" w:firstLine="0" w:firstLineChars="0"/>
        <w:rPr>
          <w:rFonts w:ascii="Microsoft New Tai Lue" w:hAnsi="Microsoft New Tai Lue" w:cs="Microsoft New Tai Lue"/>
          <w:kern w:val="0"/>
          <w:sz w:val="24"/>
          <w:szCs w:val="24"/>
        </w:rPr>
      </w:pPr>
      <w:r>
        <w:rPr>
          <w:rFonts w:ascii="Microsoft New Tai Lue" w:hAnsi="Microsoft New Tai Lue" w:cs="Microsoft New Tai Lue"/>
          <w:kern w:val="0"/>
          <w:sz w:val="24"/>
          <w:szCs w:val="24"/>
        </w:rPr>
        <w:t>六、验收结论</w:t>
      </w:r>
    </w:p>
    <w:p>
      <w:pPr>
        <w:autoSpaceDE w:val="0"/>
        <w:autoSpaceDN w:val="0"/>
        <w:spacing w:line="420" w:lineRule="exact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  <w:r>
        <w:rPr>
          <w:rFonts w:ascii="Microsoft New Tai Lue" w:hAnsi="Microsoft New Tai Lue" w:cs="Microsoft New Tai Lue"/>
          <w:kern w:val="0"/>
          <w:sz w:val="24"/>
          <w:szCs w:val="24"/>
        </w:rPr>
        <w:t>该项目履行了环评审批手续，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建设中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按照环评报告</w:t>
      </w:r>
      <w:r>
        <w:rPr>
          <w:rFonts w:hint="eastAsia" w:ascii="Microsoft New Tai Lue" w:hAnsi="Microsoft New Tai Lue" w:cs="Microsoft New Tai Lue"/>
          <w:kern w:val="0"/>
          <w:sz w:val="24"/>
          <w:szCs w:val="24"/>
          <w:lang w:val="en-US" w:eastAsia="zh-CN"/>
        </w:rPr>
        <w:t>表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及其批复文件要求建设了相应的环保设施。验收组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对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竣工环保验收报告、验收监测数据报告和其它需要说明的事项进行了核实，按照《建设项目竣工环境保护验收暂行办法》等要求对建设项目配套建设的环境保护设施进行了验收。监测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结果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表明，有组织污染源、噪声均达标排放，废水、均得到合理处理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和处置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，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污染物排放量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满足总量控制要求。在建设过程中不存在违反国家和地方环境保护法律法规的行为，</w:t>
      </w:r>
      <w:r>
        <w:rPr>
          <w:rFonts w:ascii="Microsoft New Tai Lue" w:hAnsi="Microsoft New Tai Lue" w:cs="Microsoft New Tai Lue"/>
          <w:sz w:val="24"/>
          <w:szCs w:val="24"/>
        </w:rPr>
        <w:t>不存在</w:t>
      </w:r>
      <w:r>
        <w:rPr>
          <w:rFonts w:hint="eastAsia" w:ascii="Microsoft New Tai Lue" w:hAnsi="Microsoft New Tai Lue" w:cs="Microsoft New Tai Lue"/>
          <w:sz w:val="24"/>
          <w:szCs w:val="24"/>
        </w:rPr>
        <w:t>环保部</w:t>
      </w:r>
      <w:r>
        <w:rPr>
          <w:rFonts w:ascii="Microsoft New Tai Lue" w:hAnsi="Microsoft New Tai Lue" w:cs="Microsoft New Tai Lue"/>
          <w:sz w:val="24"/>
          <w:szCs w:val="24"/>
        </w:rPr>
        <w:t>规定的验收不合格情形，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同意项目通过竣工环境保护验收。</w:t>
      </w:r>
    </w:p>
    <w:p>
      <w:pPr>
        <w:pStyle w:val="2"/>
        <w:rPr>
          <w:rFonts w:ascii="Microsoft New Tai Lue" w:hAnsi="Microsoft New Tai Lue" w:cs="Microsoft New Tai Lue"/>
          <w:kern w:val="0"/>
          <w:sz w:val="24"/>
          <w:szCs w:val="24"/>
        </w:rPr>
      </w:pPr>
    </w:p>
    <w:p/>
    <w:p>
      <w:pPr>
        <w:autoSpaceDE w:val="0"/>
        <w:autoSpaceDN w:val="0"/>
        <w:spacing w:line="420" w:lineRule="exact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20" w:lineRule="exact"/>
        <w:jc w:val="right"/>
        <w:textAlignment w:val="auto"/>
        <w:rPr>
          <w:rFonts w:hint="default" w:ascii="Microsoft New Tai Lue" w:hAnsi="Microsoft New Tai Lue" w:eastAsia="宋体" w:cs="Microsoft New Tai Lue"/>
          <w:kern w:val="0"/>
          <w:sz w:val="24"/>
          <w:szCs w:val="24"/>
          <w:lang w:val="en-US" w:eastAsia="zh-CN"/>
        </w:rPr>
      </w:pPr>
      <w:r>
        <w:rPr>
          <w:rFonts w:hint="eastAsia" w:ascii="Microsoft New Tai Lue" w:hAnsi="Microsoft New Tai Lue" w:cs="Microsoft New Tai Lue"/>
          <w:kern w:val="0"/>
          <w:sz w:val="24"/>
          <w:szCs w:val="24"/>
          <w:lang w:val="en-US" w:eastAsia="zh-CN"/>
        </w:rPr>
        <w:t>2020年4月27日</w:t>
      </w:r>
    </w:p>
    <w:p>
      <w:pPr>
        <w:autoSpaceDE w:val="0"/>
        <w:autoSpaceDN w:val="0"/>
        <w:adjustRightInd w:val="0"/>
        <w:spacing w:line="540" w:lineRule="exact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40" w:lineRule="exact"/>
        <w:ind w:firstLine="560" w:firstLineChars="200"/>
        <w:rPr>
          <w:rFonts w:ascii="Microsoft New Tai Lue" w:hAnsi="Microsoft New Tai Lue" w:cs="Microsoft New Tai Lue"/>
          <w:bCs/>
          <w:color w:val="FF0000"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701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New Tai Lue">
    <w:panose1 w:val="020B0502040204020203"/>
    <w:charset w:val="00"/>
    <w:family w:val="swiss"/>
    <w:pitch w:val="default"/>
    <w:sig w:usb0="00000003" w:usb1="00000000" w:usb2="8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A5988E"/>
    <w:multiLevelType w:val="singleLevel"/>
    <w:tmpl w:val="3AA5988E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993"/>
    <w:rsid w:val="002543B6"/>
    <w:rsid w:val="00322993"/>
    <w:rsid w:val="003A33D7"/>
    <w:rsid w:val="004807E1"/>
    <w:rsid w:val="00483C2F"/>
    <w:rsid w:val="00532776"/>
    <w:rsid w:val="005D2832"/>
    <w:rsid w:val="005F7F5F"/>
    <w:rsid w:val="006A61C7"/>
    <w:rsid w:val="006D50D2"/>
    <w:rsid w:val="009B4C6D"/>
    <w:rsid w:val="00A404F9"/>
    <w:rsid w:val="00AE6A79"/>
    <w:rsid w:val="00BF05FC"/>
    <w:rsid w:val="00C158D1"/>
    <w:rsid w:val="00C80B95"/>
    <w:rsid w:val="00CA1C7F"/>
    <w:rsid w:val="00F30985"/>
    <w:rsid w:val="08CD125A"/>
    <w:rsid w:val="0C6578C0"/>
    <w:rsid w:val="0FD2443E"/>
    <w:rsid w:val="10025621"/>
    <w:rsid w:val="14ED1B76"/>
    <w:rsid w:val="187C624A"/>
    <w:rsid w:val="26923CD4"/>
    <w:rsid w:val="2CD53359"/>
    <w:rsid w:val="317A2463"/>
    <w:rsid w:val="33D75B3E"/>
    <w:rsid w:val="34C217D8"/>
    <w:rsid w:val="43904295"/>
    <w:rsid w:val="504B297E"/>
    <w:rsid w:val="552D3739"/>
    <w:rsid w:val="59861624"/>
    <w:rsid w:val="5ADA0537"/>
    <w:rsid w:val="668D196C"/>
    <w:rsid w:val="6B7D2D3B"/>
    <w:rsid w:val="71470CA7"/>
    <w:rsid w:val="78BF4385"/>
    <w:rsid w:val="7BCC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next w:val="1"/>
    <w:qFormat/>
    <w:uiPriority w:val="0"/>
    <w:pPr>
      <w:widowControl w:val="0"/>
      <w:spacing w:after="120"/>
      <w:ind w:left="1440" w:leftChars="700" w:right="700" w:rightChars="700"/>
      <w:jc w:val="both"/>
    </w:pPr>
    <w:rPr>
      <w:rFonts w:ascii="Times New Roman" w:hAnsi="Times New Roman" w:eastAsia="宋体"/>
      <w:kern w:val="2"/>
      <w:sz w:val="21"/>
      <w:szCs w:val="21"/>
    </w:rPr>
  </w:style>
  <w:style w:type="paragraph" w:styleId="4">
    <w:name w:val="annotation text"/>
    <w:basedOn w:val="1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rFonts w:cs="Times New Roman"/>
    </w:rPr>
  </w:style>
  <w:style w:type="paragraph" w:styleId="6">
    <w:name w:val="Plain Text"/>
    <w:basedOn w:val="1"/>
    <w:link w:val="17"/>
    <w:qFormat/>
    <w:uiPriority w:val="0"/>
    <w:pPr>
      <w:spacing w:line="360" w:lineRule="auto"/>
    </w:pPr>
    <w:rPr>
      <w:rFonts w:ascii="宋体" w:hAnsi="Courier New" w:cs="Times New Roman"/>
      <w:sz w:val="24"/>
      <w:szCs w:val="24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正文文本缩进 Char"/>
    <w:link w:val="13"/>
    <w:semiHidden/>
    <w:qFormat/>
    <w:uiPriority w:val="0"/>
    <w:rPr>
      <w:rFonts w:ascii="Calibri" w:hAnsi="Calibri" w:eastAsia="宋体" w:cs="Times New Roman"/>
    </w:rPr>
  </w:style>
  <w:style w:type="paragraph" w:customStyle="1" w:styleId="13">
    <w:name w:val="正文文本缩进1"/>
    <w:basedOn w:val="1"/>
    <w:link w:val="12"/>
    <w:qFormat/>
    <w:uiPriority w:val="0"/>
    <w:pPr>
      <w:spacing w:after="120"/>
      <w:ind w:left="420" w:leftChars="200"/>
    </w:pPr>
    <w:rPr>
      <w:rFonts w:cs="Times New Roman"/>
    </w:rPr>
  </w:style>
  <w:style w:type="character" w:customStyle="1" w:styleId="14">
    <w:name w:val="页脚 Char"/>
    <w:link w:val="7"/>
    <w:semiHidden/>
    <w:qFormat/>
    <w:uiPriority w:val="0"/>
    <w:rPr>
      <w:sz w:val="18"/>
      <w:szCs w:val="18"/>
    </w:rPr>
  </w:style>
  <w:style w:type="character" w:customStyle="1" w:styleId="15">
    <w:name w:val="页眉 Char"/>
    <w:link w:val="8"/>
    <w:semiHidden/>
    <w:qFormat/>
    <w:uiPriority w:val="0"/>
    <w:rPr>
      <w:sz w:val="18"/>
      <w:szCs w:val="18"/>
    </w:rPr>
  </w:style>
  <w:style w:type="paragraph" w:customStyle="1" w:styleId="16">
    <w:name w:val="列出段落1"/>
    <w:basedOn w:val="1"/>
    <w:qFormat/>
    <w:uiPriority w:val="0"/>
    <w:pPr>
      <w:ind w:firstLine="420" w:firstLineChars="200"/>
    </w:pPr>
  </w:style>
  <w:style w:type="character" w:customStyle="1" w:styleId="17">
    <w:name w:val="纯文本 Char"/>
    <w:basedOn w:val="11"/>
    <w:link w:val="6"/>
    <w:qFormat/>
    <w:uiPriority w:val="0"/>
    <w:rPr>
      <w:rFonts w:ascii="宋体" w:hAnsi="Courier New"/>
      <w:kern w:val="2"/>
      <w:sz w:val="24"/>
      <w:szCs w:val="24"/>
    </w:rPr>
  </w:style>
  <w:style w:type="character" w:customStyle="1" w:styleId="18">
    <w:name w:val="表格 Char Char"/>
    <w:link w:val="19"/>
    <w:qFormat/>
    <w:uiPriority w:val="0"/>
    <w:rPr>
      <w:rFonts w:ascii="宋体" w:hAnsi="宋体"/>
      <w:kern w:val="28"/>
      <w:szCs w:val="21"/>
    </w:rPr>
  </w:style>
  <w:style w:type="paragraph" w:customStyle="1" w:styleId="19">
    <w:name w:val="表格"/>
    <w:basedOn w:val="1"/>
    <w:link w:val="18"/>
    <w:qFormat/>
    <w:uiPriority w:val="0"/>
    <w:pPr>
      <w:jc w:val="center"/>
    </w:pPr>
    <w:rPr>
      <w:rFonts w:ascii="宋体" w:hAnsi="宋体" w:cs="Times New Roman"/>
      <w:kern w:val="28"/>
      <w:sz w:val="20"/>
      <w:szCs w:val="21"/>
    </w:rPr>
  </w:style>
  <w:style w:type="paragraph" w:customStyle="1" w:styleId="2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1">
    <w:name w:val="p0"/>
    <w:basedOn w:val="1"/>
    <w:qFormat/>
    <w:uiPriority w:val="0"/>
    <w:pPr>
      <w:widowControl/>
      <w:jc w:val="left"/>
    </w:pPr>
    <w:rPr>
      <w:rFonts w:cs="宋体"/>
      <w:kern w:val="0"/>
      <w:szCs w:val="21"/>
    </w:rPr>
  </w:style>
  <w:style w:type="paragraph" w:customStyle="1" w:styleId="22">
    <w:name w:val="验收监测表 标题1"/>
    <w:basedOn w:val="3"/>
    <w:qFormat/>
    <w:uiPriority w:val="0"/>
    <w:pPr>
      <w:tabs>
        <w:tab w:val="left" w:pos="480"/>
      </w:tabs>
      <w:adjustRightInd w:val="0"/>
      <w:snapToGrid w:val="0"/>
      <w:spacing w:before="0" w:after="0" w:line="240" w:lineRule="auto"/>
      <w:ind w:left="851"/>
      <w:jc w:val="left"/>
    </w:pPr>
    <w:rPr>
      <w:rFonts w:eastAsia="黑体" w:cs="Arial" w:asciiTheme="minorHAnsi" w:hAnsiTheme="minorHAnsi"/>
      <w:bCs w:val="0"/>
      <w:snapToGrid w:val="0"/>
      <w:sz w:val="30"/>
      <w:szCs w:val="32"/>
    </w:rPr>
  </w:style>
  <w:style w:type="paragraph" w:customStyle="1" w:styleId="23">
    <w:name w:val="样式 小四 加粗 行距: 固定值 25 磅"/>
    <w:basedOn w:val="1"/>
    <w:qFormat/>
    <w:uiPriority w:val="0"/>
    <w:pPr>
      <w:adjustRightInd/>
      <w:jc w:val="center"/>
    </w:pPr>
    <w:rPr>
      <w:rFonts w:ascii="仿宋_GB2312" w:eastAsia="仿宋_GB2312"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766</Words>
  <Characters>4368</Characters>
  <Lines>36</Lines>
  <Paragraphs>10</Paragraphs>
  <TotalTime>11</TotalTime>
  <ScaleCrop>false</ScaleCrop>
  <LinksUpToDate>false</LinksUpToDate>
  <CharactersWithSpaces>5124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2019-01-18T11:47:00Z</dcterms:created>
  <dc:creator>刘黎</dc:creator>
  <cp:lastModifiedBy>曲朝峰</cp:lastModifiedBy>
  <cp:lastPrinted>2019-01-22T08:31:00Z</cp:lastPrinted>
  <dcterms:modified xsi:type="dcterms:W3CDTF">2020-06-24T09:25:17Z</dcterms:modified>
  <dc:title>Administrator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