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360" w:lineRule="auto"/>
        <w:textAlignment w:val="auto"/>
        <w:rPr>
          <w:rFonts w:hint="eastAsia"/>
          <w:b/>
          <w:bCs/>
          <w:sz w:val="28"/>
          <w:szCs w:val="28"/>
          <w:lang w:eastAsia="zh-CN"/>
        </w:rPr>
      </w:pPr>
      <w:r>
        <w:rPr>
          <w:rFonts w:hint="eastAsia"/>
          <w:b/>
          <w:bCs/>
          <w:sz w:val="28"/>
          <w:szCs w:val="28"/>
        </w:rPr>
        <w:drawing>
          <wp:anchor distT="0" distB="0" distL="114300" distR="114300" simplePos="0" relativeHeight="252496896" behindDoc="0" locked="0" layoutInCell="1" allowOverlap="1">
            <wp:simplePos x="0" y="0"/>
            <wp:positionH relativeFrom="column">
              <wp:posOffset>10795</wp:posOffset>
            </wp:positionH>
            <wp:positionV relativeFrom="paragraph">
              <wp:posOffset>62230</wp:posOffset>
            </wp:positionV>
            <wp:extent cx="1714500" cy="574675"/>
            <wp:effectExtent l="0" t="0" r="0" b="15875"/>
            <wp:wrapNone/>
            <wp:docPr id="4" name="Picture 1772" descr="20090923025552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772" descr="20090923025552687"/>
                    <pic:cNvPicPr>
                      <a:picLocks noChangeAspect="1"/>
                    </pic:cNvPicPr>
                  </pic:nvPicPr>
                  <pic:blipFill>
                    <a:blip r:embed="rId5"/>
                    <a:stretch>
                      <a:fillRect/>
                    </a:stretch>
                  </pic:blipFill>
                  <pic:spPr>
                    <a:xfrm>
                      <a:off x="0" y="0"/>
                      <a:ext cx="1714500" cy="574675"/>
                    </a:xfrm>
                    <a:prstGeom prst="rect">
                      <a:avLst/>
                    </a:prstGeom>
                    <a:noFill/>
                    <a:ln w="9525">
                      <a:noFill/>
                    </a:ln>
                  </pic:spPr>
                </pic:pic>
              </a:graphicData>
            </a:graphic>
          </wp:anchor>
        </w:drawing>
      </w:r>
    </w:p>
    <w:p>
      <w:pPr>
        <w:pStyle w:val="2"/>
        <w:rPr>
          <w:rFonts w:hint="eastAsia"/>
          <w:b/>
          <w:bCs/>
          <w:sz w:val="28"/>
          <w:szCs w:val="28"/>
          <w:lang w:eastAsia="zh-CN"/>
        </w:rPr>
      </w:pPr>
    </w:p>
    <w:p>
      <w:pPr>
        <w:pStyle w:val="2"/>
        <w:rPr>
          <w:rFonts w:hint="eastAsia"/>
          <w:b/>
          <w:bCs/>
          <w:sz w:val="28"/>
          <w:szCs w:val="28"/>
          <w:lang w:eastAsia="zh-CN"/>
        </w:rPr>
      </w:pPr>
    </w:p>
    <w:p>
      <w:pPr>
        <w:pStyle w:val="2"/>
        <w:rPr>
          <w:rFonts w:hint="eastAsia"/>
          <w:b/>
          <w:bCs/>
          <w:sz w:val="28"/>
          <w:szCs w:val="28"/>
          <w:lang w:eastAsia="zh-CN"/>
        </w:rPr>
      </w:pPr>
    </w:p>
    <w:p>
      <w:pPr>
        <w:pStyle w:val="2"/>
        <w:rPr>
          <w:rFonts w:hint="eastAsia"/>
          <w:b/>
          <w:bCs/>
          <w:sz w:val="28"/>
          <w:szCs w:val="28"/>
          <w:lang w:eastAsia="zh-CN"/>
        </w:rPr>
      </w:pPr>
    </w:p>
    <w:p>
      <w:pPr>
        <w:pStyle w:val="2"/>
        <w:jc w:val="center"/>
        <w:rPr>
          <w:rFonts w:hint="eastAsia" w:asciiTheme="majorEastAsia" w:hAnsiTheme="majorEastAsia" w:eastAsiaTheme="majorEastAsia" w:cstheme="majorEastAsia"/>
          <w:b/>
          <w:bCs/>
          <w:sz w:val="56"/>
          <w:szCs w:val="56"/>
        </w:rPr>
      </w:pPr>
      <w:r>
        <w:rPr>
          <w:rFonts w:hint="eastAsia" w:asciiTheme="majorEastAsia" w:hAnsiTheme="majorEastAsia" w:eastAsiaTheme="majorEastAsia" w:cstheme="majorEastAsia"/>
          <w:b/>
          <w:bCs/>
          <w:sz w:val="56"/>
          <w:szCs w:val="56"/>
          <w:lang w:eastAsia="zh-CN"/>
        </w:rPr>
        <w:t>山西太钢不锈钢股份有限公司</w:t>
      </w:r>
    </w:p>
    <w:p>
      <w:pPr>
        <w:pStyle w:val="2"/>
        <w:jc w:val="center"/>
        <w:rPr>
          <w:rFonts w:hint="eastAsia" w:asciiTheme="majorEastAsia" w:hAnsiTheme="majorEastAsia" w:eastAsiaTheme="majorEastAsia" w:cstheme="majorEastAsia"/>
          <w:b/>
          <w:bCs/>
          <w:sz w:val="40"/>
          <w:szCs w:val="40"/>
          <w:lang w:val="en-US" w:eastAsia="zh-CN"/>
        </w:rPr>
      </w:pPr>
      <w:r>
        <w:rPr>
          <w:rFonts w:hint="eastAsia" w:asciiTheme="majorEastAsia" w:hAnsiTheme="majorEastAsia" w:eastAsiaTheme="majorEastAsia" w:cstheme="majorEastAsia"/>
          <w:b/>
          <w:bCs/>
          <w:sz w:val="40"/>
          <w:szCs w:val="40"/>
          <w:lang w:val="en-US" w:eastAsia="zh-CN"/>
        </w:rPr>
        <w:t>2013年节能技术改造项目</w:t>
      </w:r>
    </w:p>
    <w:p>
      <w:pPr>
        <w:pStyle w:val="2"/>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40"/>
          <w:szCs w:val="40"/>
        </w:rPr>
        <w:t>竣工环境保护</w:t>
      </w:r>
      <w:r>
        <w:rPr>
          <w:rFonts w:hint="eastAsia" w:asciiTheme="majorEastAsia" w:hAnsiTheme="majorEastAsia" w:eastAsiaTheme="majorEastAsia" w:cstheme="majorEastAsia"/>
          <w:b/>
          <w:bCs/>
          <w:sz w:val="40"/>
          <w:szCs w:val="40"/>
          <w:lang w:eastAsia="zh-CN"/>
        </w:rPr>
        <w:t>验收</w:t>
      </w:r>
      <w:r>
        <w:rPr>
          <w:rFonts w:hint="eastAsia" w:asciiTheme="majorEastAsia" w:hAnsiTheme="majorEastAsia" w:eastAsiaTheme="majorEastAsia" w:cstheme="majorEastAsia"/>
          <w:b/>
          <w:bCs/>
          <w:sz w:val="40"/>
          <w:szCs w:val="40"/>
        </w:rPr>
        <w:t>其他情况说明</w:t>
      </w:r>
    </w:p>
    <w:p>
      <w:pPr>
        <w:pStyle w:val="2"/>
        <w:jc w:val="center"/>
        <w:rPr>
          <w:rFonts w:hint="eastAsia"/>
          <w:b/>
          <w:bCs/>
          <w:sz w:val="32"/>
          <w:szCs w:val="32"/>
        </w:rPr>
      </w:pPr>
    </w:p>
    <w:p>
      <w:pPr>
        <w:pStyle w:val="2"/>
        <w:jc w:val="center"/>
        <w:rPr>
          <w:rFonts w:hint="eastAsia"/>
          <w:b/>
          <w:bCs/>
          <w:sz w:val="32"/>
          <w:szCs w:val="32"/>
        </w:rPr>
      </w:pPr>
    </w:p>
    <w:p>
      <w:pPr>
        <w:pStyle w:val="2"/>
        <w:jc w:val="center"/>
        <w:rPr>
          <w:rFonts w:hint="eastAsia"/>
          <w:b/>
          <w:bCs/>
          <w:sz w:val="32"/>
          <w:szCs w:val="32"/>
        </w:rPr>
      </w:pPr>
    </w:p>
    <w:p>
      <w:pPr>
        <w:pStyle w:val="2"/>
        <w:jc w:val="center"/>
        <w:rPr>
          <w:rFonts w:hint="eastAsia"/>
          <w:b/>
          <w:bCs/>
          <w:sz w:val="32"/>
          <w:szCs w:val="32"/>
        </w:rPr>
      </w:pPr>
    </w:p>
    <w:p>
      <w:pPr>
        <w:pStyle w:val="2"/>
        <w:jc w:val="center"/>
        <w:rPr>
          <w:rFonts w:hint="eastAsia"/>
          <w:b/>
          <w:bCs/>
          <w:sz w:val="32"/>
          <w:szCs w:val="32"/>
        </w:rPr>
      </w:pPr>
    </w:p>
    <w:p>
      <w:pPr>
        <w:keepNext w:val="0"/>
        <w:keepLines w:val="0"/>
        <w:pageBreakBefore w:val="0"/>
        <w:kinsoku/>
        <w:wordWrap/>
        <w:overflowPunct/>
        <w:topLinePunct w:val="0"/>
        <w:bidi w:val="0"/>
        <w:spacing w:line="360" w:lineRule="auto"/>
        <w:textAlignment w:val="auto"/>
        <w:rPr>
          <w:rFonts w:hint="eastAsia"/>
          <w:b/>
          <w:bCs/>
          <w:sz w:val="28"/>
          <w:szCs w:val="28"/>
          <w:lang w:eastAsia="zh-CN"/>
        </w:rPr>
      </w:pPr>
    </w:p>
    <w:p>
      <w:pPr>
        <w:pStyle w:val="2"/>
        <w:rPr>
          <w:rFonts w:hint="eastAsia"/>
          <w:b/>
          <w:bCs/>
          <w:sz w:val="28"/>
          <w:szCs w:val="28"/>
          <w:lang w:eastAsia="zh-CN"/>
        </w:rPr>
      </w:pPr>
    </w:p>
    <w:p>
      <w:pPr>
        <w:pStyle w:val="2"/>
        <w:rPr>
          <w:rFonts w:hint="eastAsia"/>
          <w:b/>
          <w:bCs/>
          <w:sz w:val="28"/>
          <w:szCs w:val="28"/>
          <w:lang w:eastAsia="zh-CN"/>
        </w:rPr>
      </w:pPr>
      <w:bookmarkStart w:id="64" w:name="_GoBack"/>
      <w:bookmarkEnd w:id="64"/>
    </w:p>
    <w:p>
      <w:pPr>
        <w:keepNext w:val="0"/>
        <w:keepLines w:val="0"/>
        <w:pageBreakBefore w:val="0"/>
        <w:kinsoku/>
        <w:wordWrap/>
        <w:overflowPunct/>
        <w:topLinePunct w:val="0"/>
        <w:bidi w:val="0"/>
        <w:spacing w:line="360" w:lineRule="auto"/>
        <w:textAlignment w:val="auto"/>
        <w:rPr>
          <w:rFonts w:hint="eastAsia"/>
          <w:b/>
          <w:bCs/>
          <w:sz w:val="28"/>
          <w:szCs w:val="28"/>
          <w:lang w:eastAsia="zh-CN"/>
        </w:rPr>
      </w:pPr>
    </w:p>
    <w:p>
      <w:pPr>
        <w:keepNext w:val="0"/>
        <w:keepLines w:val="0"/>
        <w:pageBreakBefore w:val="0"/>
        <w:kinsoku/>
        <w:wordWrap/>
        <w:overflowPunct/>
        <w:topLinePunct w:val="0"/>
        <w:bidi w:val="0"/>
        <w:spacing w:line="360" w:lineRule="auto"/>
        <w:jc w:val="center"/>
        <w:textAlignment w:val="auto"/>
        <w:rPr>
          <w:rFonts w:hint="eastAsia" w:ascii="仿宋_GB2312" w:hAnsi="仿宋_GB2312" w:eastAsia="仿宋_GB2312" w:cs="仿宋_GB2312"/>
          <w:b/>
          <w:bCs/>
          <w:sz w:val="40"/>
          <w:szCs w:val="40"/>
          <w:lang w:eastAsia="zh-CN"/>
        </w:rPr>
      </w:pPr>
      <w:r>
        <w:rPr>
          <w:rFonts w:hint="eastAsia" w:ascii="仿宋_GB2312" w:hAnsi="仿宋_GB2312" w:eastAsia="仿宋_GB2312" w:cs="仿宋_GB2312"/>
          <w:b/>
          <w:bCs/>
          <w:sz w:val="40"/>
          <w:szCs w:val="40"/>
          <w:lang w:eastAsia="zh-CN"/>
        </w:rPr>
        <w:t>山西太钢不锈钢股份有限公司</w:t>
      </w:r>
    </w:p>
    <w:p>
      <w:pPr>
        <w:spacing w:line="360" w:lineRule="auto"/>
        <w:jc w:val="center"/>
        <w:rPr>
          <w:rFonts w:hint="eastAsia" w:ascii="仿宋_GB2312" w:hAnsi="华文楷体" w:eastAsia="仿宋_GB2312"/>
          <w:b/>
          <w:sz w:val="40"/>
          <w:szCs w:val="40"/>
        </w:rPr>
      </w:pPr>
      <w:r>
        <w:rPr>
          <w:rFonts w:hint="eastAsia" w:ascii="仿宋_GB2312" w:hAnsi="华文楷体" w:eastAsia="仿宋_GB2312"/>
          <w:b/>
          <w:sz w:val="40"/>
          <w:szCs w:val="40"/>
        </w:rPr>
        <w:t>二</w:t>
      </w:r>
      <w:r>
        <w:rPr>
          <w:rFonts w:hint="eastAsia" w:ascii="宋体" w:hAnsi="宋体" w:cs="宋体"/>
          <w:b/>
          <w:sz w:val="40"/>
          <w:szCs w:val="40"/>
        </w:rPr>
        <w:t>〇</w:t>
      </w:r>
      <w:r>
        <w:rPr>
          <w:rFonts w:hint="eastAsia" w:ascii="仿宋_GB2312" w:hAnsi="仿宋_GB2312" w:eastAsia="仿宋_GB2312" w:cs="仿宋_GB2312"/>
          <w:b/>
          <w:sz w:val="40"/>
          <w:szCs w:val="40"/>
        </w:rPr>
        <w:t>一八年十</w:t>
      </w:r>
      <w:r>
        <w:rPr>
          <w:rFonts w:hint="eastAsia" w:ascii="仿宋_GB2312" w:hAnsi="仿宋_GB2312" w:eastAsia="仿宋_GB2312" w:cs="仿宋_GB2312"/>
          <w:b/>
          <w:sz w:val="40"/>
          <w:szCs w:val="40"/>
          <w:lang w:eastAsia="zh-CN"/>
        </w:rPr>
        <w:t>二</w:t>
      </w:r>
      <w:r>
        <w:rPr>
          <w:rFonts w:hint="eastAsia" w:ascii="仿宋_GB2312" w:hAnsi="华文楷体" w:eastAsia="仿宋_GB2312"/>
          <w:b/>
          <w:sz w:val="40"/>
          <w:szCs w:val="40"/>
        </w:rPr>
        <w:t>月</w:t>
      </w:r>
    </w:p>
    <w:p>
      <w:pPr>
        <w:pStyle w:val="2"/>
        <w:rPr>
          <w:rFonts w:hint="eastAsia" w:ascii="仿宋_GB2312" w:hAnsi="华文楷体" w:eastAsia="仿宋_GB2312"/>
          <w:b/>
          <w:sz w:val="40"/>
          <w:szCs w:val="40"/>
        </w:rPr>
      </w:pPr>
    </w:p>
    <w:p>
      <w:pPr>
        <w:pStyle w:val="2"/>
        <w:rPr>
          <w:rFonts w:hint="eastAsia" w:ascii="仿宋_GB2312" w:hAnsi="华文楷体" w:eastAsia="仿宋_GB2312"/>
          <w:b/>
          <w:sz w:val="40"/>
          <w:szCs w:val="40"/>
        </w:rPr>
      </w:pPr>
    </w:p>
    <w:p>
      <w:pPr>
        <w:pStyle w:val="2"/>
        <w:rPr>
          <w:rFonts w:hint="eastAsia" w:ascii="仿宋_GB2312" w:hAnsi="华文楷体" w:eastAsia="仿宋_GB2312"/>
          <w:b/>
          <w:sz w:val="40"/>
          <w:szCs w:val="40"/>
        </w:rPr>
      </w:pPr>
    </w:p>
    <w:sdt>
      <w:sdtPr>
        <w:rPr>
          <w:rFonts w:ascii="宋体" w:hAnsi="宋体" w:eastAsia="宋体" w:cstheme="minorBidi"/>
          <w:b/>
          <w:bCs/>
          <w:kern w:val="2"/>
          <w:sz w:val="32"/>
          <w:szCs w:val="32"/>
          <w:lang w:val="en-US" w:eastAsia="zh-CN" w:bidi="ar-SA"/>
        </w:rPr>
        <w:id w:val="147460465"/>
      </w:sdtPr>
      <w:sdtEndPr>
        <w:rPr>
          <w:rFonts w:hint="default" w:ascii="Times New Roman" w:hAnsi="Times New Roman" w:cs="Times New Roman" w:eastAsiaTheme="minorEastAsia"/>
          <w:b/>
          <w:bCs/>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b/>
              <w:bCs/>
              <w:sz w:val="32"/>
              <w:szCs w:val="32"/>
            </w:rPr>
          </w:pPr>
          <w:bookmarkStart w:id="0" w:name="_Toc27266_WPSOffice_Type3"/>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pPr>
            <w:pStyle w:val="20"/>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_Toc22068_WPSOffice_Level1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0b676a52-46bb-4aa1-b993-5287513bd33c}"/>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一、企业概括</w:t>
              </w:r>
            </w:sdtContent>
          </w:sdt>
          <w:r>
            <w:rPr>
              <w:rFonts w:hint="default" w:ascii="Times New Roman" w:hAnsi="Times New Roman" w:cs="Times New Roman" w:eastAsiaTheme="minorEastAsia"/>
              <w:sz w:val="28"/>
              <w:szCs w:val="28"/>
            </w:rPr>
            <w:tab/>
          </w:r>
          <w:bookmarkStart w:id="1" w:name="_Toc22068_WPSOffice_Level1Page"/>
          <w:r>
            <w:rPr>
              <w:rFonts w:hint="default" w:ascii="Times New Roman" w:hAnsi="Times New Roman" w:cs="Times New Roman" w:eastAsiaTheme="minorEastAsia"/>
              <w:sz w:val="28"/>
              <w:szCs w:val="28"/>
            </w:rPr>
            <w:t>4</w:t>
          </w:r>
          <w:bookmarkEnd w:id="1"/>
          <w:r>
            <w:rPr>
              <w:rFonts w:hint="default" w:ascii="Times New Roman" w:hAnsi="Times New Roman" w:cs="Times New Roman" w:eastAsiaTheme="minorEastAsia"/>
              <w:sz w:val="28"/>
              <w:szCs w:val="28"/>
            </w:rPr>
            <w:fldChar w:fldCharType="end"/>
          </w:r>
        </w:p>
        <w:p>
          <w:pPr>
            <w:pStyle w:val="20"/>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_Toc27266_WPSOffice_Level1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449f847a-1fd0-4a0f-aefc-cee6b22c936f}"/>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二、 项目概括</w:t>
              </w:r>
            </w:sdtContent>
          </w:sdt>
          <w:r>
            <w:rPr>
              <w:rFonts w:hint="default" w:ascii="Times New Roman" w:hAnsi="Times New Roman" w:cs="Times New Roman" w:eastAsiaTheme="minorEastAsia"/>
              <w:sz w:val="28"/>
              <w:szCs w:val="28"/>
            </w:rPr>
            <w:tab/>
          </w:r>
          <w:bookmarkStart w:id="2" w:name="_Toc27266_WPSOffice_Level1Page"/>
          <w:r>
            <w:rPr>
              <w:rFonts w:hint="default" w:ascii="Times New Roman" w:hAnsi="Times New Roman" w:cs="Times New Roman" w:eastAsiaTheme="minorEastAsia"/>
              <w:sz w:val="28"/>
              <w:szCs w:val="28"/>
            </w:rPr>
            <w:t>4</w:t>
          </w:r>
          <w:bookmarkEnd w:id="2"/>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_Toc27266_WPSOffice_Level2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657f06da-ba94-47f5-8f3c-9e5cb788761a}"/>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（一） 地理位置及平面布置</w:t>
              </w:r>
            </w:sdtContent>
          </w:sdt>
          <w:r>
            <w:rPr>
              <w:rFonts w:hint="default" w:ascii="Times New Roman" w:hAnsi="Times New Roman" w:cs="Times New Roman" w:eastAsiaTheme="minorEastAsia"/>
              <w:sz w:val="28"/>
              <w:szCs w:val="28"/>
            </w:rPr>
            <w:tab/>
          </w:r>
          <w:bookmarkStart w:id="3" w:name="_Toc27266_WPSOffice_Level2Page"/>
          <w:r>
            <w:rPr>
              <w:rFonts w:hint="default" w:ascii="Times New Roman" w:hAnsi="Times New Roman" w:cs="Times New Roman" w:eastAsiaTheme="minorEastAsia"/>
              <w:sz w:val="28"/>
              <w:szCs w:val="28"/>
            </w:rPr>
            <w:t>4</w:t>
          </w:r>
          <w:bookmarkEnd w:id="3"/>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_Toc9047_WPSOffice_Level2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5385b841-8748-4909-9a98-e615b23bdb9e}"/>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（二） 工程建设内容</w:t>
              </w:r>
            </w:sdtContent>
          </w:sdt>
          <w:r>
            <w:rPr>
              <w:rFonts w:hint="default" w:ascii="Times New Roman" w:hAnsi="Times New Roman" w:cs="Times New Roman" w:eastAsiaTheme="minorEastAsia"/>
              <w:sz w:val="28"/>
              <w:szCs w:val="28"/>
            </w:rPr>
            <w:tab/>
          </w:r>
          <w:bookmarkStart w:id="4" w:name="_Toc9047_WPSOffice_Level2Page"/>
          <w:r>
            <w:rPr>
              <w:rFonts w:hint="default" w:ascii="Times New Roman" w:hAnsi="Times New Roman" w:cs="Times New Roman" w:eastAsiaTheme="minorEastAsia"/>
              <w:sz w:val="28"/>
              <w:szCs w:val="28"/>
            </w:rPr>
            <w:t>5</w:t>
          </w:r>
          <w:bookmarkEnd w:id="4"/>
          <w:r>
            <w:rPr>
              <w:rFonts w:hint="default" w:ascii="Times New Roman" w:hAnsi="Times New Roman" w:cs="Times New Roman" w:eastAsiaTheme="minorEastAsia"/>
              <w:sz w:val="28"/>
              <w:szCs w:val="28"/>
            </w:rPr>
            <w:fldChar w:fldCharType="end"/>
          </w:r>
        </w:p>
        <w:p>
          <w:pPr>
            <w:pStyle w:val="22"/>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_Toc27266_WPSOffice_Level3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3dd29562-6dab-4a2c-ada7-c8cab67eb4ba}"/>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1、项目基本情况</w:t>
              </w:r>
            </w:sdtContent>
          </w:sdt>
          <w:r>
            <w:rPr>
              <w:rFonts w:hint="default" w:ascii="Times New Roman" w:hAnsi="Times New Roman" w:cs="Times New Roman" w:eastAsiaTheme="minorEastAsia"/>
              <w:sz w:val="28"/>
              <w:szCs w:val="28"/>
            </w:rPr>
            <w:tab/>
          </w:r>
          <w:bookmarkStart w:id="5" w:name="_Toc27266_WPSOffice_Level3Page"/>
          <w:r>
            <w:rPr>
              <w:rFonts w:hint="default" w:ascii="Times New Roman" w:hAnsi="Times New Roman" w:cs="Times New Roman" w:eastAsiaTheme="minorEastAsia"/>
              <w:sz w:val="28"/>
              <w:szCs w:val="28"/>
            </w:rPr>
            <w:t>5</w:t>
          </w:r>
          <w:bookmarkEnd w:id="5"/>
          <w:r>
            <w:rPr>
              <w:rFonts w:hint="default" w:ascii="Times New Roman" w:hAnsi="Times New Roman" w:cs="Times New Roman" w:eastAsiaTheme="minorEastAsia"/>
              <w:sz w:val="28"/>
              <w:szCs w:val="28"/>
            </w:rPr>
            <w:fldChar w:fldCharType="end"/>
          </w:r>
        </w:p>
        <w:p>
          <w:pPr>
            <w:pStyle w:val="22"/>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_Toc9047_WPSOffice_Level3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88b2858c-6125-4e45-91e2-c46b6dc9fc1f}"/>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2、工程建设内容</w:t>
              </w:r>
            </w:sdtContent>
          </w:sdt>
          <w:r>
            <w:rPr>
              <w:rFonts w:hint="default" w:ascii="Times New Roman" w:hAnsi="Times New Roman" w:cs="Times New Roman" w:eastAsiaTheme="minorEastAsia"/>
              <w:sz w:val="28"/>
              <w:szCs w:val="28"/>
            </w:rPr>
            <w:tab/>
          </w:r>
          <w:bookmarkStart w:id="6" w:name="_Toc9047_WPSOffice_Level3Page"/>
          <w:r>
            <w:rPr>
              <w:rFonts w:hint="default" w:ascii="Times New Roman" w:hAnsi="Times New Roman" w:cs="Times New Roman" w:eastAsiaTheme="minorEastAsia"/>
              <w:sz w:val="28"/>
              <w:szCs w:val="28"/>
            </w:rPr>
            <w:t>5</w:t>
          </w:r>
          <w:bookmarkEnd w:id="6"/>
          <w:r>
            <w:rPr>
              <w:rFonts w:hint="default" w:ascii="Times New Roman" w:hAnsi="Times New Roman" w:cs="Times New Roman" w:eastAsiaTheme="minorEastAsia"/>
              <w:sz w:val="28"/>
              <w:szCs w:val="28"/>
            </w:rPr>
            <w:fldChar w:fldCharType="end"/>
          </w:r>
        </w:p>
        <w:p>
          <w:pPr>
            <w:pStyle w:val="22"/>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_Toc24438_WPSOffice_Level3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7ea0c7fd-1d8b-49a5-aef2-abf93e035125}"/>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3、 投资概况</w:t>
              </w:r>
            </w:sdtContent>
          </w:sdt>
          <w:r>
            <w:rPr>
              <w:rFonts w:hint="default" w:ascii="Times New Roman" w:hAnsi="Times New Roman" w:cs="Times New Roman" w:eastAsiaTheme="minorEastAsia"/>
              <w:sz w:val="28"/>
              <w:szCs w:val="28"/>
            </w:rPr>
            <w:tab/>
          </w:r>
          <w:bookmarkStart w:id="7" w:name="_Toc24438_WPSOffice_Level3Page"/>
          <w:r>
            <w:rPr>
              <w:rFonts w:hint="default" w:ascii="Times New Roman" w:hAnsi="Times New Roman" w:cs="Times New Roman" w:eastAsiaTheme="minorEastAsia"/>
              <w:sz w:val="28"/>
              <w:szCs w:val="28"/>
            </w:rPr>
            <w:t>6</w:t>
          </w:r>
          <w:bookmarkEnd w:id="7"/>
          <w:r>
            <w:rPr>
              <w:rFonts w:hint="default" w:ascii="Times New Roman" w:hAnsi="Times New Roman" w:cs="Times New Roman" w:eastAsiaTheme="minorEastAsia"/>
              <w:sz w:val="28"/>
              <w:szCs w:val="28"/>
            </w:rPr>
            <w:fldChar w:fldCharType="end"/>
          </w:r>
        </w:p>
        <w:p>
          <w:pPr>
            <w:pStyle w:val="20"/>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_Toc9047_WPSOffice_Level1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deaaa3dc-8dc5-474f-9385-425a7110df47}"/>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三、 环境保护设施设计、施工和验收过程简介</w:t>
              </w:r>
            </w:sdtContent>
          </w:sdt>
          <w:r>
            <w:rPr>
              <w:rFonts w:hint="default" w:ascii="Times New Roman" w:hAnsi="Times New Roman" w:cs="Times New Roman" w:eastAsiaTheme="minorEastAsia"/>
              <w:sz w:val="28"/>
              <w:szCs w:val="28"/>
            </w:rPr>
            <w:tab/>
          </w:r>
          <w:bookmarkStart w:id="8" w:name="_Toc9047_WPSOffice_Level1Page"/>
          <w:r>
            <w:rPr>
              <w:rFonts w:hint="default" w:ascii="Times New Roman" w:hAnsi="Times New Roman" w:cs="Times New Roman" w:eastAsiaTheme="minorEastAsia"/>
              <w:sz w:val="28"/>
              <w:szCs w:val="28"/>
            </w:rPr>
            <w:t>6</w:t>
          </w:r>
          <w:bookmarkEnd w:id="8"/>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_Toc24438_WPSOffice_Level2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ff68e858-3114-4a23-8d42-65a4d6e5ff3a}"/>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（一）设计简况</w:t>
              </w:r>
            </w:sdtContent>
          </w:sdt>
          <w:r>
            <w:rPr>
              <w:rFonts w:hint="default" w:ascii="Times New Roman" w:hAnsi="Times New Roman" w:cs="Times New Roman" w:eastAsiaTheme="minorEastAsia"/>
              <w:sz w:val="28"/>
              <w:szCs w:val="28"/>
            </w:rPr>
            <w:tab/>
          </w:r>
          <w:bookmarkStart w:id="9" w:name="_Toc24438_WPSOffice_Level2Page"/>
          <w:r>
            <w:rPr>
              <w:rFonts w:hint="default" w:ascii="Times New Roman" w:hAnsi="Times New Roman" w:cs="Times New Roman" w:eastAsiaTheme="minorEastAsia"/>
              <w:sz w:val="28"/>
              <w:szCs w:val="28"/>
            </w:rPr>
            <w:t>7</w:t>
          </w:r>
          <w:bookmarkEnd w:id="9"/>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_Toc21805_WPSOffice_Level2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6d15c1f0-9363-42f9-aee7-f0fc0436cc20}"/>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（二）施工简况</w:t>
              </w:r>
            </w:sdtContent>
          </w:sdt>
          <w:r>
            <w:rPr>
              <w:rFonts w:hint="default" w:ascii="Times New Roman" w:hAnsi="Times New Roman" w:cs="Times New Roman" w:eastAsiaTheme="minorEastAsia"/>
              <w:sz w:val="28"/>
              <w:szCs w:val="28"/>
            </w:rPr>
            <w:tab/>
          </w:r>
          <w:bookmarkStart w:id="10" w:name="_Toc21805_WPSOffice_Level2Page"/>
          <w:r>
            <w:rPr>
              <w:rFonts w:hint="default" w:ascii="Times New Roman" w:hAnsi="Times New Roman" w:cs="Times New Roman" w:eastAsiaTheme="minorEastAsia"/>
              <w:sz w:val="28"/>
              <w:szCs w:val="28"/>
            </w:rPr>
            <w:t>7</w:t>
          </w:r>
          <w:bookmarkEnd w:id="10"/>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_Toc7165_WPSOffice_Level2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eae97df2-f71f-4aa7-94ba-adfdd8071331}"/>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（三）验收过程简况</w:t>
              </w:r>
            </w:sdtContent>
          </w:sdt>
          <w:r>
            <w:rPr>
              <w:rFonts w:hint="default" w:ascii="Times New Roman" w:hAnsi="Times New Roman" w:cs="Times New Roman" w:eastAsiaTheme="minorEastAsia"/>
              <w:sz w:val="28"/>
              <w:szCs w:val="28"/>
            </w:rPr>
            <w:tab/>
          </w:r>
          <w:bookmarkStart w:id="11" w:name="_Toc7165_WPSOffice_Level2Page"/>
          <w:r>
            <w:rPr>
              <w:rFonts w:hint="default" w:ascii="Times New Roman" w:hAnsi="Times New Roman" w:cs="Times New Roman" w:eastAsiaTheme="minorEastAsia"/>
              <w:sz w:val="28"/>
              <w:szCs w:val="28"/>
            </w:rPr>
            <w:t>8</w:t>
          </w:r>
          <w:bookmarkEnd w:id="11"/>
          <w:r>
            <w:rPr>
              <w:rFonts w:hint="default" w:ascii="Times New Roman" w:hAnsi="Times New Roman" w:cs="Times New Roman" w:eastAsiaTheme="minorEastAsia"/>
              <w:sz w:val="28"/>
              <w:szCs w:val="28"/>
            </w:rPr>
            <w:fldChar w:fldCharType="end"/>
          </w:r>
        </w:p>
        <w:p>
          <w:pPr>
            <w:pStyle w:val="20"/>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_Toc24438_WPSOffice_Level1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74c44454-6521-48e9-802e-daab7de5b227}"/>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四、 其它环境保护措施的落实情况</w:t>
              </w:r>
            </w:sdtContent>
          </w:sdt>
          <w:r>
            <w:rPr>
              <w:rFonts w:hint="default" w:ascii="Times New Roman" w:hAnsi="Times New Roman" w:cs="Times New Roman" w:eastAsiaTheme="minorEastAsia"/>
              <w:sz w:val="28"/>
              <w:szCs w:val="28"/>
            </w:rPr>
            <w:tab/>
          </w:r>
          <w:bookmarkStart w:id="12" w:name="_Toc24438_WPSOffice_Level1Page"/>
          <w:r>
            <w:rPr>
              <w:rFonts w:hint="default" w:ascii="Times New Roman" w:hAnsi="Times New Roman" w:cs="Times New Roman" w:eastAsiaTheme="minorEastAsia"/>
              <w:sz w:val="28"/>
              <w:szCs w:val="28"/>
            </w:rPr>
            <w:t>8</w:t>
          </w:r>
          <w:bookmarkEnd w:id="12"/>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_Toc7455_WPSOffice_Level2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28ad9b79-b649-4583-ac87-459347344e7e}"/>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（一） 环评设计建设与实际完成情况</w:t>
              </w:r>
            </w:sdtContent>
          </w:sdt>
          <w:r>
            <w:rPr>
              <w:rFonts w:hint="default" w:ascii="Times New Roman" w:hAnsi="Times New Roman" w:cs="Times New Roman" w:eastAsiaTheme="minorEastAsia"/>
              <w:sz w:val="28"/>
              <w:szCs w:val="28"/>
            </w:rPr>
            <w:tab/>
          </w:r>
          <w:bookmarkStart w:id="13" w:name="_Toc7455_WPSOffice_Level2Page"/>
          <w:r>
            <w:rPr>
              <w:rFonts w:hint="default" w:ascii="Times New Roman" w:hAnsi="Times New Roman" w:cs="Times New Roman" w:eastAsiaTheme="minorEastAsia"/>
              <w:sz w:val="28"/>
              <w:szCs w:val="28"/>
            </w:rPr>
            <w:t>8</w:t>
          </w:r>
          <w:bookmarkEnd w:id="13"/>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_Toc28851_WPSOffice_Level2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e8395216-1587-4582-90e0-abb6c258a7b0}"/>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（二） 环境影响报告书主要结论与建议</w:t>
              </w:r>
            </w:sdtContent>
          </w:sdt>
          <w:r>
            <w:rPr>
              <w:rFonts w:hint="default" w:ascii="Times New Roman" w:hAnsi="Times New Roman" w:cs="Times New Roman" w:eastAsiaTheme="minorEastAsia"/>
              <w:sz w:val="28"/>
              <w:szCs w:val="28"/>
            </w:rPr>
            <w:tab/>
          </w:r>
          <w:bookmarkStart w:id="14" w:name="_Toc28851_WPSOffice_Level2Page"/>
          <w:r>
            <w:rPr>
              <w:rFonts w:hint="default" w:ascii="Times New Roman" w:hAnsi="Times New Roman" w:cs="Times New Roman" w:eastAsiaTheme="minorEastAsia"/>
              <w:sz w:val="28"/>
              <w:szCs w:val="28"/>
            </w:rPr>
            <w:t>8</w:t>
          </w:r>
          <w:bookmarkEnd w:id="14"/>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_Toc10749_WPSOffice_Level2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e875dbb4-b901-4303-92bf-c460ee9de5f5}"/>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（三）审批部门审批决定表</w:t>
              </w:r>
            </w:sdtContent>
          </w:sdt>
          <w:r>
            <w:rPr>
              <w:rFonts w:hint="default" w:ascii="Times New Roman" w:hAnsi="Times New Roman" w:cs="Times New Roman" w:eastAsiaTheme="minorEastAsia"/>
              <w:sz w:val="28"/>
              <w:szCs w:val="28"/>
            </w:rPr>
            <w:tab/>
          </w:r>
          <w:bookmarkStart w:id="15" w:name="_Toc10749_WPSOffice_Level2Page"/>
          <w:r>
            <w:rPr>
              <w:rFonts w:hint="default" w:ascii="Times New Roman" w:hAnsi="Times New Roman" w:cs="Times New Roman" w:eastAsiaTheme="minorEastAsia"/>
              <w:sz w:val="28"/>
              <w:szCs w:val="28"/>
            </w:rPr>
            <w:t>11</w:t>
          </w:r>
          <w:bookmarkEnd w:id="15"/>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_Toc30532_WPSOffice_Level2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c4228c9d-7e1d-4c42-a7fb-adf38a595ccf}"/>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（三） 制度措施落实情况</w:t>
              </w:r>
            </w:sdtContent>
          </w:sdt>
          <w:r>
            <w:rPr>
              <w:rFonts w:hint="default" w:ascii="Times New Roman" w:hAnsi="Times New Roman" w:cs="Times New Roman" w:eastAsiaTheme="minorEastAsia"/>
              <w:sz w:val="28"/>
              <w:szCs w:val="28"/>
            </w:rPr>
            <w:tab/>
          </w:r>
          <w:bookmarkStart w:id="16" w:name="_Toc30532_WPSOffice_Level2Page"/>
          <w:r>
            <w:rPr>
              <w:rFonts w:hint="default" w:ascii="Times New Roman" w:hAnsi="Times New Roman" w:cs="Times New Roman" w:eastAsiaTheme="minorEastAsia"/>
              <w:sz w:val="28"/>
              <w:szCs w:val="28"/>
            </w:rPr>
            <w:t>11</w:t>
          </w:r>
          <w:bookmarkEnd w:id="16"/>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_Toc9325_WPSOffice_Level2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9df90360-6962-4003-a0e4-221fb9bc163e}"/>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（四） 环境监测计划</w:t>
              </w:r>
            </w:sdtContent>
          </w:sdt>
          <w:r>
            <w:rPr>
              <w:rFonts w:hint="default" w:ascii="Times New Roman" w:hAnsi="Times New Roman" w:cs="Times New Roman" w:eastAsiaTheme="minorEastAsia"/>
              <w:sz w:val="28"/>
              <w:szCs w:val="28"/>
            </w:rPr>
            <w:tab/>
          </w:r>
          <w:bookmarkStart w:id="17" w:name="_Toc9325_WPSOffice_Level2Page"/>
          <w:r>
            <w:rPr>
              <w:rFonts w:hint="default" w:ascii="Times New Roman" w:hAnsi="Times New Roman" w:cs="Times New Roman" w:eastAsiaTheme="minorEastAsia"/>
              <w:sz w:val="28"/>
              <w:szCs w:val="28"/>
            </w:rPr>
            <w:t>12</w:t>
          </w:r>
          <w:bookmarkEnd w:id="17"/>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_Toc7330_WPSOffice_Level2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b4c3da70-35a0-46cc-982d-0592e3c6478f}"/>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（五） 环境质量监测</w:t>
              </w:r>
            </w:sdtContent>
          </w:sdt>
          <w:r>
            <w:rPr>
              <w:rFonts w:hint="default" w:ascii="Times New Roman" w:hAnsi="Times New Roman" w:cs="Times New Roman" w:eastAsiaTheme="minorEastAsia"/>
              <w:sz w:val="28"/>
              <w:szCs w:val="28"/>
            </w:rPr>
            <w:tab/>
          </w:r>
          <w:bookmarkStart w:id="18" w:name="_Toc7330_WPSOffice_Level2Page"/>
          <w:r>
            <w:rPr>
              <w:rFonts w:hint="default" w:ascii="Times New Roman" w:hAnsi="Times New Roman" w:cs="Times New Roman" w:eastAsiaTheme="minorEastAsia"/>
              <w:sz w:val="28"/>
              <w:szCs w:val="28"/>
            </w:rPr>
            <w:t>15</w:t>
          </w:r>
          <w:bookmarkEnd w:id="18"/>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_Toc14564_WPSOffice_Level2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367a5d62-4364-4faf-8637-5f79d19221c1}"/>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（六） 配套设施落实情况</w:t>
              </w:r>
            </w:sdtContent>
          </w:sdt>
          <w:r>
            <w:rPr>
              <w:rFonts w:hint="default" w:ascii="Times New Roman" w:hAnsi="Times New Roman" w:cs="Times New Roman" w:eastAsiaTheme="minorEastAsia"/>
              <w:sz w:val="28"/>
              <w:szCs w:val="28"/>
            </w:rPr>
            <w:tab/>
          </w:r>
          <w:bookmarkStart w:id="19" w:name="_Toc14564_WPSOffice_Level2Page"/>
          <w:r>
            <w:rPr>
              <w:rFonts w:hint="default" w:ascii="Times New Roman" w:hAnsi="Times New Roman" w:cs="Times New Roman" w:eastAsiaTheme="minorEastAsia"/>
              <w:sz w:val="28"/>
              <w:szCs w:val="28"/>
            </w:rPr>
            <w:t>15</w:t>
          </w:r>
          <w:bookmarkEnd w:id="19"/>
          <w:r>
            <w:rPr>
              <w:rFonts w:hint="default" w:ascii="Times New Roman" w:hAnsi="Times New Roman" w:cs="Times New Roman" w:eastAsiaTheme="minorEastAsia"/>
              <w:sz w:val="28"/>
              <w:szCs w:val="28"/>
            </w:rPr>
            <w:fldChar w:fldCharType="end"/>
          </w:r>
        </w:p>
        <w:p>
          <w:pPr>
            <w:pStyle w:val="21"/>
            <w:tabs>
              <w:tab w:val="right" w:leader="dot" w:pos="8306"/>
            </w:tabs>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HYPERLINK \l _Toc2478_WPSOffice_Level2 </w:instrText>
          </w:r>
          <w:r>
            <w:rPr>
              <w:rFonts w:hint="default" w:ascii="Times New Roman" w:hAnsi="Times New Roman" w:cs="Times New Roman" w:eastAsiaTheme="minorEastAsia"/>
              <w:sz w:val="28"/>
              <w:szCs w:val="28"/>
            </w:rPr>
            <w:fldChar w:fldCharType="separate"/>
          </w:r>
          <w:sdt>
            <w:sdtPr>
              <w:rPr>
                <w:rFonts w:hint="default" w:ascii="Times New Roman" w:hAnsi="Times New Roman" w:cs="Times New Roman" w:eastAsiaTheme="minorEastAsia"/>
                <w:color w:val="000000"/>
                <w:sz w:val="28"/>
                <w:szCs w:val="28"/>
                <w:lang w:val="en-US" w:eastAsia="zh-CN" w:bidi="ar-SA"/>
              </w:rPr>
              <w:id w:val="147460465"/>
              <w:placeholder>
                <w:docPart w:val="{cc91b18b-ea35-4467-8ae6-64934f520fe5}"/>
              </w:placeholder>
            </w:sdtPr>
            <w:sdtEndPr>
              <w:rPr>
                <w:rFonts w:hint="default" w:ascii="Times New Roman" w:hAnsi="Times New Roman" w:cs="Times New Roman" w:eastAsiaTheme="minorEastAsia"/>
                <w:color w:val="000000"/>
                <w:sz w:val="28"/>
                <w:szCs w:val="28"/>
                <w:lang w:val="en-US" w:eastAsia="zh-CN" w:bidi="ar-SA"/>
              </w:rPr>
            </w:sdtEndPr>
            <w:sdtContent>
              <w:r>
                <w:rPr>
                  <w:rFonts w:hint="default" w:ascii="Times New Roman" w:hAnsi="Times New Roman" w:cs="Times New Roman" w:eastAsiaTheme="minorEastAsia"/>
                  <w:sz w:val="28"/>
                  <w:szCs w:val="28"/>
                </w:rPr>
                <w:t>（七）整改情况</w:t>
              </w:r>
            </w:sdtContent>
          </w:sdt>
          <w:r>
            <w:rPr>
              <w:rFonts w:hint="default" w:ascii="Times New Roman" w:hAnsi="Times New Roman" w:cs="Times New Roman" w:eastAsiaTheme="minorEastAsia"/>
              <w:sz w:val="28"/>
              <w:szCs w:val="28"/>
            </w:rPr>
            <w:tab/>
          </w:r>
          <w:bookmarkStart w:id="20" w:name="_Toc2478_WPSOffice_Level2Page"/>
          <w:r>
            <w:rPr>
              <w:rFonts w:hint="default" w:ascii="Times New Roman" w:hAnsi="Times New Roman" w:cs="Times New Roman" w:eastAsiaTheme="minorEastAsia"/>
              <w:sz w:val="28"/>
              <w:szCs w:val="28"/>
            </w:rPr>
            <w:t>15</w:t>
          </w:r>
          <w:bookmarkEnd w:id="20"/>
          <w:r>
            <w:rPr>
              <w:rFonts w:hint="default" w:ascii="Times New Roman" w:hAnsi="Times New Roman" w:cs="Times New Roman" w:eastAsiaTheme="minorEastAsia"/>
              <w:sz w:val="28"/>
              <w:szCs w:val="28"/>
            </w:rPr>
            <w:fldChar w:fldCharType="end"/>
          </w:r>
          <w:bookmarkEnd w:id="0"/>
        </w:p>
      </w:sdtContent>
    </w:sdt>
    <w:p>
      <w:pPr>
        <w:keepNext w:val="0"/>
        <w:keepLines w:val="0"/>
        <w:pageBreakBefore w:val="0"/>
        <w:kinsoku/>
        <w:wordWrap/>
        <w:overflowPunct/>
        <w:topLinePunct w:val="0"/>
        <w:bidi w:val="0"/>
        <w:spacing w:line="360" w:lineRule="auto"/>
        <w:textAlignment w:val="auto"/>
        <w:rPr>
          <w:rFonts w:hint="eastAsia"/>
          <w:b/>
          <w:bCs/>
          <w:sz w:val="28"/>
          <w:szCs w:val="28"/>
          <w:lang w:eastAsia="zh-CN"/>
        </w:rPr>
      </w:pPr>
      <w:bookmarkStart w:id="21" w:name="_Toc4038_WPSOffice_Level1"/>
      <w:bookmarkStart w:id="22" w:name="_Toc26355_WPSOffice_Level1"/>
      <w:bookmarkStart w:id="23" w:name="_Toc24432_WPSOffice_Level1"/>
      <w:bookmarkStart w:id="24" w:name="_Toc22068_WPSOffice_Level1"/>
      <w:r>
        <w:rPr>
          <w:rFonts w:hint="eastAsia"/>
          <w:b/>
          <w:bCs/>
          <w:sz w:val="28"/>
          <w:szCs w:val="28"/>
          <w:lang w:eastAsia="zh-CN"/>
        </w:rPr>
        <w:t>一、企业概</w:t>
      </w:r>
      <w:bookmarkEnd w:id="21"/>
      <w:bookmarkEnd w:id="22"/>
      <w:bookmarkEnd w:id="23"/>
      <w:bookmarkEnd w:id="24"/>
      <w:r>
        <w:rPr>
          <w:rFonts w:hint="eastAsia"/>
          <w:b/>
          <w:bCs/>
          <w:sz w:val="28"/>
          <w:szCs w:val="28"/>
          <w:lang w:eastAsia="zh-CN"/>
        </w:rPr>
        <w:t>况</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outlineLvl w:val="9"/>
        <w:rPr>
          <w:rFonts w:hint="default" w:ascii="Times New Roman" w:hAnsi="Times New Roman" w:cs="Times New Roman" w:eastAsiaTheme="minorEastAsia"/>
          <w:b w:val="0"/>
          <w:bCs w:val="0"/>
          <w:i w:val="0"/>
          <w:caps w:val="0"/>
          <w:color w:val="565656"/>
          <w:spacing w:val="0"/>
          <w:sz w:val="24"/>
          <w:szCs w:val="28"/>
          <w:shd w:val="clear" w:color="auto" w:fill="auto"/>
        </w:rPr>
      </w:pPr>
      <w:r>
        <w:rPr>
          <w:rFonts w:hint="default" w:ascii="Times New Roman" w:hAnsi="Times New Roman" w:cs="Times New Roman" w:eastAsiaTheme="minorEastAsia"/>
          <w:b w:val="0"/>
          <w:bCs w:val="0"/>
          <w:i w:val="0"/>
          <w:caps w:val="0"/>
          <w:color w:val="565656"/>
          <w:spacing w:val="0"/>
          <w:kern w:val="0"/>
          <w:sz w:val="24"/>
          <w:szCs w:val="28"/>
          <w:shd w:val="clear" w:color="auto" w:fill="auto"/>
          <w:lang w:val="en-US" w:eastAsia="zh-CN" w:bidi="ar"/>
        </w:rPr>
        <w:t>山西太钢不锈钢股份有限公司（简称太钢不锈）是太原钢铁（集团）有限公司1998年重组不锈钢经营性资产后募集设立的股份有限公司。2006年太钢不锈完成对太钢（集团）钢铁主业资产的收购，拥有完整的钢铁生产技术装备及配套设施。经过多年发展，太钢不锈已成为全球不锈钢行业领军企业。</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outlineLvl w:val="9"/>
        <w:rPr>
          <w:rFonts w:hint="default" w:ascii="Times New Roman" w:hAnsi="Times New Roman" w:cs="Times New Roman" w:eastAsiaTheme="minorEastAsia"/>
          <w:b w:val="0"/>
          <w:bCs w:val="0"/>
          <w:i w:val="0"/>
          <w:caps w:val="0"/>
          <w:color w:val="565656"/>
          <w:spacing w:val="0"/>
          <w:sz w:val="24"/>
          <w:szCs w:val="28"/>
          <w:shd w:val="clear" w:color="auto" w:fill="auto"/>
        </w:rPr>
      </w:pPr>
      <w:r>
        <w:rPr>
          <w:rFonts w:hint="default" w:ascii="Times New Roman" w:hAnsi="Times New Roman" w:cs="Times New Roman" w:eastAsiaTheme="minorEastAsia"/>
          <w:b w:val="0"/>
          <w:bCs w:val="0"/>
          <w:i w:val="0"/>
          <w:caps w:val="0"/>
          <w:color w:val="565656"/>
          <w:spacing w:val="0"/>
          <w:kern w:val="0"/>
          <w:sz w:val="24"/>
          <w:szCs w:val="28"/>
          <w:shd w:val="clear" w:color="auto" w:fill="auto"/>
          <w:lang w:val="en-US" w:eastAsia="zh-CN" w:bidi="ar"/>
        </w:rPr>
        <w:t>太钢不锈主要产品有不锈钢、冷轧硅钢、碳钢热轧卷板、火车轮轴钢、合金模具钢、军工钢等。不锈钢、不锈复合板、高牌号冷轧硅钢、电磁纯铁、高强度汽车大梁钢、火车轮轴钢、花纹板、焊瓶钢市场占有率国内第一。不锈钢等重点产品进入石油、石化、铁道、汽车、造船、集装箱、造币等重点行业，应用于秦山核电站、三峡大坝、“和谐号”高速列车、奥运场馆、神舟系列飞船和嫦娥探月工程等重点领域。</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outlineLvl w:val="9"/>
        <w:rPr>
          <w:rFonts w:hint="default" w:ascii="Times New Roman" w:hAnsi="Times New Roman" w:cs="Times New Roman" w:eastAsiaTheme="minorEastAsia"/>
          <w:b w:val="0"/>
          <w:bCs w:val="0"/>
          <w:i w:val="0"/>
          <w:caps w:val="0"/>
          <w:color w:val="565656"/>
          <w:spacing w:val="0"/>
          <w:sz w:val="24"/>
          <w:szCs w:val="28"/>
          <w:shd w:val="clear" w:color="auto" w:fill="auto"/>
        </w:rPr>
      </w:pPr>
      <w:r>
        <w:rPr>
          <w:rFonts w:hint="default" w:ascii="Times New Roman" w:hAnsi="Times New Roman" w:cs="Times New Roman" w:eastAsiaTheme="minorEastAsia"/>
          <w:b w:val="0"/>
          <w:bCs w:val="0"/>
          <w:i w:val="0"/>
          <w:caps w:val="0"/>
          <w:color w:val="565656"/>
          <w:spacing w:val="0"/>
          <w:kern w:val="0"/>
          <w:sz w:val="24"/>
          <w:szCs w:val="28"/>
          <w:shd w:val="clear" w:color="auto" w:fill="auto"/>
          <w:lang w:val="en-US" w:eastAsia="zh-CN" w:bidi="ar"/>
        </w:rPr>
        <w:t>太钢不锈拥有800多项以不锈钢为主的核心技术，多项不锈钢技术开发与创新成果获国家科技进步奖，“太钢牌”不锈钢材获“中国名牌产品”和“中国不锈钢最具影响力第一品牌”称号。太钢不锈持续推进卓越绩效管理，两次获得“全国质量奖”。</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outlineLvl w:val="9"/>
        <w:rPr>
          <w:rFonts w:hint="default" w:ascii="Times New Roman" w:hAnsi="Times New Roman" w:cs="Times New Roman" w:eastAsiaTheme="minorEastAsia"/>
          <w:b w:val="0"/>
          <w:bCs w:val="0"/>
          <w:i w:val="0"/>
          <w:caps w:val="0"/>
          <w:color w:val="565656"/>
          <w:spacing w:val="0"/>
          <w:sz w:val="24"/>
          <w:szCs w:val="28"/>
          <w:shd w:val="clear" w:color="auto" w:fill="auto"/>
        </w:rPr>
      </w:pPr>
      <w:r>
        <w:rPr>
          <w:rFonts w:hint="default" w:ascii="Times New Roman" w:hAnsi="Times New Roman" w:cs="Times New Roman" w:eastAsiaTheme="minorEastAsia"/>
          <w:b w:val="0"/>
          <w:bCs w:val="0"/>
          <w:i w:val="0"/>
          <w:caps w:val="0"/>
          <w:color w:val="565656"/>
          <w:spacing w:val="0"/>
          <w:kern w:val="0"/>
          <w:sz w:val="24"/>
          <w:szCs w:val="28"/>
          <w:shd w:val="clear" w:color="auto" w:fill="auto"/>
          <w:lang w:val="en-US" w:eastAsia="zh-CN" w:bidi="ar"/>
        </w:rPr>
        <w:t>太钢不锈与全球80多个国家和地区开展经贸合作，不锈钢等产品在国际市场广受好评。太钢不锈全面履行社会责任，全力建设资源节约型和环境友好型企业，积极支持社会公益事业；坚持以人为本的核心理念，重视安全生产，改善职工生活，和谐发展呈现新局面。</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outlineLvl w:val="9"/>
        <w:rPr>
          <w:rFonts w:hint="eastAsia"/>
          <w:b/>
          <w:bCs/>
          <w:color w:val="000000"/>
          <w:sz w:val="28"/>
          <w:szCs w:val="28"/>
          <w:lang w:eastAsia="zh-CN"/>
        </w:rPr>
      </w:pPr>
      <w:bookmarkStart w:id="25" w:name="_Toc3878_WPSOffice_Level1"/>
      <w:bookmarkStart w:id="26" w:name="_Toc27683_WPSOffice_Level1"/>
      <w:bookmarkStart w:id="27" w:name="_Toc10075_WPSOffice_Level1"/>
      <w:bookmarkStart w:id="28" w:name="_Toc27266_WPSOffice_Level1"/>
      <w:r>
        <w:rPr>
          <w:rFonts w:hint="eastAsia"/>
          <w:b/>
          <w:bCs/>
          <w:color w:val="000000"/>
          <w:sz w:val="28"/>
          <w:szCs w:val="28"/>
        </w:rPr>
        <w:t>项目</w:t>
      </w:r>
      <w:bookmarkEnd w:id="25"/>
      <w:bookmarkEnd w:id="26"/>
      <w:bookmarkEnd w:id="27"/>
      <w:r>
        <w:rPr>
          <w:rFonts w:hint="eastAsia"/>
          <w:b/>
          <w:bCs/>
          <w:color w:val="000000"/>
          <w:sz w:val="28"/>
          <w:szCs w:val="28"/>
          <w:lang w:eastAsia="zh-CN"/>
        </w:rPr>
        <w:t>概括</w:t>
      </w:r>
      <w:bookmarkEnd w:id="28"/>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outlineLvl w:val="9"/>
        <w:rPr>
          <w:b/>
          <w:bCs/>
          <w:sz w:val="28"/>
          <w:szCs w:val="28"/>
        </w:rPr>
      </w:pPr>
      <w:bookmarkStart w:id="29" w:name="_Toc27266_WPSOffice_Level2"/>
      <w:r>
        <w:rPr>
          <w:b/>
          <w:bCs/>
          <w:sz w:val="28"/>
          <w:szCs w:val="28"/>
        </w:rPr>
        <w:t>地理位置及平面布置</w:t>
      </w:r>
      <w:bookmarkEnd w:id="29"/>
    </w:p>
    <w:p>
      <w:pPr>
        <w:pStyle w:val="9"/>
        <w:spacing w:line="560" w:lineRule="exact"/>
        <w:ind w:firstLine="480" w:firstLineChars="200"/>
        <w:rPr>
          <w:rFonts w:hint="default" w:ascii="Times New Roman" w:hAnsi="Times New Roman" w:cs="Times New Roman" w:eastAsiaTheme="minorEastAsia"/>
          <w:color w:val="auto"/>
          <w:szCs w:val="28"/>
          <w:lang w:val="en-US" w:eastAsia="zh-CN"/>
        </w:rPr>
      </w:pPr>
      <w:r>
        <w:rPr>
          <w:rFonts w:hint="default" w:ascii="Times New Roman" w:hAnsi="Times New Roman" w:cs="Times New Roman" w:eastAsiaTheme="minorEastAsia"/>
          <w:color w:val="000000" w:themeColor="text1"/>
          <w:sz w:val="24"/>
          <w:szCs w:val="24"/>
          <w14:textFill>
            <w14:solidFill>
              <w14:schemeClr w14:val="tx1"/>
            </w14:solidFill>
          </w14:textFill>
        </w:rPr>
        <w:t>项目选址位于山西太原钢铁（集团）有限公司厂区内，太钢公司位于太原市北部的尖草坪区，处于太原盆地的北端，为太原市市区的上风向和汾河太原段的上游。东靠恒山路；西侧是大同路，南邻市区中涧河区域，北与太原汾河站相连。太钢厂区南北长约5km，中部东西宽约2km，总占地面积为891hm</w:t>
      </w:r>
      <w:r>
        <w:rPr>
          <w:rFonts w:hint="default" w:ascii="Times New Roman" w:hAnsi="Times New Roman" w:cs="Times New Roman" w:eastAsiaTheme="minorEastAsia"/>
          <w:color w:val="000000" w:themeColor="text1"/>
          <w:sz w:val="24"/>
          <w:szCs w:val="24"/>
          <w:vertAlign w:val="superscript"/>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。处于汾河东岸一级阶地上，地面绝对标高在793.00-800.45m之间，场地内西北略低，东南略高，地形较平坦</w:t>
      </w:r>
      <w:r>
        <w:rPr>
          <w:rFonts w:hint="default" w:ascii="Times New Roman" w:hAnsi="Times New Roman" w:cs="Times New Roman" w:eastAsiaTheme="minorEastAsia"/>
          <w:color w:val="auto"/>
          <w:sz w:val="24"/>
          <w:szCs w:val="24"/>
        </w:rPr>
        <w:t>。地理位置见图1。</w:t>
      </w:r>
      <w:r>
        <w:rPr>
          <w:rFonts w:hint="default" w:ascii="Times New Roman" w:hAnsi="Times New Roman" w:cs="Times New Roman" w:eastAsiaTheme="minorEastAsia"/>
          <w:color w:val="auto"/>
          <w:szCs w:val="28"/>
        </w:rPr>
        <w:t>厂区平面布置图见</w:t>
      </w:r>
      <w:r>
        <w:rPr>
          <w:rFonts w:hint="default" w:ascii="Times New Roman" w:hAnsi="Times New Roman" w:cs="Times New Roman" w:eastAsiaTheme="minorEastAsia"/>
          <w:color w:val="auto"/>
          <w:szCs w:val="28"/>
          <w:lang w:eastAsia="zh-CN"/>
        </w:rPr>
        <w:t>图</w:t>
      </w:r>
      <w:r>
        <w:rPr>
          <w:rFonts w:hint="default" w:ascii="Times New Roman" w:hAnsi="Times New Roman" w:cs="Times New Roman" w:eastAsiaTheme="minorEastAsia"/>
          <w:color w:val="auto"/>
          <w:szCs w:val="28"/>
          <w:lang w:val="en-US" w:eastAsia="zh-CN"/>
        </w:rPr>
        <w:t>2。</w:t>
      </w:r>
    </w:p>
    <w:p>
      <w:pPr>
        <w:pStyle w:val="9"/>
        <w:spacing w:line="240" w:lineRule="auto"/>
        <w:ind w:left="0" w:leftChars="0" w:firstLine="0" w:firstLineChars="0"/>
        <w:jc w:val="center"/>
        <w:rPr>
          <w:rFonts w:hint="default" w:ascii="Times New Roman" w:hAnsi="Times New Roman" w:cs="Times New Roman" w:eastAsiaTheme="minorEastAsia"/>
          <w:color w:val="0000FF"/>
          <w:szCs w:val="28"/>
          <w:lang w:val="en-US" w:eastAsia="zh-CN"/>
        </w:rPr>
      </w:pPr>
      <w:r>
        <w:rPr>
          <w:rFonts w:hint="default" w:ascii="Times New Roman" w:hAnsi="Times New Roman" w:cs="Times New Roman" w:eastAsiaTheme="minorEastAsia"/>
          <w:color w:val="0000FF"/>
          <w:szCs w:val="28"/>
          <w:lang w:val="en-US" w:eastAsia="zh-CN"/>
        </w:rPr>
        <w:drawing>
          <wp:inline distT="0" distB="0" distL="114300" distR="114300">
            <wp:extent cx="5269865" cy="7493000"/>
            <wp:effectExtent l="0" t="0" r="6985" b="12700"/>
            <wp:docPr id="6" name="图片 6" descr="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地理位置图"/>
                    <pic:cNvPicPr>
                      <a:picLocks noChangeAspect="1"/>
                    </pic:cNvPicPr>
                  </pic:nvPicPr>
                  <pic:blipFill>
                    <a:blip r:embed="rId6"/>
                    <a:stretch>
                      <a:fillRect/>
                    </a:stretch>
                  </pic:blipFill>
                  <pic:spPr>
                    <a:xfrm>
                      <a:off x="0" y="0"/>
                      <a:ext cx="5269865" cy="7493000"/>
                    </a:xfrm>
                    <a:prstGeom prst="rect">
                      <a:avLst/>
                    </a:prstGeom>
                  </pic:spPr>
                </pic:pic>
              </a:graphicData>
            </a:graphic>
          </wp:inline>
        </w:drawing>
      </w:r>
    </w:p>
    <w:p>
      <w:pPr>
        <w:pStyle w:val="9"/>
        <w:numPr>
          <w:ilvl w:val="0"/>
          <w:numId w:val="0"/>
        </w:numPr>
        <w:spacing w:line="560" w:lineRule="exact"/>
        <w:ind w:leftChars="0"/>
        <w:jc w:val="center"/>
        <w:rPr>
          <w:rFonts w:hint="eastAsia" w:eastAsiaTheme="minorEastAsia"/>
          <w:b w:val="0"/>
          <w:bCs/>
          <w:sz w:val="28"/>
          <w:szCs w:val="28"/>
          <w:lang w:val="en-US" w:eastAsia="zh-CN"/>
        </w:rPr>
      </w:pPr>
      <w:bookmarkStart w:id="30" w:name="_Toc9047_WPSOffice_Level2"/>
      <w:r>
        <w:rPr>
          <w:rFonts w:hint="eastAsia"/>
          <w:b w:val="0"/>
          <w:bCs/>
          <w:sz w:val="28"/>
          <w:szCs w:val="28"/>
          <w:lang w:eastAsia="zh-CN"/>
        </w:rPr>
        <w:t>图</w:t>
      </w:r>
      <w:r>
        <w:rPr>
          <w:rFonts w:hint="eastAsia"/>
          <w:b w:val="0"/>
          <w:bCs/>
          <w:sz w:val="28"/>
          <w:szCs w:val="28"/>
          <w:lang w:val="en-US" w:eastAsia="zh-CN"/>
        </w:rPr>
        <w:t>1  地理位置图</w:t>
      </w:r>
    </w:p>
    <w:p>
      <w:pPr>
        <w:pStyle w:val="9"/>
        <w:numPr>
          <w:ilvl w:val="0"/>
          <w:numId w:val="0"/>
        </w:numPr>
        <w:spacing w:line="560" w:lineRule="exact"/>
        <w:ind w:leftChars="0"/>
        <w:rPr>
          <w:rFonts w:hint="eastAsia"/>
          <w:b/>
          <w:sz w:val="28"/>
          <w:szCs w:val="28"/>
          <w:lang w:eastAsia="zh-CN"/>
        </w:rPr>
      </w:pPr>
    </w:p>
    <w:p>
      <w:pPr>
        <w:pStyle w:val="9"/>
        <w:numPr>
          <w:ilvl w:val="0"/>
          <w:numId w:val="0"/>
        </w:numPr>
        <w:spacing w:line="240" w:lineRule="auto"/>
        <w:ind w:leftChars="0"/>
        <w:jc w:val="center"/>
        <w:rPr>
          <w:rFonts w:hint="eastAsia"/>
          <w:b/>
          <w:sz w:val="28"/>
          <w:szCs w:val="28"/>
          <w:lang w:eastAsia="zh-CN"/>
        </w:rPr>
      </w:pPr>
      <w:r>
        <w:rPr>
          <w:rFonts w:hint="eastAsia"/>
          <w:b/>
          <w:sz w:val="28"/>
          <w:szCs w:val="28"/>
          <w:lang w:eastAsia="zh-CN"/>
        </w:rPr>
        <w:drawing>
          <wp:inline distT="0" distB="0" distL="114300" distR="114300">
            <wp:extent cx="5274310" cy="7943215"/>
            <wp:effectExtent l="0" t="0" r="2540" b="635"/>
            <wp:docPr id="7" name="图片 7" descr="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平面布置图"/>
                    <pic:cNvPicPr>
                      <a:picLocks noChangeAspect="1"/>
                    </pic:cNvPicPr>
                  </pic:nvPicPr>
                  <pic:blipFill>
                    <a:blip r:embed="rId7"/>
                    <a:stretch>
                      <a:fillRect/>
                    </a:stretch>
                  </pic:blipFill>
                  <pic:spPr>
                    <a:xfrm>
                      <a:off x="0" y="0"/>
                      <a:ext cx="5274310" cy="7943215"/>
                    </a:xfrm>
                    <a:prstGeom prst="rect">
                      <a:avLst/>
                    </a:prstGeom>
                  </pic:spPr>
                </pic:pic>
              </a:graphicData>
            </a:graphic>
          </wp:inline>
        </w:drawing>
      </w:r>
    </w:p>
    <w:p>
      <w:pPr>
        <w:pStyle w:val="9"/>
        <w:numPr>
          <w:ilvl w:val="0"/>
          <w:numId w:val="0"/>
        </w:numPr>
        <w:spacing w:line="560" w:lineRule="exact"/>
        <w:ind w:leftChars="0"/>
        <w:jc w:val="center"/>
        <w:rPr>
          <w:rFonts w:hint="eastAsia"/>
          <w:b w:val="0"/>
          <w:bCs/>
          <w:sz w:val="28"/>
          <w:szCs w:val="28"/>
          <w:lang w:val="en-US" w:eastAsia="zh-CN"/>
        </w:rPr>
      </w:pPr>
      <w:r>
        <w:rPr>
          <w:rFonts w:hint="eastAsia"/>
          <w:b w:val="0"/>
          <w:bCs/>
          <w:sz w:val="28"/>
          <w:szCs w:val="28"/>
          <w:lang w:eastAsia="zh-CN"/>
        </w:rPr>
        <w:t>图</w:t>
      </w:r>
      <w:r>
        <w:rPr>
          <w:rFonts w:hint="eastAsia"/>
          <w:b w:val="0"/>
          <w:bCs/>
          <w:sz w:val="28"/>
          <w:szCs w:val="28"/>
          <w:lang w:val="en-US" w:eastAsia="zh-CN"/>
        </w:rPr>
        <w:t>2  平面布置图</w:t>
      </w:r>
    </w:p>
    <w:p>
      <w:pPr>
        <w:pStyle w:val="9"/>
        <w:numPr>
          <w:ilvl w:val="0"/>
          <w:numId w:val="0"/>
        </w:numPr>
        <w:spacing w:line="560" w:lineRule="exact"/>
        <w:ind w:leftChars="0"/>
        <w:rPr>
          <w:rFonts w:hint="eastAsia"/>
          <w:b/>
          <w:sz w:val="28"/>
          <w:szCs w:val="28"/>
          <w:lang w:eastAsia="zh-CN"/>
        </w:rPr>
      </w:pPr>
    </w:p>
    <w:p>
      <w:pPr>
        <w:pStyle w:val="9"/>
        <w:numPr>
          <w:ilvl w:val="0"/>
          <w:numId w:val="0"/>
        </w:numPr>
        <w:spacing w:line="560" w:lineRule="exact"/>
        <w:ind w:leftChars="0"/>
        <w:rPr>
          <w:b/>
          <w:sz w:val="28"/>
          <w:szCs w:val="28"/>
        </w:rPr>
      </w:pPr>
      <w:r>
        <w:rPr>
          <w:rFonts w:hint="eastAsia"/>
          <w:b/>
          <w:sz w:val="28"/>
          <w:szCs w:val="28"/>
          <w:lang w:eastAsia="zh-CN"/>
        </w:rPr>
        <w:t>（二）</w:t>
      </w:r>
      <w:r>
        <w:rPr>
          <w:b/>
          <w:sz w:val="28"/>
          <w:szCs w:val="28"/>
        </w:rPr>
        <w:t>工程建设内容</w:t>
      </w:r>
      <w:bookmarkEnd w:id="30"/>
    </w:p>
    <w:p>
      <w:pPr>
        <w:pStyle w:val="9"/>
        <w:spacing w:line="560" w:lineRule="exact"/>
        <w:ind w:left="0" w:leftChars="0" w:firstLine="0" w:firstLineChars="0"/>
        <w:rPr>
          <w:b/>
          <w:sz w:val="28"/>
          <w:szCs w:val="28"/>
        </w:rPr>
      </w:pPr>
      <w:bookmarkStart w:id="31" w:name="_Toc27266_WPSOffice_Level3"/>
      <w:r>
        <w:rPr>
          <w:b/>
          <w:sz w:val="28"/>
          <w:szCs w:val="28"/>
        </w:rPr>
        <w:t>1</w:t>
      </w:r>
      <w:r>
        <w:rPr>
          <w:rFonts w:hint="eastAsia"/>
          <w:b/>
          <w:sz w:val="28"/>
          <w:szCs w:val="28"/>
          <w:lang w:eastAsia="zh-CN"/>
        </w:rPr>
        <w:t>、</w:t>
      </w:r>
      <w:r>
        <w:rPr>
          <w:b/>
          <w:sz w:val="28"/>
          <w:szCs w:val="28"/>
        </w:rPr>
        <w:t>项目</w:t>
      </w:r>
      <w:r>
        <w:rPr>
          <w:rFonts w:hint="eastAsia"/>
          <w:b/>
          <w:sz w:val="28"/>
          <w:szCs w:val="28"/>
        </w:rPr>
        <w:t>基本情况</w:t>
      </w:r>
      <w:bookmarkEnd w:id="31"/>
    </w:p>
    <w:p>
      <w:pPr>
        <w:pStyle w:val="9"/>
        <w:spacing w:line="560" w:lineRule="exact"/>
        <w:ind w:firstLine="482" w:firstLineChars="200"/>
        <w:jc w:val="center"/>
        <w:rPr>
          <w:rFonts w:hint="eastAsia"/>
          <w:b/>
          <w:bCs/>
          <w:szCs w:val="28"/>
          <w:lang w:eastAsia="zh-CN"/>
        </w:rPr>
      </w:pPr>
      <w:r>
        <w:rPr>
          <w:rFonts w:hint="eastAsia"/>
          <w:b/>
          <w:bCs/>
          <w:szCs w:val="28"/>
          <w:lang w:eastAsia="zh-CN"/>
        </w:rPr>
        <w:t>表1</w:t>
      </w:r>
      <w:r>
        <w:rPr>
          <w:b/>
          <w:bCs/>
          <w:szCs w:val="28"/>
          <w:lang w:eastAsia="zh-CN"/>
        </w:rPr>
        <w:t xml:space="preserve">  </w:t>
      </w:r>
      <w:r>
        <w:rPr>
          <w:rFonts w:hint="eastAsia"/>
          <w:b/>
          <w:bCs/>
          <w:szCs w:val="28"/>
          <w:lang w:eastAsia="zh-CN"/>
        </w:rPr>
        <w:t>项目基本情况一览表</w:t>
      </w:r>
    </w:p>
    <w:tbl>
      <w:tblPr>
        <w:tblStyle w:val="16"/>
        <w:tblW w:w="9000"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174"/>
        <w:gridCol w:w="1302"/>
        <w:gridCol w:w="1518"/>
        <w:gridCol w:w="1788"/>
        <w:gridCol w:w="833"/>
        <w:gridCol w:w="138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69"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建设项目名称</w:t>
            </w:r>
          </w:p>
        </w:tc>
        <w:tc>
          <w:tcPr>
            <w:tcW w:w="6826" w:type="dxa"/>
            <w:gridSpan w:val="5"/>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sz w:val="21"/>
                <w:szCs w:val="21"/>
              </w:rPr>
              <w:t>山西太钢不锈钢股份有限公司2013年节能技术改造项目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建设单位名称</w:t>
            </w:r>
          </w:p>
        </w:tc>
        <w:tc>
          <w:tcPr>
            <w:tcW w:w="6826" w:type="dxa"/>
            <w:gridSpan w:val="5"/>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sz w:val="21"/>
                <w:szCs w:val="21"/>
              </w:rPr>
              <w:t>山西太钢不锈钢股份有限公司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建设地点</w:t>
            </w:r>
          </w:p>
        </w:tc>
        <w:tc>
          <w:tcPr>
            <w:tcW w:w="6826" w:type="dxa"/>
            <w:gridSpan w:val="5"/>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山西省太原市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建设项目性质</w:t>
            </w:r>
          </w:p>
        </w:tc>
        <w:tc>
          <w:tcPr>
            <w:tcW w:w="6826" w:type="dxa"/>
            <w:gridSpan w:val="5"/>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新建       改扩建       技改(√)       迁建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highlight w:val="none"/>
              </w:rPr>
            </w:pPr>
            <w:r>
              <w:rPr>
                <w:rFonts w:hint="default" w:ascii="Times New Roman" w:hAnsi="Times New Roman" w:cs="Times New Roman" w:eastAsiaTheme="minorEastAsia"/>
                <w:b/>
                <w:sz w:val="21"/>
                <w:szCs w:val="21"/>
                <w:highlight w:val="none"/>
              </w:rPr>
              <w:t>主要产品名称</w:t>
            </w:r>
          </w:p>
        </w:tc>
        <w:tc>
          <w:tcPr>
            <w:tcW w:w="6826" w:type="dxa"/>
            <w:gridSpan w:val="5"/>
            <w:vAlign w:val="center"/>
          </w:tcPr>
          <w:p>
            <w:pPr>
              <w:tabs>
                <w:tab w:val="left" w:pos="2337"/>
              </w:tabs>
              <w:spacing w:line="320" w:lineRule="exact"/>
              <w:jc w:val="center"/>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36" w:hRule="atLeast"/>
          <w:jc w:val="center"/>
        </w:trPr>
        <w:tc>
          <w:tcPr>
            <w:tcW w:w="2174" w:type="dxa"/>
            <w:vAlign w:val="center"/>
          </w:tcPr>
          <w:p>
            <w:pPr>
              <w:spacing w:line="240" w:lineRule="auto"/>
              <w:jc w:val="center"/>
              <w:rPr>
                <w:rFonts w:hint="default" w:ascii="Times New Roman" w:hAnsi="Times New Roman" w:cs="Times New Roman" w:eastAsiaTheme="minorEastAsia"/>
                <w:color w:val="FF0000"/>
                <w:sz w:val="21"/>
                <w:szCs w:val="21"/>
                <w:shd w:val="clear" w:color="auto" w:fill="auto"/>
              </w:rPr>
            </w:pPr>
            <w:r>
              <w:rPr>
                <w:rFonts w:hint="default" w:ascii="Times New Roman" w:hAnsi="Times New Roman" w:cs="Times New Roman" w:eastAsiaTheme="minorEastAsia"/>
                <w:b/>
                <w:color w:val="000000" w:themeColor="text1"/>
                <w:sz w:val="21"/>
                <w:szCs w:val="21"/>
                <w:shd w:val="clear" w:color="auto" w:fill="auto"/>
                <w14:textFill>
                  <w14:solidFill>
                    <w14:schemeClr w14:val="tx1"/>
                  </w14:solidFill>
                </w14:textFill>
              </w:rPr>
              <w:t>设计生产能力</w:t>
            </w:r>
          </w:p>
        </w:tc>
        <w:tc>
          <w:tcPr>
            <w:tcW w:w="2820" w:type="dxa"/>
            <w:gridSpan w:val="2"/>
            <w:vAlign w:val="center"/>
          </w:tcPr>
          <w:p>
            <w:pPr>
              <w:spacing w:line="240" w:lineRule="auto"/>
              <w:jc w:val="center"/>
              <w:rPr>
                <w:rFonts w:hint="default" w:ascii="Times New Roman" w:hAnsi="Times New Roman" w:cs="Times New Roman" w:eastAsiaTheme="minorEastAsia"/>
                <w:color w:val="FF0000"/>
                <w:sz w:val="21"/>
                <w:szCs w:val="21"/>
                <w:shd w:val="clear" w:color="auto" w:fill="auto"/>
                <w:lang w:val="en-US" w:eastAsia="zh-CN"/>
              </w:rPr>
            </w:pPr>
            <w:r>
              <w:rPr>
                <w:rFonts w:hint="default" w:ascii="Times New Roman" w:hAnsi="Times New Roman" w:cs="Times New Roman" w:eastAsiaTheme="minorEastAsia"/>
                <w:color w:val="000000" w:themeColor="text1"/>
                <w:sz w:val="21"/>
                <w:szCs w:val="21"/>
                <w:shd w:val="clear" w:color="auto" w:fill="auto"/>
                <w:lang w:val="en-US" w:eastAsia="zh-CN"/>
                <w14:textFill>
                  <w14:solidFill>
                    <w14:schemeClr w14:val="tx1"/>
                  </w14:solidFill>
                </w14:textFill>
              </w:rPr>
              <w:t>409.6MW</w:t>
            </w:r>
          </w:p>
        </w:tc>
        <w:tc>
          <w:tcPr>
            <w:tcW w:w="1788" w:type="dxa"/>
            <w:vAlign w:val="center"/>
          </w:tcPr>
          <w:p>
            <w:pPr>
              <w:spacing w:line="240" w:lineRule="auto"/>
              <w:jc w:val="center"/>
              <w:rPr>
                <w:rFonts w:hint="default" w:ascii="Times New Roman" w:hAnsi="Times New Roman" w:cs="Times New Roman" w:eastAsiaTheme="minorEastAsia"/>
                <w:sz w:val="21"/>
                <w:szCs w:val="21"/>
                <w:shd w:val="clear" w:color="auto" w:fill="auto"/>
              </w:rPr>
            </w:pPr>
            <w:r>
              <w:rPr>
                <w:rFonts w:hint="default" w:ascii="Times New Roman" w:hAnsi="Times New Roman" w:cs="Times New Roman" w:eastAsiaTheme="minorEastAsia"/>
                <w:b/>
                <w:color w:val="000000" w:themeColor="text1"/>
                <w:sz w:val="21"/>
                <w:szCs w:val="21"/>
                <w:shd w:val="clear" w:color="auto" w:fill="auto"/>
                <w14:textFill>
                  <w14:solidFill>
                    <w14:schemeClr w14:val="tx1"/>
                  </w14:solidFill>
                </w14:textFill>
              </w:rPr>
              <w:t>实际生产能力</w:t>
            </w:r>
          </w:p>
        </w:tc>
        <w:tc>
          <w:tcPr>
            <w:tcW w:w="2218" w:type="dxa"/>
            <w:gridSpan w:val="2"/>
            <w:vAlign w:val="center"/>
          </w:tcPr>
          <w:p>
            <w:pPr>
              <w:spacing w:line="240" w:lineRule="auto"/>
              <w:jc w:val="center"/>
              <w:rPr>
                <w:rFonts w:hint="default" w:ascii="Times New Roman" w:hAnsi="Times New Roman" w:cs="Times New Roman" w:eastAsiaTheme="minorEastAsia"/>
                <w:sz w:val="21"/>
                <w:szCs w:val="21"/>
                <w:shd w:val="clear" w:color="auto" w:fill="auto"/>
                <w:lang w:val="en-US" w:eastAsia="zh-CN"/>
              </w:rPr>
            </w:pPr>
            <w:r>
              <w:rPr>
                <w:rFonts w:hint="default" w:ascii="Times New Roman" w:hAnsi="Times New Roman" w:cs="Times New Roman" w:eastAsiaTheme="minorEastAsia"/>
                <w:sz w:val="21"/>
                <w:szCs w:val="21"/>
                <w:shd w:val="clear" w:color="auto" w:fill="auto"/>
                <w:lang w:val="en-US" w:eastAsia="zh-CN"/>
              </w:rPr>
              <w:t>409.6MW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47"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lang w:eastAsia="zh-CN"/>
              </w:rPr>
              <w:t>建设项目</w:t>
            </w:r>
            <w:r>
              <w:rPr>
                <w:rFonts w:hint="default" w:ascii="Times New Roman" w:hAnsi="Times New Roman" w:cs="Times New Roman" w:eastAsiaTheme="minorEastAsia"/>
                <w:b/>
                <w:sz w:val="21"/>
                <w:szCs w:val="21"/>
              </w:rPr>
              <w:t>环评时间</w:t>
            </w:r>
          </w:p>
        </w:tc>
        <w:tc>
          <w:tcPr>
            <w:tcW w:w="2820" w:type="dxa"/>
            <w:gridSpan w:val="2"/>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2013年1</w:t>
            </w:r>
            <w:r>
              <w:rPr>
                <w:rFonts w:hint="eastAsia" w:ascii="Times New Roman" w:hAnsi="Times New Roman" w:cs="Times New Roman"/>
                <w:sz w:val="21"/>
                <w:szCs w:val="21"/>
                <w:lang w:val="en-US" w:eastAsia="zh-CN"/>
              </w:rPr>
              <w:t>1</w:t>
            </w:r>
            <w:r>
              <w:rPr>
                <w:rFonts w:hint="default" w:ascii="Times New Roman" w:hAnsi="Times New Roman" w:cs="Times New Roman" w:eastAsiaTheme="minorEastAsia"/>
                <w:sz w:val="21"/>
                <w:szCs w:val="21"/>
              </w:rPr>
              <w:t>月</w:t>
            </w:r>
          </w:p>
        </w:tc>
        <w:tc>
          <w:tcPr>
            <w:tcW w:w="1788"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开工</w:t>
            </w:r>
            <w:r>
              <w:rPr>
                <w:rFonts w:hint="default" w:ascii="Times New Roman" w:hAnsi="Times New Roman" w:cs="Times New Roman" w:eastAsiaTheme="minorEastAsia"/>
                <w:b/>
                <w:color w:val="auto"/>
                <w:sz w:val="21"/>
                <w:szCs w:val="21"/>
                <w:lang w:eastAsia="zh-CN"/>
              </w:rPr>
              <w:t>建设</w:t>
            </w:r>
            <w:r>
              <w:rPr>
                <w:rFonts w:hint="default" w:ascii="Times New Roman" w:hAnsi="Times New Roman" w:cs="Times New Roman" w:eastAsiaTheme="minorEastAsia"/>
                <w:b/>
                <w:color w:val="auto"/>
                <w:sz w:val="21"/>
                <w:szCs w:val="21"/>
              </w:rPr>
              <w:t>时间</w:t>
            </w:r>
          </w:p>
        </w:tc>
        <w:tc>
          <w:tcPr>
            <w:tcW w:w="2218" w:type="dxa"/>
            <w:gridSpan w:val="2"/>
            <w:vAlign w:val="center"/>
          </w:tcPr>
          <w:p>
            <w:pPr>
              <w:pStyle w:val="12"/>
              <w:pBdr>
                <w:bottom w:val="none" w:color="auto" w:sz="0" w:space="0"/>
              </w:pBdr>
              <w:tabs>
                <w:tab w:val="clear" w:pos="4153"/>
                <w:tab w:val="clear" w:pos="8306"/>
              </w:tabs>
              <w:snapToGrid/>
              <w:spacing w:line="320" w:lineRule="exact"/>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2014年2月</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2" w:hRule="atLeast"/>
          <w:jc w:val="center"/>
        </w:trPr>
        <w:tc>
          <w:tcPr>
            <w:tcW w:w="2174"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lang w:eastAsia="zh-CN"/>
              </w:rPr>
              <w:t>调试</w:t>
            </w:r>
            <w:r>
              <w:rPr>
                <w:rFonts w:hint="default" w:ascii="Times New Roman" w:hAnsi="Times New Roman" w:cs="Times New Roman" w:eastAsiaTheme="minorEastAsia"/>
                <w:b/>
                <w:color w:val="auto"/>
                <w:sz w:val="21"/>
                <w:szCs w:val="21"/>
              </w:rPr>
              <w:t>时间</w:t>
            </w:r>
          </w:p>
        </w:tc>
        <w:tc>
          <w:tcPr>
            <w:tcW w:w="2820" w:type="dxa"/>
            <w:gridSpan w:val="2"/>
            <w:vAlign w:val="center"/>
          </w:tcPr>
          <w:p>
            <w:pPr>
              <w:spacing w:line="32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2018</w:t>
            </w:r>
            <w:r>
              <w:rPr>
                <w:rFonts w:hint="eastAsia" w:ascii="Times New Roman" w:hAnsi="Times New Roman" w:cs="Times New Roman"/>
                <w:color w:val="auto"/>
                <w:sz w:val="21"/>
                <w:szCs w:val="21"/>
                <w:lang w:val="en-US" w:eastAsia="zh-CN"/>
              </w:rPr>
              <w:t>年11月</w:t>
            </w:r>
          </w:p>
        </w:tc>
        <w:tc>
          <w:tcPr>
            <w:tcW w:w="1788"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lang w:eastAsia="zh-CN"/>
              </w:rPr>
              <w:t>验收</w:t>
            </w:r>
            <w:r>
              <w:rPr>
                <w:rFonts w:hint="default" w:ascii="Times New Roman" w:hAnsi="Times New Roman" w:cs="Times New Roman" w:eastAsiaTheme="minorEastAsia"/>
                <w:b/>
                <w:color w:val="auto"/>
                <w:sz w:val="21"/>
                <w:szCs w:val="21"/>
              </w:rPr>
              <w:t>现场监测时间</w:t>
            </w:r>
          </w:p>
        </w:tc>
        <w:tc>
          <w:tcPr>
            <w:tcW w:w="2218" w:type="dxa"/>
            <w:gridSpan w:val="2"/>
            <w:tcMar>
              <w:left w:w="0" w:type="dxa"/>
              <w:right w:w="0" w:type="dxa"/>
            </w:tcMar>
            <w:vAlign w:val="center"/>
          </w:tcPr>
          <w:p>
            <w:pPr>
              <w:spacing w:line="32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2018.</w:t>
            </w:r>
            <w:r>
              <w:rPr>
                <w:rFonts w:hint="eastAsia" w:ascii="Times New Roman" w:hAnsi="Times New Roman" w:cs="Times New Roman"/>
                <w:color w:val="auto"/>
                <w:sz w:val="21"/>
                <w:szCs w:val="21"/>
                <w:lang w:val="en-US" w:eastAsia="zh-CN"/>
              </w:rPr>
              <w:t>12</w:t>
            </w:r>
            <w:r>
              <w:rPr>
                <w:rFonts w:hint="default" w:ascii="Times New Roman" w:hAnsi="Times New Roman" w:cs="Times New Roman" w:eastAsiaTheme="minorEastAsia"/>
                <w:color w:val="auto"/>
                <w:sz w:val="21"/>
                <w:szCs w:val="21"/>
                <w:lang w:val="en-US" w:eastAsia="zh-CN"/>
              </w:rPr>
              <w:t>.</w:t>
            </w:r>
            <w:r>
              <w:rPr>
                <w:rFonts w:hint="eastAsia" w:ascii="Times New Roman" w:hAnsi="Times New Roman" w:cs="Times New Roman"/>
                <w:color w:val="auto"/>
                <w:sz w:val="21"/>
                <w:szCs w:val="21"/>
                <w:lang w:val="en-US" w:eastAsia="zh-CN"/>
              </w:rPr>
              <w:t>26</w:t>
            </w:r>
            <w:r>
              <w:rPr>
                <w:rFonts w:hint="default" w:ascii="Times New Roman" w:hAnsi="Times New Roman" w:cs="Times New Roman" w:eastAsiaTheme="minorEastAsia"/>
                <w:color w:val="auto"/>
                <w:sz w:val="21"/>
                <w:szCs w:val="21"/>
                <w:lang w:val="en-US" w:eastAsia="zh-CN"/>
              </w:rPr>
              <w:t>-2018.</w:t>
            </w:r>
            <w:r>
              <w:rPr>
                <w:rFonts w:hint="eastAsia" w:ascii="Times New Roman" w:hAnsi="Times New Roman" w:cs="Times New Roman"/>
                <w:color w:val="auto"/>
                <w:sz w:val="21"/>
                <w:szCs w:val="21"/>
                <w:lang w:val="en-US" w:eastAsia="zh-CN"/>
              </w:rPr>
              <w:t>12.27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22" w:hRule="atLeast"/>
          <w:jc w:val="center"/>
        </w:trPr>
        <w:tc>
          <w:tcPr>
            <w:tcW w:w="2174"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环评报告表</w:t>
            </w:r>
          </w:p>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审批部门</w:t>
            </w:r>
          </w:p>
        </w:tc>
        <w:tc>
          <w:tcPr>
            <w:tcW w:w="2820" w:type="dxa"/>
            <w:gridSpan w:val="2"/>
            <w:vAlign w:val="center"/>
          </w:tcPr>
          <w:p>
            <w:pPr>
              <w:spacing w:line="320" w:lineRule="exac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太原市环境保护局尖草坪分局</w:t>
            </w:r>
          </w:p>
        </w:tc>
        <w:tc>
          <w:tcPr>
            <w:tcW w:w="1788"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环评报告表</w:t>
            </w:r>
          </w:p>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编制单位</w:t>
            </w:r>
          </w:p>
        </w:tc>
        <w:tc>
          <w:tcPr>
            <w:tcW w:w="2218" w:type="dxa"/>
            <w:gridSpan w:val="2"/>
            <w:vAlign w:val="center"/>
          </w:tcPr>
          <w:p>
            <w:pPr>
              <w:spacing w:line="320" w:lineRule="exact"/>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eastAsia="zh-CN"/>
              </w:rPr>
              <w:t>太原市环境科学研究院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22" w:hRule="atLeast"/>
          <w:jc w:val="center"/>
        </w:trPr>
        <w:tc>
          <w:tcPr>
            <w:tcW w:w="2174" w:type="dxa"/>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环保设施设计单位</w:t>
            </w:r>
          </w:p>
        </w:tc>
        <w:tc>
          <w:tcPr>
            <w:tcW w:w="2820" w:type="dxa"/>
            <w:gridSpan w:val="2"/>
            <w:textDirection w:val="lrTb"/>
            <w:vAlign w:val="center"/>
          </w:tcPr>
          <w:p>
            <w:pPr>
              <w:spacing w:line="320" w:lineRule="exact"/>
              <w:jc w:val="center"/>
              <w:rPr>
                <w:rFonts w:hint="default" w:ascii="Times New Roman" w:hAnsi="Times New Roman" w:cs="Times New Roman" w:eastAsiaTheme="minorEastAsia"/>
                <w:color w:val="auto"/>
                <w:sz w:val="21"/>
                <w:szCs w:val="21"/>
              </w:rPr>
            </w:pPr>
            <w:r>
              <w:rPr>
                <w:rFonts w:hint="eastAsia" w:cs="Times New Roman" w:eastAsiaTheme="minorEastAsia"/>
                <w:b w:val="0"/>
                <w:bCs/>
                <w:sz w:val="21"/>
                <w:szCs w:val="21"/>
                <w:lang w:eastAsia="zh-CN"/>
              </w:rPr>
              <w:t>山西太钢工程技术有限公司</w:t>
            </w:r>
          </w:p>
        </w:tc>
        <w:tc>
          <w:tcPr>
            <w:tcW w:w="1788" w:type="dxa"/>
            <w:textDirection w:val="lrTb"/>
            <w:vAlign w:val="center"/>
          </w:tcPr>
          <w:p>
            <w:pPr>
              <w:spacing w:line="320" w:lineRule="exact"/>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环保设施施工单位</w:t>
            </w:r>
          </w:p>
        </w:tc>
        <w:tc>
          <w:tcPr>
            <w:tcW w:w="2218" w:type="dxa"/>
            <w:gridSpan w:val="2"/>
            <w:tcMar>
              <w:left w:w="0" w:type="dxa"/>
              <w:right w:w="0" w:type="dxa"/>
            </w:tcMar>
            <w:textDirection w:val="lrTb"/>
            <w:vAlign w:val="center"/>
          </w:tcPr>
          <w:p>
            <w:pPr>
              <w:spacing w:line="320" w:lineRule="exact"/>
              <w:jc w:val="center"/>
              <w:rPr>
                <w:rFonts w:hint="default" w:ascii="Times New Roman" w:hAnsi="Times New Roman" w:cs="Times New Roman" w:eastAsiaTheme="minorEastAsia"/>
                <w:color w:val="auto"/>
                <w:spacing w:val="-4"/>
                <w:sz w:val="21"/>
                <w:szCs w:val="21"/>
              </w:rPr>
            </w:pPr>
            <w:r>
              <w:rPr>
                <w:rFonts w:hint="eastAsia" w:cs="Times New Roman" w:eastAsiaTheme="minorEastAsia"/>
                <w:b w:val="0"/>
                <w:bCs/>
                <w:spacing w:val="-4"/>
                <w:sz w:val="21"/>
                <w:szCs w:val="21"/>
                <w:lang w:eastAsia="zh-CN"/>
              </w:rPr>
              <w:t>山西钢铁建设集团有限公司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47"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投资总概算</w:t>
            </w:r>
          </w:p>
        </w:tc>
        <w:tc>
          <w:tcPr>
            <w:tcW w:w="1302" w:type="dxa"/>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46902万</w:t>
            </w:r>
          </w:p>
        </w:tc>
        <w:tc>
          <w:tcPr>
            <w:tcW w:w="1518" w:type="dxa"/>
            <w:tcMar>
              <w:left w:w="0" w:type="dxa"/>
              <w:right w:w="0" w:type="dxa"/>
            </w:tcMar>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环保投资</w:t>
            </w:r>
            <w:r>
              <w:rPr>
                <w:rFonts w:hint="default" w:ascii="Times New Roman" w:hAnsi="Times New Roman" w:cs="Times New Roman" w:eastAsiaTheme="minorEastAsia"/>
                <w:b/>
                <w:sz w:val="21"/>
                <w:szCs w:val="21"/>
                <w:lang w:eastAsia="zh-CN"/>
              </w:rPr>
              <w:t>总</w:t>
            </w:r>
            <w:r>
              <w:rPr>
                <w:rFonts w:hint="default" w:ascii="Times New Roman" w:hAnsi="Times New Roman" w:cs="Times New Roman" w:eastAsiaTheme="minorEastAsia"/>
                <w:b/>
                <w:sz w:val="21"/>
                <w:szCs w:val="21"/>
              </w:rPr>
              <w:t>概算</w:t>
            </w:r>
          </w:p>
        </w:tc>
        <w:tc>
          <w:tcPr>
            <w:tcW w:w="1788" w:type="dxa"/>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Cs/>
                <w:snapToGrid w:val="0"/>
                <w:kern w:val="0"/>
                <w:sz w:val="21"/>
                <w:szCs w:val="21"/>
              </w:rPr>
              <w:t>229万</w:t>
            </w:r>
          </w:p>
        </w:tc>
        <w:tc>
          <w:tcPr>
            <w:tcW w:w="833"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比例</w:t>
            </w:r>
          </w:p>
        </w:tc>
        <w:tc>
          <w:tcPr>
            <w:tcW w:w="1385" w:type="dxa"/>
            <w:textDirection w:val="lrTb"/>
            <w:vAlign w:val="center"/>
          </w:tcPr>
          <w:p>
            <w:pPr>
              <w:pStyle w:val="12"/>
              <w:pBdr>
                <w:bottom w:val="none" w:color="auto" w:sz="0" w:space="0"/>
              </w:pBdr>
              <w:tabs>
                <w:tab w:val="clear" w:pos="4153"/>
                <w:tab w:val="clear" w:pos="8306"/>
              </w:tabs>
              <w:snapToGrid/>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sz w:val="21"/>
                <w:szCs w:val="21"/>
              </w:rPr>
              <w:t>0.</w:t>
            </w:r>
            <w:r>
              <w:rPr>
                <w:rFonts w:hint="eastAsia" w:cs="Times New Roman" w:eastAsiaTheme="minorEastAsia"/>
                <w:b w:val="0"/>
                <w:bCs/>
                <w:sz w:val="21"/>
                <w:szCs w:val="21"/>
                <w:lang w:val="en-US" w:eastAsia="zh-CN"/>
              </w:rPr>
              <w:t>488</w:t>
            </w:r>
            <w:r>
              <w:rPr>
                <w:rFonts w:hint="default" w:ascii="Times New Roman" w:hAnsi="Times New Roman" w:cs="Times New Roman" w:eastAsiaTheme="minorEastAsia"/>
                <w:b w:val="0"/>
                <w:bCs/>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2" w:hRule="atLeast"/>
          <w:jc w:val="center"/>
        </w:trPr>
        <w:tc>
          <w:tcPr>
            <w:tcW w:w="2174"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实际总投资</w:t>
            </w:r>
          </w:p>
        </w:tc>
        <w:tc>
          <w:tcPr>
            <w:tcW w:w="1302" w:type="dxa"/>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46</w:t>
            </w:r>
            <w:r>
              <w:rPr>
                <w:rFonts w:hint="eastAsia" w:ascii="Times New Roman" w:hAnsi="Times New Roman" w:cs="Times New Roman"/>
                <w:sz w:val="21"/>
                <w:szCs w:val="21"/>
                <w:lang w:val="en-US" w:eastAsia="zh-CN"/>
              </w:rPr>
              <w:t>880</w:t>
            </w:r>
            <w:r>
              <w:rPr>
                <w:rFonts w:hint="default" w:ascii="Times New Roman" w:hAnsi="Times New Roman" w:cs="Times New Roman" w:eastAsiaTheme="minorEastAsia"/>
                <w:sz w:val="21"/>
                <w:szCs w:val="21"/>
              </w:rPr>
              <w:t>万</w:t>
            </w:r>
          </w:p>
        </w:tc>
        <w:tc>
          <w:tcPr>
            <w:tcW w:w="1518" w:type="dxa"/>
            <w:tcMar>
              <w:left w:w="0" w:type="dxa"/>
              <w:right w:w="0" w:type="dxa"/>
            </w:tcMar>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环保投资</w:t>
            </w:r>
          </w:p>
        </w:tc>
        <w:tc>
          <w:tcPr>
            <w:tcW w:w="1788" w:type="dxa"/>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Cs/>
                <w:snapToGrid w:val="0"/>
                <w:kern w:val="0"/>
                <w:sz w:val="21"/>
                <w:szCs w:val="21"/>
              </w:rPr>
              <w:t>2</w:t>
            </w:r>
            <w:r>
              <w:rPr>
                <w:rFonts w:hint="eastAsia" w:ascii="Times New Roman" w:hAnsi="Times New Roman" w:cs="Times New Roman"/>
                <w:bCs/>
                <w:snapToGrid w:val="0"/>
                <w:kern w:val="0"/>
                <w:sz w:val="21"/>
                <w:szCs w:val="21"/>
                <w:lang w:val="en-US" w:eastAsia="zh-CN"/>
              </w:rPr>
              <w:t>30</w:t>
            </w:r>
            <w:r>
              <w:rPr>
                <w:rFonts w:hint="default" w:ascii="Times New Roman" w:hAnsi="Times New Roman" w:cs="Times New Roman" w:eastAsiaTheme="minorEastAsia"/>
                <w:bCs/>
                <w:snapToGrid w:val="0"/>
                <w:kern w:val="0"/>
                <w:sz w:val="21"/>
                <w:szCs w:val="21"/>
              </w:rPr>
              <w:t>万</w:t>
            </w:r>
          </w:p>
        </w:tc>
        <w:tc>
          <w:tcPr>
            <w:tcW w:w="833" w:type="dxa"/>
            <w:vAlign w:val="center"/>
          </w:tcPr>
          <w:p>
            <w:pPr>
              <w:spacing w:line="320" w:lineRule="exact"/>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比例</w:t>
            </w:r>
          </w:p>
        </w:tc>
        <w:tc>
          <w:tcPr>
            <w:tcW w:w="1385" w:type="dxa"/>
            <w:textDirection w:val="lrTb"/>
            <w:vAlign w:val="center"/>
          </w:tcPr>
          <w:p>
            <w:pPr>
              <w:spacing w:line="320" w:lineRule="exac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sz w:val="21"/>
                <w:szCs w:val="21"/>
              </w:rPr>
              <w:t>0.</w:t>
            </w:r>
            <w:r>
              <w:rPr>
                <w:rFonts w:hint="eastAsia" w:cs="Times New Roman" w:eastAsiaTheme="minorEastAsia"/>
                <w:b w:val="0"/>
                <w:bCs/>
                <w:sz w:val="21"/>
                <w:szCs w:val="21"/>
                <w:lang w:val="en-US" w:eastAsia="zh-CN"/>
              </w:rPr>
              <w:t>491</w:t>
            </w:r>
            <w:r>
              <w:rPr>
                <w:rFonts w:hint="default" w:ascii="Times New Roman" w:hAnsi="Times New Roman" w:cs="Times New Roman" w:eastAsiaTheme="minorEastAsia"/>
                <w:b w:val="0"/>
                <w:bCs/>
                <w:sz w:val="21"/>
                <w:szCs w:val="21"/>
              </w:rPr>
              <w:t>%</w:t>
            </w:r>
          </w:p>
        </w:tc>
      </w:tr>
    </w:tbl>
    <w:p>
      <w:pPr>
        <w:pStyle w:val="9"/>
        <w:numPr>
          <w:ilvl w:val="0"/>
          <w:numId w:val="0"/>
        </w:numPr>
        <w:spacing w:line="560" w:lineRule="exact"/>
        <w:ind w:leftChars="0"/>
        <w:rPr>
          <w:b/>
          <w:sz w:val="28"/>
          <w:szCs w:val="28"/>
        </w:rPr>
      </w:pPr>
      <w:bookmarkStart w:id="32" w:name="_Toc9047_WPSOffice_Level3"/>
      <w:bookmarkStart w:id="33" w:name="_Toc4621_WPSOffice_Level2"/>
      <w:bookmarkStart w:id="34" w:name="_Toc2984_WPSOffice_Level2"/>
      <w:r>
        <w:rPr>
          <w:rFonts w:hint="eastAsia"/>
          <w:b/>
          <w:sz w:val="28"/>
          <w:szCs w:val="28"/>
          <w:lang w:val="en-US" w:eastAsia="zh-CN"/>
        </w:rPr>
        <w:t>2、</w:t>
      </w:r>
      <w:r>
        <w:rPr>
          <w:b/>
          <w:sz w:val="28"/>
          <w:szCs w:val="28"/>
        </w:rPr>
        <w:t>工程建设内容</w:t>
      </w:r>
      <w:bookmarkEnd w:id="32"/>
    </w:p>
    <w:p>
      <w:pPr>
        <w:pStyle w:val="9"/>
        <w:numPr>
          <w:ilvl w:val="0"/>
          <w:numId w:val="0"/>
        </w:numPr>
        <w:spacing w:line="360" w:lineRule="auto"/>
        <w:ind w:leftChars="0"/>
        <w:rPr>
          <w:rFonts w:hint="eastAsia" w:asciiTheme="minorEastAsia" w:hAnsiTheme="minorEastAsia" w:eastAsiaTheme="minorEastAsia" w:cstheme="minorEastAsia"/>
          <w:sz w:val="24"/>
        </w:rPr>
      </w:pPr>
      <w:r>
        <w:rPr>
          <w:rFonts w:hint="eastAsia"/>
          <w:b/>
          <w:sz w:val="28"/>
          <w:szCs w:val="28"/>
          <w:lang w:val="en-US" w:eastAsia="zh-CN"/>
        </w:rPr>
        <w:t xml:space="preserve">   </w:t>
      </w:r>
      <w:r>
        <w:rPr>
          <w:rFonts w:hint="eastAsia" w:asciiTheme="minorEastAsia" w:hAnsiTheme="minorEastAsia" w:eastAsiaTheme="minorEastAsia" w:cstheme="minorEastAsia"/>
          <w:sz w:val="24"/>
          <w:szCs w:val="24"/>
        </w:rPr>
        <w:t>本工程主要建设内容</w:t>
      </w:r>
      <w:r>
        <w:rPr>
          <w:rFonts w:hint="eastAsia" w:asciiTheme="minorEastAsia" w:hAnsiTheme="minorEastAsia" w:eastAsiaTheme="minorEastAsia" w:cstheme="minorEastAsia"/>
          <w:sz w:val="24"/>
        </w:rPr>
        <w:t>包括供配电系统优化改造情况、换热首站、一次热力网、泵站、软水站等，详见项目总平面布置图附图2。</w:t>
      </w:r>
    </w:p>
    <w:p>
      <w:pPr>
        <w:pStyle w:val="2"/>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sz w:val="24"/>
          <w:szCs w:val="24"/>
          <w:lang w:val="en-US" w:eastAsia="zh-CN"/>
        </w:rPr>
      </w:pPr>
      <w:bookmarkStart w:id="35" w:name="_Toc22620_WPSOffice_Level2"/>
      <w:bookmarkStart w:id="36" w:name="_Toc2764_WPSOffice_Level2"/>
      <w:r>
        <w:rPr>
          <w:rFonts w:hint="eastAsia" w:asciiTheme="minorEastAsia" w:hAnsiTheme="minorEastAsia" w:eastAsiaTheme="minorEastAsia" w:cstheme="minorEastAsia"/>
          <w:b/>
          <w:bCs/>
          <w:sz w:val="24"/>
          <w:szCs w:val="24"/>
          <w:lang w:val="en-US" w:eastAsia="zh-CN"/>
        </w:rPr>
        <w:t>表2.5 项目工程建设主要内容一览表</w:t>
      </w:r>
      <w:bookmarkEnd w:id="35"/>
      <w:bookmarkEnd w:id="36"/>
    </w:p>
    <w:tbl>
      <w:tblPr>
        <w:tblStyle w:val="16"/>
        <w:tblW w:w="9000" w:type="dxa"/>
        <w:jc w:val="center"/>
        <w:tblInd w:w="-386" w:type="dxa"/>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1124"/>
        <w:gridCol w:w="1574"/>
        <w:gridCol w:w="2317"/>
        <w:gridCol w:w="2223"/>
        <w:gridCol w:w="176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50" w:hRule="atLeast"/>
          <w:jc w:val="center"/>
        </w:trPr>
        <w:tc>
          <w:tcPr>
            <w:tcW w:w="112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建设项目</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设备名称</w:t>
            </w:r>
          </w:p>
        </w:tc>
        <w:tc>
          <w:tcPr>
            <w:tcW w:w="2317"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环评要求建设内容</w:t>
            </w:r>
          </w:p>
        </w:tc>
        <w:tc>
          <w:tcPr>
            <w:tcW w:w="2223"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工程实际建设内容</w:t>
            </w:r>
          </w:p>
        </w:tc>
        <w:tc>
          <w:tcPr>
            <w:tcW w:w="1762"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是否与环评一致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供配电系统</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pacing w:val="-6"/>
                <w:sz w:val="21"/>
                <w:szCs w:val="21"/>
              </w:rPr>
            </w:pPr>
            <w:r>
              <w:rPr>
                <w:rFonts w:hint="default" w:ascii="Times New Roman" w:hAnsi="Times New Roman" w:cs="Times New Roman" w:eastAsiaTheme="minorEastAsia"/>
                <w:spacing w:val="-6"/>
                <w:sz w:val="21"/>
                <w:szCs w:val="21"/>
              </w:rPr>
              <w:t>200kv总降站变压器</w:t>
            </w:r>
          </w:p>
        </w:tc>
        <w:tc>
          <w:tcPr>
            <w:tcW w:w="2317"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对现有</w:t>
            </w:r>
            <w:r>
              <w:rPr>
                <w:rFonts w:hint="default" w:ascii="Times New Roman" w:hAnsi="Times New Roman" w:cs="Times New Roman" w:eastAsiaTheme="minorEastAsia"/>
                <w:sz w:val="21"/>
                <w:szCs w:val="21"/>
                <w:lang w:val="en-US" w:eastAsia="zh-CN"/>
              </w:rPr>
              <w:t>220KV、110KV、10KV变电站进行改造，更换3台220KV变压器、8台110KV变压器及其配套设备，改造2座10KV变电站高压开关柜及其配套设备。</w:t>
            </w:r>
          </w:p>
        </w:tc>
        <w:tc>
          <w:tcPr>
            <w:tcW w:w="2223"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对</w:t>
            </w:r>
            <w:r>
              <w:rPr>
                <w:rFonts w:hint="default" w:ascii="Times New Roman" w:hAnsi="Times New Roman" w:cs="Times New Roman" w:eastAsiaTheme="minorEastAsia"/>
                <w:sz w:val="21"/>
                <w:szCs w:val="21"/>
                <w:lang w:val="en-US" w:eastAsia="zh-CN"/>
              </w:rPr>
              <w:t>220KV、110KV、10KV变电站进行了改造，更换了3台220KV变压器、8台110KV变压器及其配套设备，对2座10KV变电站高压开关柜及其配套设备进行了改造。</w:t>
            </w:r>
          </w:p>
        </w:tc>
        <w:tc>
          <w:tcPr>
            <w:tcW w:w="1762"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pacing w:val="-6"/>
                <w:sz w:val="21"/>
                <w:szCs w:val="21"/>
              </w:rPr>
              <w:t>110kv降压站变压器</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无功补偿装置</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1387"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高压开关柜</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空冷岛乏汽系统</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凝汽器</w:t>
            </w:r>
          </w:p>
        </w:tc>
        <w:tc>
          <w:tcPr>
            <w:tcW w:w="2317"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建设一条对能源动力总厂</w:t>
            </w:r>
            <w:r>
              <w:rPr>
                <w:rFonts w:hint="default" w:ascii="Times New Roman" w:hAnsi="Times New Roman" w:cs="Times New Roman" w:eastAsiaTheme="minorEastAsia"/>
                <w:sz w:val="21"/>
                <w:szCs w:val="21"/>
                <w:lang w:val="en-US" w:eastAsia="zh-CN"/>
              </w:rPr>
              <w:t>2×300MW发电机组空冷岛乏汽余热进行回收的供热线，包括1套加压泵房、2套热网凝气器及相应配套设施和管线。</w:t>
            </w:r>
          </w:p>
        </w:tc>
        <w:tc>
          <w:tcPr>
            <w:tcW w:w="2223"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建成一条能源动力总厂</w:t>
            </w:r>
            <w:r>
              <w:rPr>
                <w:rFonts w:hint="default" w:ascii="Times New Roman" w:hAnsi="Times New Roman" w:cs="Times New Roman" w:eastAsiaTheme="minorEastAsia"/>
                <w:sz w:val="21"/>
                <w:szCs w:val="21"/>
                <w:lang w:val="en-US" w:eastAsia="zh-CN"/>
              </w:rPr>
              <w:t>2×300MW发电机组空冷岛乏汽余热进行回收的供热线，包括1套加压泵房、2套热网凝气器及相应配套设施和管线。</w:t>
            </w:r>
          </w:p>
        </w:tc>
        <w:tc>
          <w:tcPr>
            <w:tcW w:w="1762"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一次热力网</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其中：直埋管道</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架空管道</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冷却器</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冲渣水系统</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冲渣水换热站</w:t>
            </w:r>
          </w:p>
        </w:tc>
        <w:tc>
          <w:tcPr>
            <w:tcW w:w="2317"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建设一条</w:t>
            </w:r>
            <w:r>
              <w:rPr>
                <w:rFonts w:hint="default" w:ascii="Times New Roman" w:hAnsi="Times New Roman" w:cs="Times New Roman" w:eastAsiaTheme="minorEastAsia"/>
                <w:sz w:val="21"/>
                <w:szCs w:val="21"/>
                <w:lang w:val="en-US" w:eastAsia="zh-CN"/>
              </w:rPr>
              <w:t>5#高炉冲渣水余热回收供热线，包括2套渣水换热站、1套补热站及其相应配套设施和管线。</w:t>
            </w:r>
          </w:p>
        </w:tc>
        <w:tc>
          <w:tcPr>
            <w:tcW w:w="2223"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建成一条</w:t>
            </w:r>
            <w:r>
              <w:rPr>
                <w:rFonts w:hint="default" w:ascii="Times New Roman" w:hAnsi="Times New Roman" w:cs="Times New Roman" w:eastAsiaTheme="minorEastAsia"/>
                <w:sz w:val="21"/>
                <w:szCs w:val="21"/>
                <w:lang w:val="en-US" w:eastAsia="zh-CN"/>
              </w:rPr>
              <w:t>5#高炉冲渣水余热回收供热线，包括2套渣水换热站、1套补热站及其相应配套设施和管线。</w:t>
            </w:r>
          </w:p>
        </w:tc>
        <w:tc>
          <w:tcPr>
            <w:tcW w:w="1762"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蒸汽热网补热站</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一次热力网</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直埋管道</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架空管道</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辅助工程</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软水处理系统</w:t>
            </w:r>
          </w:p>
        </w:tc>
        <w:tc>
          <w:tcPr>
            <w:tcW w:w="2317"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lang w:eastAsia="zh-CN"/>
              </w:rPr>
              <w:t>建设</w:t>
            </w:r>
            <w:r>
              <w:rPr>
                <w:rFonts w:hint="default" w:ascii="Times New Roman" w:hAnsi="Times New Roman" w:cs="Times New Roman" w:eastAsiaTheme="minorEastAsia"/>
                <w:sz w:val="21"/>
                <w:szCs w:val="21"/>
                <w:lang w:val="en-US" w:eastAsia="zh-CN"/>
              </w:rPr>
              <w:t>1座60m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vertAlign w:val="baseline"/>
                <w:lang w:val="en-US" w:eastAsia="zh-CN"/>
              </w:rPr>
              <w:t>/h的软水处理站</w:t>
            </w:r>
          </w:p>
        </w:tc>
        <w:tc>
          <w:tcPr>
            <w:tcW w:w="2223"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w:t>
            </w:r>
            <w:r>
              <w:rPr>
                <w:rFonts w:hint="default" w:ascii="Times New Roman" w:hAnsi="Times New Roman" w:cs="Times New Roman" w:eastAsiaTheme="minorEastAsia"/>
                <w:sz w:val="21"/>
                <w:szCs w:val="21"/>
                <w:lang w:val="en-US" w:eastAsia="zh-CN"/>
              </w:rPr>
              <w:t>1座60m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vertAlign w:val="baseline"/>
                <w:lang w:val="en-US" w:eastAsia="zh-CN"/>
              </w:rPr>
              <w:t>/h的软水处理站</w:t>
            </w:r>
          </w:p>
        </w:tc>
        <w:tc>
          <w:tcPr>
            <w:tcW w:w="1762"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1805"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泵站</w:t>
            </w:r>
          </w:p>
        </w:tc>
        <w:tc>
          <w:tcPr>
            <w:tcW w:w="2317" w:type="dxa"/>
            <w:tcBorders>
              <w:tl2br w:val="nil"/>
              <w:tr2bl w:val="nil"/>
            </w:tcBorders>
            <w:vAlign w:val="center"/>
          </w:tcPr>
          <w:p>
            <w:pPr>
              <w:snapToGrid w:val="0"/>
              <w:spacing w:line="240" w:lineRule="auto"/>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建设1</w:t>
            </w:r>
            <w:r>
              <w:rPr>
                <w:rFonts w:hint="default" w:ascii="Times New Roman" w:hAnsi="Times New Roman" w:cs="Times New Roman" w:eastAsiaTheme="minorEastAsia"/>
                <w:sz w:val="21"/>
                <w:szCs w:val="21"/>
              </w:rPr>
              <w:t>座</w:t>
            </w:r>
            <w:r>
              <w:rPr>
                <w:rFonts w:hint="default" w:ascii="Times New Roman" w:hAnsi="Times New Roman" w:cs="Times New Roman" w:eastAsiaTheme="minorEastAsia"/>
                <w:sz w:val="21"/>
                <w:szCs w:val="21"/>
                <w:lang w:eastAsia="zh-CN"/>
              </w:rPr>
              <w:t>泵站，其中</w:t>
            </w:r>
            <w:r>
              <w:rPr>
                <w:rFonts w:hint="default" w:ascii="Times New Roman" w:hAnsi="Times New Roman" w:cs="Times New Roman" w:eastAsiaTheme="minorEastAsia"/>
                <w:sz w:val="21"/>
                <w:szCs w:val="21"/>
              </w:rPr>
              <w:t>循环泵4台，</w:t>
            </w:r>
            <w:r>
              <w:rPr>
                <w:rFonts w:hint="default" w:ascii="Times New Roman" w:hAnsi="Times New Roman" w:cs="Times New Roman" w:eastAsiaTheme="minorEastAsia"/>
                <w:sz w:val="21"/>
                <w:szCs w:val="21"/>
                <w:lang w:eastAsia="zh-CN"/>
              </w:rPr>
              <w:t>两</w:t>
            </w:r>
            <w:r>
              <w:rPr>
                <w:rFonts w:hint="default" w:ascii="Times New Roman" w:hAnsi="Times New Roman" w:cs="Times New Roman" w:eastAsiaTheme="minorEastAsia"/>
                <w:sz w:val="21"/>
                <w:szCs w:val="21"/>
              </w:rPr>
              <w:t>开</w:t>
            </w:r>
            <w:r>
              <w:rPr>
                <w:rFonts w:hint="default" w:ascii="Times New Roman" w:hAnsi="Times New Roman" w:cs="Times New Roman" w:eastAsiaTheme="minorEastAsia"/>
                <w:sz w:val="21"/>
                <w:szCs w:val="21"/>
                <w:lang w:eastAsia="zh-CN"/>
              </w:rPr>
              <w:t>两</w:t>
            </w:r>
            <w:r>
              <w:rPr>
                <w:rFonts w:hint="default" w:ascii="Times New Roman" w:hAnsi="Times New Roman" w:cs="Times New Roman" w:eastAsiaTheme="minorEastAsia"/>
                <w:sz w:val="21"/>
                <w:szCs w:val="21"/>
              </w:rPr>
              <w:t>备，流量：1300m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/h;扬程：90米；补水泵两台一开一备，流量：100 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/h;扬程：45米；</w:t>
            </w:r>
          </w:p>
        </w:tc>
        <w:tc>
          <w:tcPr>
            <w:tcW w:w="2223"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建成一座泵站</w:t>
            </w:r>
          </w:p>
        </w:tc>
        <w:tc>
          <w:tcPr>
            <w:tcW w:w="1762"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公用工程</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供水系统</w:t>
            </w:r>
          </w:p>
        </w:tc>
        <w:tc>
          <w:tcPr>
            <w:tcW w:w="2317"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厂内由公司统一提供</w:t>
            </w:r>
          </w:p>
        </w:tc>
        <w:tc>
          <w:tcPr>
            <w:tcW w:w="2223"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利旧</w:t>
            </w:r>
          </w:p>
        </w:tc>
        <w:tc>
          <w:tcPr>
            <w:tcW w:w="1762"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326" w:hRule="atLeast"/>
          <w:jc w:val="center"/>
        </w:trPr>
        <w:tc>
          <w:tcPr>
            <w:tcW w:w="11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供电系统</w:t>
            </w:r>
          </w:p>
        </w:tc>
        <w:tc>
          <w:tcPr>
            <w:tcW w:w="2317"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223"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62"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611" w:hRule="atLeast"/>
          <w:jc w:val="center"/>
        </w:trPr>
        <w:tc>
          <w:tcPr>
            <w:tcW w:w="11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环保</w:t>
            </w:r>
          </w:p>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vertAlign w:val="baseline"/>
                <w:lang w:eastAsia="zh-CN"/>
              </w:rPr>
              <w:t>工程</w:t>
            </w:r>
          </w:p>
        </w:tc>
        <w:tc>
          <w:tcPr>
            <w:tcW w:w="157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噪声防治</w:t>
            </w:r>
          </w:p>
        </w:tc>
        <w:tc>
          <w:tcPr>
            <w:tcW w:w="2317"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主要是</w:t>
            </w:r>
            <w:r>
              <w:rPr>
                <w:rFonts w:hint="default" w:ascii="Times New Roman" w:hAnsi="Times New Roman" w:cs="Times New Roman" w:eastAsiaTheme="minorEastAsia"/>
                <w:sz w:val="21"/>
                <w:szCs w:val="21"/>
              </w:rPr>
              <w:t>基础减振、和密闭厂房隔音</w:t>
            </w:r>
          </w:p>
        </w:tc>
        <w:tc>
          <w:tcPr>
            <w:tcW w:w="2223"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主要是</w:t>
            </w:r>
            <w:r>
              <w:rPr>
                <w:rFonts w:hint="default" w:ascii="Times New Roman" w:hAnsi="Times New Roman" w:cs="Times New Roman" w:eastAsiaTheme="minorEastAsia"/>
                <w:sz w:val="21"/>
                <w:szCs w:val="21"/>
              </w:rPr>
              <w:t>基础减振、和密闭厂房隔音</w:t>
            </w:r>
          </w:p>
        </w:tc>
        <w:tc>
          <w:tcPr>
            <w:tcW w:w="1762"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921" w:hRule="atLeast"/>
          <w:jc w:val="center"/>
        </w:trPr>
        <w:tc>
          <w:tcPr>
            <w:tcW w:w="1124" w:type="dxa"/>
            <w:vMerge w:val="continue"/>
            <w:tcBorders>
              <w:tl2br w:val="nil"/>
              <w:tr2bl w:val="nil"/>
            </w:tcBorders>
            <w:vAlign w:val="center"/>
          </w:tcPr>
          <w:p>
            <w:pPr>
              <w:pStyle w:val="2"/>
              <w:jc w:val="center"/>
              <w:rPr>
                <w:rFonts w:hint="default" w:ascii="Times New Roman" w:hAnsi="Times New Roman" w:cs="Times New Roman" w:eastAsiaTheme="minorEastAsia"/>
                <w:sz w:val="21"/>
                <w:szCs w:val="21"/>
              </w:rPr>
            </w:pPr>
          </w:p>
        </w:tc>
        <w:tc>
          <w:tcPr>
            <w:tcW w:w="1574" w:type="dxa"/>
            <w:tcBorders>
              <w:tl2br w:val="nil"/>
              <w:tr2bl w:val="nil"/>
            </w:tcBorders>
            <w:vAlign w:val="center"/>
          </w:tcPr>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污水处理排放</w:t>
            </w:r>
          </w:p>
        </w:tc>
        <w:tc>
          <w:tcPr>
            <w:tcW w:w="2317" w:type="dxa"/>
            <w:tcBorders>
              <w:tl2br w:val="nil"/>
              <w:tr2bl w:val="nil"/>
            </w:tcBorders>
            <w:vAlign w:val="center"/>
          </w:tcPr>
          <w:p>
            <w:pPr>
              <w:snapToGrid w:val="0"/>
              <w:spacing w:line="240" w:lineRule="atLeas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软化水系统排污水由太钢公司污水处理</w:t>
            </w:r>
            <w:r>
              <w:rPr>
                <w:rFonts w:hint="eastAsia" w:ascii="Times New Roman" w:hAnsi="Times New Roman" w:cs="Times New Roman" w:eastAsiaTheme="minorEastAsia"/>
                <w:sz w:val="21"/>
                <w:szCs w:val="21"/>
                <w:lang w:eastAsia="zh-CN"/>
              </w:rPr>
              <w:t>系统</w:t>
            </w:r>
            <w:r>
              <w:rPr>
                <w:rFonts w:hint="default" w:ascii="Times New Roman" w:hAnsi="Times New Roman" w:cs="Times New Roman" w:eastAsiaTheme="minorEastAsia"/>
                <w:sz w:val="21"/>
                <w:szCs w:val="21"/>
              </w:rPr>
              <w:t>统一处理</w:t>
            </w:r>
          </w:p>
        </w:tc>
        <w:tc>
          <w:tcPr>
            <w:tcW w:w="2223" w:type="dxa"/>
            <w:tcBorders>
              <w:tl2br w:val="nil"/>
              <w:tr2bl w:val="nil"/>
            </w:tcBorders>
            <w:vAlign w:val="center"/>
          </w:tcPr>
          <w:p>
            <w:pPr>
              <w:pStyle w:val="2"/>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利旧</w:t>
            </w:r>
          </w:p>
        </w:tc>
        <w:tc>
          <w:tcPr>
            <w:tcW w:w="1762" w:type="dxa"/>
            <w:tcBorders>
              <w:tl2br w:val="nil"/>
              <w:tr2bl w:val="nil"/>
            </w:tcBorders>
            <w:vAlign w:val="center"/>
          </w:tcPr>
          <w:p>
            <w:pPr>
              <w:pStyle w:val="2"/>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bl>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outlineLvl w:val="9"/>
        <w:rPr>
          <w:rFonts w:hint="eastAsia"/>
          <w:b/>
          <w:sz w:val="28"/>
          <w:szCs w:val="28"/>
          <w:lang w:val="en-US" w:eastAsia="zh-CN"/>
        </w:rPr>
      </w:pPr>
      <w:bookmarkStart w:id="37" w:name="_Toc24438_WPSOffice_Level3"/>
      <w:r>
        <w:rPr>
          <w:rFonts w:hint="eastAsia"/>
          <w:b/>
          <w:sz w:val="28"/>
          <w:szCs w:val="28"/>
          <w:lang w:val="en-US" w:eastAsia="zh-CN"/>
        </w:rPr>
        <w:t>投资概况</w:t>
      </w:r>
      <w:bookmarkEnd w:id="37"/>
    </w:p>
    <w:p>
      <w:pPr>
        <w:pStyle w:val="2"/>
        <w:jc w:val="center"/>
        <w:rPr>
          <w:rFonts w:hint="eastAsia"/>
          <w:b/>
          <w:bCs/>
          <w:lang w:val="en-US" w:eastAsia="zh-CN"/>
        </w:rPr>
      </w:pPr>
      <w:r>
        <w:rPr>
          <w:rFonts w:hint="eastAsia"/>
          <w:b/>
          <w:bCs/>
          <w:szCs w:val="24"/>
          <w:lang w:eastAsia="zh-CN"/>
        </w:rPr>
        <w:t>表</w:t>
      </w:r>
      <w:r>
        <w:rPr>
          <w:rFonts w:hint="eastAsia"/>
          <w:b/>
          <w:bCs/>
          <w:szCs w:val="24"/>
          <w:lang w:val="en-US" w:eastAsia="zh-CN"/>
        </w:rPr>
        <w:t xml:space="preserve">3.1  </w:t>
      </w:r>
      <w:r>
        <w:rPr>
          <w:b/>
          <w:bCs/>
          <w:szCs w:val="24"/>
        </w:rPr>
        <w:t>环保设施投资情况一览表</w:t>
      </w:r>
    </w:p>
    <w:tbl>
      <w:tblPr>
        <w:tblStyle w:val="16"/>
        <w:tblW w:w="8680" w:type="dxa"/>
        <w:jc w:val="center"/>
        <w:tblInd w:w="1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793"/>
        <w:gridCol w:w="2597"/>
        <w:gridCol w:w="1953"/>
        <w:gridCol w:w="147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类别</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污染源</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防治措施</w:t>
            </w: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防治效果</w:t>
            </w:r>
          </w:p>
        </w:tc>
        <w:tc>
          <w:tcPr>
            <w:tcW w:w="14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投资（万元）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867" w:type="dxa"/>
            <w:tcBorders>
              <w:tl2br w:val="nil"/>
              <w:tr2bl w:val="nil"/>
            </w:tcBorders>
            <w:vAlign w:val="center"/>
          </w:tcPr>
          <w:p>
            <w:pPr>
              <w:widowControl/>
              <w:adjustRightInd w:val="0"/>
              <w:snapToGrid w:val="0"/>
              <w:spacing w:line="240" w:lineRule="atLeast"/>
              <w:jc w:val="left"/>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大气</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施工车辆</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加盖篷布</w:t>
            </w:r>
          </w:p>
        </w:tc>
        <w:tc>
          <w:tcPr>
            <w:tcW w:w="1953" w:type="dxa"/>
            <w:tcBorders>
              <w:tl2br w:val="nil"/>
              <w:tr2bl w:val="nil"/>
            </w:tcBorders>
            <w:vAlign w:val="center"/>
          </w:tcPr>
          <w:p>
            <w:pPr>
              <w:widowControl/>
              <w:adjustRightInd w:val="0"/>
              <w:snapToGrid w:val="0"/>
              <w:spacing w:line="240" w:lineRule="atLeast"/>
              <w:jc w:val="left"/>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明显减少灰尘扩散</w:t>
            </w:r>
          </w:p>
        </w:tc>
        <w:tc>
          <w:tcPr>
            <w:tcW w:w="14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施工清洗废水</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设沉淀池</w:t>
            </w: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防止随意排放</w:t>
            </w:r>
          </w:p>
        </w:tc>
        <w:tc>
          <w:tcPr>
            <w:tcW w:w="1470" w:type="dxa"/>
            <w:tcBorders>
              <w:tl2br w:val="nil"/>
              <w:tr2bl w:val="nil"/>
            </w:tcBorders>
            <w:vAlign w:val="center"/>
          </w:tcPr>
          <w:p>
            <w:pPr>
              <w:adjustRightInd w:val="0"/>
              <w:snapToGrid w:val="0"/>
              <w:spacing w:line="240" w:lineRule="atLeast"/>
              <w:jc w:val="center"/>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循环水泵</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隔音、消音、减震设施</w:t>
            </w: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明显减小噪声</w:t>
            </w:r>
          </w:p>
        </w:tc>
        <w:tc>
          <w:tcPr>
            <w:tcW w:w="1470" w:type="dxa"/>
            <w:tcBorders>
              <w:tl2br w:val="nil"/>
              <w:tr2bl w:val="nil"/>
            </w:tcBorders>
            <w:vAlign w:val="center"/>
          </w:tcPr>
          <w:p>
            <w:pPr>
              <w:adjustRightInd w:val="0"/>
              <w:snapToGrid w:val="0"/>
              <w:spacing w:line="240" w:lineRule="atLeast"/>
              <w:jc w:val="center"/>
              <w:rPr>
                <w:rFonts w:hint="eastAsia"/>
                <w:lang w:val="en-US" w:eastAsia="zh-CN"/>
              </w:rPr>
            </w:pPr>
            <w:r>
              <w:rPr>
                <w:rFonts w:hint="eastAsia"/>
                <w:lang w:val="en-US" w:eastAsia="zh-CN"/>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生态</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裸露土地</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绿化</w:t>
            </w: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减尘、吸收有害气体、消音减震</w:t>
            </w:r>
          </w:p>
        </w:tc>
        <w:tc>
          <w:tcPr>
            <w:tcW w:w="14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辐射</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变压器</w:t>
            </w: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10m防火墙、乔木、灌木丛遮挡</w:t>
            </w: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减少辐射</w:t>
            </w:r>
          </w:p>
        </w:tc>
        <w:tc>
          <w:tcPr>
            <w:tcW w:w="14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86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总投资</w:t>
            </w:r>
          </w:p>
        </w:tc>
        <w:tc>
          <w:tcPr>
            <w:tcW w:w="179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2597"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1953"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14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r>
              <w:rPr>
                <w:rFonts w:hint="eastAsia" w:ascii="Times New Roman" w:hAnsi="Times New Roman" w:cs="Times New Roman"/>
                <w:sz w:val="21"/>
                <w:szCs w:val="21"/>
                <w:lang w:val="en-US" w:eastAsia="zh-CN"/>
              </w:rPr>
              <w:t>30</w:t>
            </w:r>
          </w:p>
        </w:tc>
      </w:tr>
    </w:tbl>
    <w:p>
      <w:pPr>
        <w:pStyle w:val="3"/>
        <w:numPr>
          <w:ilvl w:val="0"/>
          <w:numId w:val="1"/>
        </w:numPr>
        <w:spacing w:before="240" w:after="240" w:line="360" w:lineRule="auto"/>
        <w:ind w:left="0" w:leftChars="0" w:firstLine="0" w:firstLineChars="0"/>
        <w:rPr>
          <w:rFonts w:hint="eastAsia"/>
          <w:bCs w:val="0"/>
          <w:sz w:val="28"/>
          <w:szCs w:val="28"/>
        </w:rPr>
      </w:pPr>
      <w:bookmarkStart w:id="38" w:name="_Toc530236101"/>
      <w:bookmarkStart w:id="39" w:name="_Toc9047_WPSOffice_Level1"/>
      <w:r>
        <w:rPr>
          <w:rFonts w:hint="eastAsia"/>
          <w:bCs w:val="0"/>
          <w:sz w:val="28"/>
          <w:szCs w:val="28"/>
        </w:rPr>
        <w:t>环境保护设施设计、施工和验收过程简介</w:t>
      </w:r>
      <w:bookmarkEnd w:id="38"/>
      <w:bookmarkEnd w:id="39"/>
    </w:p>
    <w:p>
      <w:pPr>
        <w:keepNext w:val="0"/>
        <w:keepLines w:val="0"/>
        <w:pageBreakBefore w:val="0"/>
        <w:widowControl w:val="0"/>
        <w:kinsoku/>
        <w:wordWrap/>
        <w:overflowPunct/>
        <w:topLinePunct w:val="0"/>
        <w:autoSpaceDE/>
        <w:autoSpaceDN/>
        <w:bidi w:val="0"/>
        <w:adjustRightInd w:val="0"/>
        <w:snapToGrid w:val="0"/>
        <w:spacing w:before="312" w:beforeLines="100" w:after="156" w:afterLines="50" w:line="360" w:lineRule="auto"/>
        <w:ind w:left="0" w:leftChars="0" w:right="0" w:rightChars="0" w:firstLine="560" w:firstLineChars="200"/>
        <w:jc w:val="left"/>
        <w:textAlignment w:val="auto"/>
        <w:outlineLvl w:val="9"/>
        <w:rPr>
          <w:rFonts w:hint="eastAsia"/>
          <w:sz w:val="28"/>
          <w:szCs w:val="28"/>
          <w:highlight w:val="none"/>
        </w:rPr>
      </w:pPr>
      <w:r>
        <w:rPr>
          <w:rFonts w:hint="eastAsia"/>
          <w:sz w:val="28"/>
          <w:szCs w:val="28"/>
          <w:highlight w:val="none"/>
          <w:lang w:eastAsia="zh-CN"/>
        </w:rPr>
        <w:t>山西太钢工程技术</w:t>
      </w:r>
      <w:r>
        <w:rPr>
          <w:rFonts w:hint="eastAsia"/>
          <w:sz w:val="28"/>
          <w:szCs w:val="28"/>
          <w:highlight w:val="none"/>
        </w:rPr>
        <w:t>有限公司</w:t>
      </w:r>
      <w:r>
        <w:rPr>
          <w:sz w:val="28"/>
          <w:szCs w:val="28"/>
          <w:highlight w:val="none"/>
        </w:rPr>
        <w:t>完成工程的初步设计。</w:t>
      </w:r>
      <w:r>
        <w:rPr>
          <w:rFonts w:hint="eastAsia"/>
          <w:sz w:val="28"/>
          <w:szCs w:val="28"/>
          <w:highlight w:val="none"/>
        </w:rPr>
        <w:t>工程</w:t>
      </w:r>
      <w:r>
        <w:rPr>
          <w:sz w:val="28"/>
          <w:szCs w:val="28"/>
          <w:highlight w:val="none"/>
        </w:rPr>
        <w:t>20</w:t>
      </w:r>
      <w:r>
        <w:rPr>
          <w:rFonts w:hint="eastAsia"/>
          <w:sz w:val="28"/>
          <w:szCs w:val="28"/>
          <w:highlight w:val="none"/>
        </w:rPr>
        <w:t>1</w:t>
      </w:r>
      <w:r>
        <w:rPr>
          <w:rFonts w:hint="eastAsia"/>
          <w:sz w:val="28"/>
          <w:szCs w:val="28"/>
          <w:highlight w:val="none"/>
          <w:lang w:val="en-US" w:eastAsia="zh-CN"/>
        </w:rPr>
        <w:t>4</w:t>
      </w:r>
      <w:r>
        <w:rPr>
          <w:sz w:val="28"/>
          <w:szCs w:val="28"/>
          <w:highlight w:val="none"/>
        </w:rPr>
        <w:t>年</w:t>
      </w:r>
      <w:r>
        <w:rPr>
          <w:rFonts w:hint="eastAsia"/>
          <w:sz w:val="28"/>
          <w:szCs w:val="28"/>
          <w:highlight w:val="none"/>
          <w:lang w:val="en-US" w:eastAsia="zh-CN"/>
        </w:rPr>
        <w:t>2</w:t>
      </w:r>
      <w:r>
        <w:rPr>
          <w:sz w:val="28"/>
          <w:szCs w:val="28"/>
          <w:highlight w:val="none"/>
        </w:rPr>
        <w:t>月动工建设，20</w:t>
      </w:r>
      <w:r>
        <w:rPr>
          <w:rFonts w:hint="eastAsia"/>
          <w:sz w:val="28"/>
          <w:szCs w:val="28"/>
          <w:highlight w:val="none"/>
        </w:rPr>
        <w:t>1</w:t>
      </w:r>
      <w:r>
        <w:rPr>
          <w:rFonts w:hint="eastAsia"/>
          <w:sz w:val="28"/>
          <w:szCs w:val="28"/>
          <w:highlight w:val="none"/>
          <w:lang w:val="en-US" w:eastAsia="zh-CN"/>
        </w:rPr>
        <w:t>8</w:t>
      </w:r>
      <w:r>
        <w:rPr>
          <w:sz w:val="28"/>
          <w:szCs w:val="28"/>
          <w:highlight w:val="none"/>
        </w:rPr>
        <w:t>年</w:t>
      </w:r>
      <w:r>
        <w:rPr>
          <w:rFonts w:hint="eastAsia"/>
          <w:sz w:val="28"/>
          <w:szCs w:val="28"/>
          <w:highlight w:val="none"/>
        </w:rPr>
        <w:t>1</w:t>
      </w:r>
      <w:r>
        <w:rPr>
          <w:rFonts w:hint="eastAsia"/>
          <w:sz w:val="28"/>
          <w:szCs w:val="28"/>
          <w:highlight w:val="none"/>
          <w:lang w:val="en-US" w:eastAsia="zh-CN"/>
        </w:rPr>
        <w:t>1</w:t>
      </w:r>
      <w:r>
        <w:rPr>
          <w:sz w:val="28"/>
          <w:szCs w:val="28"/>
          <w:highlight w:val="none"/>
        </w:rPr>
        <w:t>月</w:t>
      </w:r>
      <w:r>
        <w:rPr>
          <w:rFonts w:hint="eastAsia"/>
          <w:sz w:val="28"/>
          <w:szCs w:val="28"/>
          <w:highlight w:val="none"/>
        </w:rPr>
        <w:t>完成建设，进入工艺、设备调试阶段</w:t>
      </w:r>
      <w:r>
        <w:rPr>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left"/>
        <w:textAlignment w:val="auto"/>
        <w:outlineLvl w:val="9"/>
        <w:rPr>
          <w:rFonts w:hint="eastAsia"/>
        </w:rPr>
      </w:pPr>
      <w:r>
        <w:rPr>
          <w:color w:val="000000"/>
          <w:sz w:val="28"/>
          <w:szCs w:val="28"/>
        </w:rPr>
        <w:t>本项目环境保护设施与主体工程按设计</w:t>
      </w:r>
      <w:r>
        <w:rPr>
          <w:rFonts w:hint="eastAsia"/>
          <w:color w:val="000000"/>
          <w:sz w:val="28"/>
          <w:szCs w:val="28"/>
        </w:rPr>
        <w:t>、</w:t>
      </w:r>
      <w:r>
        <w:rPr>
          <w:color w:val="000000"/>
          <w:sz w:val="28"/>
          <w:szCs w:val="28"/>
        </w:rPr>
        <w:t>环评</w:t>
      </w:r>
      <w:r>
        <w:rPr>
          <w:rFonts w:hint="eastAsia"/>
          <w:color w:val="000000"/>
          <w:sz w:val="28"/>
          <w:szCs w:val="28"/>
        </w:rPr>
        <w:t>及批复</w:t>
      </w:r>
      <w:r>
        <w:rPr>
          <w:color w:val="000000"/>
          <w:sz w:val="28"/>
          <w:szCs w:val="28"/>
        </w:rPr>
        <w:t>要求建成</w:t>
      </w:r>
      <w:r>
        <w:rPr>
          <w:rFonts w:hint="eastAsia"/>
          <w:color w:val="000000"/>
          <w:sz w:val="28"/>
          <w:szCs w:val="28"/>
        </w:rPr>
        <w:t>。</w:t>
      </w:r>
      <w:r>
        <w:rPr>
          <w:sz w:val="28"/>
          <w:szCs w:val="28"/>
        </w:rPr>
        <w:t>项目建设过程中，我公司严格执行了环保</w:t>
      </w:r>
      <w:r>
        <w:rPr>
          <w:rFonts w:hint="eastAsia"/>
          <w:sz w:val="28"/>
          <w:szCs w:val="28"/>
        </w:rPr>
        <w:t>设施</w:t>
      </w:r>
      <w:r>
        <w:rPr>
          <w:sz w:val="28"/>
          <w:szCs w:val="28"/>
        </w:rPr>
        <w:t>与主体同时设计、同时施工、同时投产的环境保护“三同时”制度，</w:t>
      </w:r>
      <w:r>
        <w:rPr>
          <w:rFonts w:hint="eastAsia"/>
          <w:sz w:val="28"/>
          <w:szCs w:val="28"/>
        </w:rPr>
        <w:t>在项目各阶段</w:t>
      </w:r>
      <w:r>
        <w:rPr>
          <w:sz w:val="28"/>
          <w:szCs w:val="28"/>
        </w:rPr>
        <w:t>落实环评报告</w:t>
      </w:r>
      <w:r>
        <w:rPr>
          <w:rFonts w:hint="eastAsia"/>
          <w:sz w:val="28"/>
          <w:szCs w:val="28"/>
        </w:rPr>
        <w:t>书及</w:t>
      </w:r>
      <w:r>
        <w:rPr>
          <w:sz w:val="28"/>
          <w:szCs w:val="28"/>
        </w:rPr>
        <w:t>环评批复文件</w:t>
      </w:r>
      <w:r>
        <w:rPr>
          <w:rFonts w:hint="eastAsia"/>
          <w:sz w:val="28"/>
          <w:szCs w:val="28"/>
        </w:rPr>
        <w:t>中</w:t>
      </w:r>
      <w:r>
        <w:rPr>
          <w:sz w:val="28"/>
          <w:szCs w:val="28"/>
        </w:rPr>
        <w:t>提出的环境保护对策措施</w:t>
      </w:r>
      <w:r>
        <w:rPr>
          <w:rFonts w:hint="eastAsia"/>
          <w:sz w:val="28"/>
          <w:szCs w:val="28"/>
        </w:rPr>
        <w:t>。</w:t>
      </w:r>
    </w:p>
    <w:p>
      <w:pPr>
        <w:ind w:firstLine="562" w:firstLineChars="200"/>
        <w:rPr>
          <w:rFonts w:hint="eastAsia"/>
          <w:b/>
          <w:sz w:val="28"/>
          <w:szCs w:val="28"/>
        </w:rPr>
      </w:pPr>
      <w:bookmarkStart w:id="40" w:name="_Toc24438_WPSOffice_Level2"/>
      <w:r>
        <w:rPr>
          <w:rFonts w:hint="eastAsia"/>
          <w:b/>
          <w:sz w:val="28"/>
          <w:szCs w:val="28"/>
        </w:rPr>
        <w:t>（一）设计简况</w:t>
      </w:r>
      <w:bookmarkEnd w:id="40"/>
    </w:p>
    <w:p>
      <w:pPr>
        <w:adjustRightInd w:val="0"/>
        <w:snapToGrid w:val="0"/>
        <w:spacing w:line="360" w:lineRule="auto"/>
        <w:ind w:firstLine="560" w:firstLineChars="200"/>
        <w:rPr>
          <w:rFonts w:hint="eastAsia" w:ascii="仿宋_GB2312"/>
          <w:sz w:val="28"/>
          <w:szCs w:val="28"/>
        </w:rPr>
      </w:pPr>
      <w:r>
        <w:rPr>
          <w:rFonts w:hint="eastAsia" w:ascii="仿宋_GB2312"/>
          <w:sz w:val="28"/>
          <w:szCs w:val="28"/>
        </w:rPr>
        <w:t>收集国内、外同类企业生产运行设备系统建设投产以来日常生产、检修的技术措施、环评及批复文件中要求落实的环保措施与对策，一并提交设计单位应用于本建设项目，使建设项目环境保护措施的设计方案更具可行性和可靠性。在设计过程中将环境影响评价</w:t>
      </w:r>
      <w:r>
        <w:rPr>
          <w:rFonts w:hint="eastAsia" w:ascii="仿宋_GB2312"/>
          <w:sz w:val="28"/>
          <w:szCs w:val="28"/>
          <w:lang w:eastAsia="zh-CN"/>
        </w:rPr>
        <w:t>文件</w:t>
      </w:r>
      <w:r>
        <w:rPr>
          <w:rFonts w:hint="eastAsia" w:ascii="仿宋_GB2312"/>
          <w:sz w:val="28"/>
          <w:szCs w:val="28"/>
        </w:rPr>
        <w:t>与其环评批复文件所要求的环保设施全部纳入初步设计中。</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环境保护设施的设计符合环保设计规范的要求，并在初步设计中编制了环保篇章。污染防治和生态保护的措施以及环境保护投资为</w:t>
      </w:r>
      <w:r>
        <w:rPr>
          <w:rFonts w:hint="eastAsia" w:ascii="宋体" w:hAnsi="宋体"/>
          <w:sz w:val="28"/>
          <w:szCs w:val="28"/>
          <w:lang w:val="en-US" w:eastAsia="zh-CN"/>
        </w:rPr>
        <w:t>230</w:t>
      </w:r>
      <w:r>
        <w:rPr>
          <w:rFonts w:hint="eastAsia" w:ascii="宋体" w:hAnsi="宋体"/>
          <w:sz w:val="28"/>
          <w:szCs w:val="28"/>
        </w:rPr>
        <w:t>万元。</w:t>
      </w:r>
    </w:p>
    <w:p>
      <w:pPr>
        <w:ind w:left="602"/>
        <w:rPr>
          <w:rFonts w:hint="eastAsia"/>
          <w:b/>
          <w:sz w:val="28"/>
          <w:szCs w:val="28"/>
        </w:rPr>
      </w:pPr>
      <w:bookmarkStart w:id="41" w:name="_Toc21805_WPSOffice_Level2"/>
      <w:r>
        <w:rPr>
          <w:rFonts w:hint="eastAsia"/>
          <w:b/>
          <w:sz w:val="28"/>
          <w:szCs w:val="28"/>
        </w:rPr>
        <w:t>（二）施工简况</w:t>
      </w:r>
      <w:bookmarkEnd w:id="41"/>
    </w:p>
    <w:p>
      <w:pPr>
        <w:adjustRightInd w:val="0"/>
        <w:snapToGrid w:val="0"/>
        <w:spacing w:line="360" w:lineRule="auto"/>
        <w:ind w:firstLine="560" w:firstLineChars="200"/>
        <w:rPr>
          <w:rFonts w:hint="eastAsia" w:ascii="宋体" w:hAnsi="宋体"/>
          <w:sz w:val="28"/>
          <w:szCs w:val="28"/>
        </w:rPr>
      </w:pPr>
      <w:r>
        <w:rPr>
          <w:color w:val="000000"/>
          <w:sz w:val="28"/>
          <w:szCs w:val="28"/>
        </w:rPr>
        <w:t>建设过程中按照环保</w:t>
      </w:r>
      <w:r>
        <w:rPr>
          <w:rFonts w:hint="eastAsia"/>
          <w:color w:val="000000"/>
          <w:sz w:val="28"/>
          <w:szCs w:val="28"/>
        </w:rPr>
        <w:t>“</w:t>
      </w:r>
      <w:r>
        <w:rPr>
          <w:color w:val="000000"/>
          <w:sz w:val="28"/>
          <w:szCs w:val="28"/>
        </w:rPr>
        <w:t>三同时</w:t>
      </w:r>
      <w:r>
        <w:rPr>
          <w:rFonts w:hint="eastAsia"/>
          <w:color w:val="000000"/>
          <w:sz w:val="28"/>
          <w:szCs w:val="28"/>
        </w:rPr>
        <w:t>”</w:t>
      </w:r>
      <w:r>
        <w:rPr>
          <w:color w:val="000000"/>
          <w:sz w:val="28"/>
          <w:szCs w:val="28"/>
        </w:rPr>
        <w:t>管理制度进行了工程管理，各项环保设施已按设计与环评要求同时建成并投入试运行。</w:t>
      </w:r>
      <w:r>
        <w:rPr>
          <w:rFonts w:hint="eastAsia" w:ascii="宋体" w:hAnsi="宋体"/>
          <w:sz w:val="28"/>
          <w:szCs w:val="28"/>
        </w:rPr>
        <w:t>工程建设过程中，项目部负责对实施过程进行监控，监督检查环境保护设施与主体设施同时施工的情况，确保按批准的环保设施内容进行施工，实现环保设施与主体设施同步竣工的目标。对施工过程的环保设计文件、图纸、设备清单、试车记录等资料进行了归档；计财部对环保工程建设的投资决算进行了过程控制。</w:t>
      </w:r>
    </w:p>
    <w:p>
      <w:pPr>
        <w:adjustRightInd w:val="0"/>
        <w:snapToGrid w:val="0"/>
        <w:spacing w:line="360" w:lineRule="auto"/>
        <w:ind w:firstLine="560" w:firstLineChars="200"/>
        <w:rPr>
          <w:rFonts w:hint="eastAsia"/>
          <w:color w:val="000000"/>
          <w:sz w:val="28"/>
          <w:szCs w:val="28"/>
        </w:rPr>
      </w:pPr>
      <w:r>
        <w:rPr>
          <w:rFonts w:hint="eastAsia" w:ascii="宋体" w:hAnsi="宋体"/>
          <w:sz w:val="28"/>
          <w:szCs w:val="28"/>
        </w:rPr>
        <w:t>为确保该工程按期保质、保量完成，建设期间各职能部门由各类</w:t>
      </w:r>
      <w:r>
        <w:rPr>
          <w:rFonts w:hint="eastAsia"/>
          <w:color w:val="000000"/>
          <w:sz w:val="28"/>
          <w:szCs w:val="28"/>
        </w:rPr>
        <w:t>专业人员组成，定期召开工程例会，使工程建设自始至终处在相互监督、相互配合之中，及时发现问题，及时解决，使工程严格按照施工程序进行，因此，确保了工程质量以及投资的合理利用。</w:t>
      </w:r>
    </w:p>
    <w:p>
      <w:pPr>
        <w:pStyle w:val="2"/>
        <w:ind w:firstLine="560" w:firstLineChars="200"/>
        <w:rPr>
          <w:rFonts w:hint="eastAsia"/>
        </w:rPr>
      </w:pPr>
      <w:r>
        <w:rPr>
          <w:rFonts w:hint="eastAsia"/>
          <w:color w:val="000000"/>
          <w:sz w:val="28"/>
          <w:szCs w:val="28"/>
        </w:rPr>
        <w:t>本工程</w:t>
      </w:r>
      <w:r>
        <w:rPr>
          <w:color w:val="000000"/>
          <w:sz w:val="28"/>
          <w:szCs w:val="28"/>
        </w:rPr>
        <w:t>配套建设的环境保护设施与主体工程</w:t>
      </w:r>
      <w:r>
        <w:rPr>
          <w:rFonts w:hint="eastAsia"/>
          <w:color w:val="000000"/>
          <w:sz w:val="28"/>
          <w:szCs w:val="28"/>
        </w:rPr>
        <w:t>做到了</w:t>
      </w:r>
      <w:r>
        <w:rPr>
          <w:color w:val="000000"/>
          <w:sz w:val="28"/>
          <w:szCs w:val="28"/>
        </w:rPr>
        <w:t>同时设计、同时施工、同时投产使用的环境保护“三同时”制度</w:t>
      </w:r>
      <w:r>
        <w:rPr>
          <w:rFonts w:hint="eastAsia"/>
          <w:color w:val="000000"/>
          <w:sz w:val="28"/>
          <w:szCs w:val="28"/>
        </w:rPr>
        <w:t>。环保设施建成率100%，</w:t>
      </w:r>
      <w:r>
        <w:rPr>
          <w:rFonts w:hint="eastAsia" w:ascii="宋体" w:hAnsi="宋体"/>
          <w:sz w:val="28"/>
          <w:szCs w:val="28"/>
        </w:rPr>
        <w:t>环保设施经</w:t>
      </w:r>
      <w:r>
        <w:rPr>
          <w:rFonts w:hint="eastAsia" w:ascii="宋体" w:hAnsi="宋体"/>
          <w:sz w:val="28"/>
          <w:szCs w:val="28"/>
          <w:lang w:eastAsia="zh-CN"/>
        </w:rPr>
        <w:t>试验</w:t>
      </w:r>
      <w:r>
        <w:rPr>
          <w:rFonts w:hint="eastAsia" w:ascii="宋体" w:hAnsi="宋体"/>
          <w:sz w:val="28"/>
          <w:szCs w:val="28"/>
        </w:rPr>
        <w:t>合格后投用，投入试运行。</w:t>
      </w:r>
    </w:p>
    <w:p>
      <w:pPr>
        <w:ind w:firstLine="562" w:firstLineChars="200"/>
        <w:rPr>
          <w:rFonts w:hint="eastAsia"/>
          <w:bCs/>
          <w:sz w:val="28"/>
          <w:szCs w:val="28"/>
        </w:rPr>
      </w:pPr>
      <w:bookmarkStart w:id="42" w:name="_Toc7165_WPSOffice_Level2"/>
      <w:r>
        <w:rPr>
          <w:rFonts w:hint="eastAsia"/>
          <w:b/>
          <w:sz w:val="28"/>
          <w:szCs w:val="28"/>
        </w:rPr>
        <w:t>（三）验收过程简况</w:t>
      </w:r>
      <w:bookmarkEnd w:id="42"/>
    </w:p>
    <w:p>
      <w:pPr>
        <w:spacing w:line="520" w:lineRule="exact"/>
        <w:ind w:firstLine="560" w:firstLineChars="200"/>
        <w:rPr>
          <w:rFonts w:hint="eastAsia"/>
          <w:color w:val="000000"/>
          <w:sz w:val="28"/>
          <w:szCs w:val="28"/>
          <w:highlight w:val="none"/>
        </w:rPr>
      </w:pPr>
      <w:r>
        <w:rPr>
          <w:rFonts w:hint="eastAsia"/>
          <w:color w:val="000000"/>
          <w:sz w:val="28"/>
          <w:szCs w:val="28"/>
          <w:highlight w:val="none"/>
        </w:rPr>
        <w:t>山西太钢不锈钢股份有限公司</w:t>
      </w:r>
      <w:r>
        <w:rPr>
          <w:rFonts w:hint="eastAsia"/>
          <w:color w:val="000000"/>
          <w:sz w:val="28"/>
          <w:szCs w:val="28"/>
          <w:highlight w:val="none"/>
          <w:lang w:val="en-US" w:eastAsia="zh-CN"/>
        </w:rPr>
        <w:t>2013年节能技术改造项目</w:t>
      </w:r>
      <w:r>
        <w:rPr>
          <w:rFonts w:hint="eastAsia"/>
          <w:sz w:val="28"/>
          <w:szCs w:val="28"/>
          <w:highlight w:val="none"/>
        </w:rPr>
        <w:t>于201</w:t>
      </w:r>
      <w:r>
        <w:rPr>
          <w:rFonts w:hint="eastAsia"/>
          <w:sz w:val="28"/>
          <w:szCs w:val="28"/>
          <w:highlight w:val="none"/>
          <w:lang w:val="en-US" w:eastAsia="zh-CN"/>
        </w:rPr>
        <w:t>8</w:t>
      </w:r>
      <w:r>
        <w:rPr>
          <w:rFonts w:hint="eastAsia"/>
          <w:sz w:val="28"/>
          <w:szCs w:val="28"/>
          <w:highlight w:val="none"/>
        </w:rPr>
        <w:t>年1</w:t>
      </w:r>
      <w:r>
        <w:rPr>
          <w:rFonts w:hint="eastAsia"/>
          <w:sz w:val="28"/>
          <w:szCs w:val="28"/>
          <w:highlight w:val="none"/>
          <w:lang w:val="en-US" w:eastAsia="zh-CN"/>
        </w:rPr>
        <w:t>0</w:t>
      </w:r>
      <w:r>
        <w:rPr>
          <w:rFonts w:hint="eastAsia"/>
          <w:sz w:val="28"/>
          <w:szCs w:val="28"/>
          <w:highlight w:val="none"/>
        </w:rPr>
        <w:t>月主体工程及设备安装完工，2018年</w:t>
      </w:r>
      <w:r>
        <w:rPr>
          <w:rFonts w:hint="eastAsia"/>
          <w:sz w:val="28"/>
          <w:szCs w:val="28"/>
          <w:highlight w:val="none"/>
          <w:lang w:val="en-US" w:eastAsia="zh-CN"/>
        </w:rPr>
        <w:t>11</w:t>
      </w:r>
      <w:r>
        <w:rPr>
          <w:rFonts w:hint="eastAsia"/>
          <w:sz w:val="28"/>
          <w:szCs w:val="28"/>
          <w:highlight w:val="none"/>
        </w:rPr>
        <w:t>月</w:t>
      </w:r>
      <w:r>
        <w:rPr>
          <w:rFonts w:hint="eastAsia"/>
          <w:color w:val="000000"/>
          <w:sz w:val="28"/>
          <w:szCs w:val="28"/>
          <w:highlight w:val="none"/>
        </w:rPr>
        <w:t>投入试生产。因公司不具备自行验收监测的能力，通过公开招标委托山西</w:t>
      </w:r>
      <w:r>
        <w:rPr>
          <w:rFonts w:hint="eastAsia"/>
          <w:color w:val="000000"/>
          <w:sz w:val="28"/>
          <w:szCs w:val="28"/>
          <w:highlight w:val="none"/>
          <w:lang w:eastAsia="zh-CN"/>
        </w:rPr>
        <w:t>康标安环科技</w:t>
      </w:r>
      <w:r>
        <w:rPr>
          <w:rFonts w:hint="eastAsia"/>
          <w:color w:val="000000"/>
          <w:sz w:val="28"/>
          <w:szCs w:val="28"/>
          <w:highlight w:val="none"/>
        </w:rPr>
        <w:t>有限公司做竣工验收监测并出具环境保护竣工验收报告。现场监测时间为2018年</w:t>
      </w:r>
      <w:r>
        <w:rPr>
          <w:rFonts w:hint="eastAsia"/>
          <w:color w:val="000000"/>
          <w:sz w:val="28"/>
          <w:szCs w:val="28"/>
          <w:highlight w:val="none"/>
          <w:lang w:val="en-US" w:eastAsia="zh-CN"/>
        </w:rPr>
        <w:t>12</w:t>
      </w:r>
      <w:r>
        <w:rPr>
          <w:rFonts w:hint="eastAsia"/>
          <w:color w:val="000000"/>
          <w:sz w:val="28"/>
          <w:szCs w:val="28"/>
          <w:highlight w:val="none"/>
        </w:rPr>
        <w:t>月2</w:t>
      </w:r>
      <w:r>
        <w:rPr>
          <w:rFonts w:hint="eastAsia"/>
          <w:color w:val="000000"/>
          <w:sz w:val="28"/>
          <w:szCs w:val="28"/>
          <w:highlight w:val="none"/>
          <w:lang w:val="en-US" w:eastAsia="zh-CN"/>
        </w:rPr>
        <w:t>4</w:t>
      </w:r>
      <w:r>
        <w:rPr>
          <w:rFonts w:hint="eastAsia"/>
          <w:color w:val="000000"/>
          <w:sz w:val="28"/>
          <w:szCs w:val="28"/>
          <w:highlight w:val="none"/>
        </w:rPr>
        <w:t>至2</w:t>
      </w:r>
      <w:r>
        <w:rPr>
          <w:rFonts w:hint="eastAsia"/>
          <w:color w:val="000000"/>
          <w:sz w:val="28"/>
          <w:szCs w:val="28"/>
          <w:highlight w:val="none"/>
          <w:lang w:val="en-US" w:eastAsia="zh-CN"/>
        </w:rPr>
        <w:t>5</w:t>
      </w:r>
      <w:r>
        <w:rPr>
          <w:rFonts w:hint="eastAsia"/>
          <w:color w:val="000000"/>
          <w:sz w:val="28"/>
          <w:szCs w:val="28"/>
          <w:highlight w:val="none"/>
        </w:rPr>
        <w:t>日。</w:t>
      </w:r>
    </w:p>
    <w:p>
      <w:pPr>
        <w:pStyle w:val="2"/>
        <w:rPr>
          <w:rFonts w:hint="eastAsia"/>
        </w:rPr>
      </w:pPr>
    </w:p>
    <w:p>
      <w:pPr>
        <w:pStyle w:val="2"/>
        <w:spacing w:line="360" w:lineRule="auto"/>
        <w:ind w:firstLine="560" w:firstLineChars="200"/>
        <w:rPr>
          <w:rFonts w:hint="eastAsia" w:ascii="Times New Roman" w:eastAsia="宋体" w:cs="Times New Roman"/>
          <w:kern w:val="2"/>
          <w:sz w:val="28"/>
          <w:szCs w:val="28"/>
        </w:rPr>
      </w:pPr>
      <w:r>
        <w:rPr>
          <w:rFonts w:hint="eastAsia" w:ascii="Times New Roman" w:eastAsia="宋体" w:cs="Times New Roman"/>
          <w:kern w:val="2"/>
          <w:sz w:val="28"/>
          <w:szCs w:val="28"/>
        </w:rPr>
        <w:t>竣工验收监测报告于</w:t>
      </w:r>
      <w:r>
        <w:rPr>
          <w:rFonts w:hint="eastAsia" w:ascii="Times New Roman" w:eastAsia="宋体" w:cs="Times New Roman"/>
          <w:kern w:val="2"/>
          <w:sz w:val="28"/>
          <w:szCs w:val="28"/>
          <w:highlight w:val="none"/>
        </w:rPr>
        <w:t>2018年1</w:t>
      </w:r>
      <w:r>
        <w:rPr>
          <w:rFonts w:hint="eastAsia" w:cs="Times New Roman"/>
          <w:kern w:val="2"/>
          <w:sz w:val="28"/>
          <w:szCs w:val="28"/>
          <w:highlight w:val="none"/>
          <w:lang w:val="en-US" w:eastAsia="zh-CN"/>
        </w:rPr>
        <w:t>2</w:t>
      </w:r>
      <w:r>
        <w:rPr>
          <w:rFonts w:hint="eastAsia" w:ascii="Times New Roman" w:eastAsia="宋体" w:cs="Times New Roman"/>
          <w:kern w:val="2"/>
          <w:sz w:val="28"/>
          <w:szCs w:val="28"/>
          <w:highlight w:val="none"/>
        </w:rPr>
        <w:t>月</w:t>
      </w:r>
      <w:r>
        <w:rPr>
          <w:rFonts w:hint="eastAsia" w:ascii="Times New Roman" w:eastAsia="宋体" w:cs="Times New Roman"/>
          <w:kern w:val="2"/>
          <w:sz w:val="28"/>
          <w:szCs w:val="28"/>
        </w:rPr>
        <w:t>编制完成，采用召集设计、施工、监理、环评单位及相关管理部门并聘请行业、监测专家召开竣工环境保护验收会的形式进行验收。根据验收会议的意见，进行相应的监测报告修改以及现场整改。得出最终的验收意见和结论。项目的噪声措施报环境主管部门备案。</w:t>
      </w:r>
    </w:p>
    <w:p>
      <w:pPr>
        <w:pStyle w:val="4"/>
        <w:pageBreakBefore w:val="0"/>
        <w:widowControl w:val="0"/>
        <w:kinsoku/>
        <w:wordWrap/>
        <w:overflowPunct/>
        <w:topLinePunct w:val="0"/>
        <w:bidi w:val="0"/>
        <w:spacing w:line="580" w:lineRule="exact"/>
        <w:ind w:left="0" w:leftChars="0" w:right="0" w:rightChars="0"/>
        <w:rPr>
          <w:rFonts w:hint="eastAsia" w:ascii="Times New Roman" w:hAnsi="Times New Roman" w:cs="Times New Roman"/>
          <w:color w:val="auto"/>
        </w:rPr>
      </w:pPr>
      <w:r>
        <w:rPr>
          <w:rFonts w:hint="eastAsia" w:ascii="Times New Roman" w:hAnsi="Times New Roman" w:cs="Times New Roman"/>
          <w:color w:val="auto"/>
        </w:rPr>
        <w:t>（四）公众反馈意见与处理情况</w:t>
      </w:r>
    </w:p>
    <w:p>
      <w:pPr>
        <w:pageBreakBefore w:val="0"/>
        <w:widowControl w:val="0"/>
        <w:kinsoku/>
        <w:wordWrap/>
        <w:overflowPunct/>
        <w:topLinePunct w:val="0"/>
        <w:bidi w:val="0"/>
        <w:spacing w:line="580" w:lineRule="exact"/>
        <w:ind w:left="0" w:leftChars="0" w:right="0" w:rightChars="0" w:firstLine="560" w:firstLineChars="200"/>
        <w:rPr>
          <w:rFonts w:hint="eastAsia" w:ascii="宋体" w:hAnsi="宋体"/>
          <w:sz w:val="28"/>
          <w:szCs w:val="28"/>
        </w:rPr>
      </w:pPr>
      <w:r>
        <w:rPr>
          <w:rFonts w:hint="eastAsia" w:ascii="宋体" w:hAnsi="宋体"/>
          <w:sz w:val="28"/>
          <w:szCs w:val="28"/>
        </w:rPr>
        <w:t>在建设项目设计、施工和验收期间没有收到过公众</w:t>
      </w:r>
      <w:r>
        <w:rPr>
          <w:rFonts w:hint="eastAsia" w:ascii="宋体" w:hAnsi="宋体"/>
          <w:sz w:val="28"/>
          <w:szCs w:val="28"/>
          <w:lang w:eastAsia="zh-CN"/>
        </w:rPr>
        <w:t>的反对</w:t>
      </w:r>
      <w:r>
        <w:rPr>
          <w:rFonts w:hint="eastAsia" w:ascii="宋体" w:hAnsi="宋体"/>
          <w:sz w:val="28"/>
          <w:szCs w:val="28"/>
        </w:rPr>
        <w:t>意见或投诉。</w:t>
      </w:r>
    </w:p>
    <w:p>
      <w:pPr>
        <w:pStyle w:val="2"/>
        <w:spacing w:line="360" w:lineRule="auto"/>
        <w:ind w:firstLine="560" w:firstLineChars="200"/>
        <w:rPr>
          <w:rFonts w:hint="eastAsia" w:ascii="Times New Roman" w:eastAsia="宋体" w:cs="Times New Roman"/>
          <w:kern w:val="2"/>
          <w:sz w:val="28"/>
          <w:szCs w:val="28"/>
        </w:rPr>
      </w:pPr>
    </w:p>
    <w:p>
      <w:pPr>
        <w:pStyle w:val="3"/>
        <w:numPr>
          <w:ilvl w:val="0"/>
          <w:numId w:val="1"/>
        </w:numPr>
        <w:spacing w:before="240" w:after="240" w:line="360" w:lineRule="auto"/>
        <w:ind w:left="0" w:leftChars="0" w:firstLine="0" w:firstLineChars="0"/>
        <w:rPr>
          <w:rFonts w:hint="eastAsia" w:eastAsiaTheme="minorEastAsia"/>
          <w:lang w:val="en-US" w:eastAsia="zh-CN"/>
        </w:rPr>
      </w:pPr>
      <w:bookmarkStart w:id="43" w:name="_Toc530236102"/>
      <w:bookmarkStart w:id="44" w:name="_Toc24438_WPSOffice_Level1"/>
      <w:r>
        <w:rPr>
          <w:rFonts w:hint="eastAsia"/>
          <w:bCs w:val="0"/>
          <w:sz w:val="28"/>
          <w:szCs w:val="28"/>
        </w:rPr>
        <w:t>其它环境保护措施的落实情况</w:t>
      </w:r>
      <w:bookmarkEnd w:id="43"/>
      <w:bookmarkEnd w:id="44"/>
    </w:p>
    <w:p>
      <w:pPr>
        <w:numPr>
          <w:ilvl w:val="0"/>
          <w:numId w:val="4"/>
        </w:numPr>
        <w:spacing w:line="360" w:lineRule="auto"/>
        <w:rPr>
          <w:rFonts w:hint="eastAsia"/>
          <w:b/>
          <w:sz w:val="28"/>
          <w:szCs w:val="28"/>
        </w:rPr>
      </w:pPr>
      <w:bookmarkStart w:id="45" w:name="_Toc7455_WPSOffice_Level2"/>
      <w:bookmarkStart w:id="46" w:name="_Hlk530236590"/>
      <w:r>
        <w:rPr>
          <w:rFonts w:hint="eastAsia"/>
          <w:b/>
          <w:sz w:val="28"/>
          <w:szCs w:val="28"/>
        </w:rPr>
        <w:t>环评设计建设与实际完成情况</w:t>
      </w:r>
      <w:bookmarkEnd w:id="45"/>
    </w:p>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 xml:space="preserve"> </w:t>
      </w:r>
      <w:bookmarkStart w:id="47" w:name="_Toc21805_WPSOffice_Level3"/>
      <w:r>
        <w:rPr>
          <w:rFonts w:hint="default" w:ascii="Times New Roman" w:hAnsi="Times New Roman" w:cs="Times New Roman"/>
          <w:b/>
          <w:bCs/>
          <w:sz w:val="24"/>
          <w:szCs w:val="24"/>
          <w:lang w:val="en-US" w:eastAsia="zh-CN"/>
        </w:rPr>
        <w:t xml:space="preserve">表4.1  </w:t>
      </w:r>
      <w:r>
        <w:rPr>
          <w:rFonts w:hint="default" w:ascii="Times New Roman" w:hAnsi="Times New Roman" w:cs="Times New Roman"/>
          <w:b/>
          <w:bCs/>
          <w:sz w:val="24"/>
          <w:szCs w:val="24"/>
        </w:rPr>
        <w:t>项目环保设施建设一览表</w:t>
      </w:r>
      <w:bookmarkEnd w:id="47"/>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center"/>
          </w:tcPr>
          <w:p>
            <w:pPr>
              <w:pStyle w:val="7"/>
              <w:snapToGrid w:val="0"/>
              <w:spacing w:line="300" w:lineRule="exact"/>
              <w:ind w:firstLine="0" w:firstLineChars="0"/>
              <w:jc w:val="center"/>
              <w:rPr>
                <w:rFonts w:hint="eastAsia" w:asciiTheme="minorEastAsia" w:hAnsiTheme="minorEastAsia" w:eastAsiaTheme="minorEastAsia" w:cstheme="minorEastAsia"/>
                <w:sz w:val="21"/>
                <w:szCs w:val="21"/>
                <w:vertAlign w:val="baseline"/>
              </w:rPr>
            </w:pPr>
            <w:r>
              <w:rPr>
                <w:rFonts w:hint="eastAsia" w:asciiTheme="minorEastAsia" w:hAnsiTheme="minorEastAsia" w:eastAsiaTheme="minorEastAsia" w:cstheme="minorEastAsia"/>
                <w:b/>
                <w:kern w:val="2"/>
                <w:sz w:val="21"/>
                <w:szCs w:val="21"/>
              </w:rPr>
              <w:t>工程名称</w:t>
            </w:r>
          </w:p>
        </w:tc>
        <w:tc>
          <w:tcPr>
            <w:tcW w:w="2841" w:type="dxa"/>
            <w:vAlign w:val="center"/>
          </w:tcPr>
          <w:p>
            <w:pPr>
              <w:pStyle w:val="7"/>
              <w:snapToGrid w:val="0"/>
              <w:spacing w:line="300" w:lineRule="exact"/>
              <w:ind w:firstLine="0" w:firstLineChars="0"/>
              <w:jc w:val="center"/>
              <w:rPr>
                <w:rFonts w:hint="eastAsia" w:asciiTheme="minorEastAsia" w:hAnsiTheme="minorEastAsia" w:eastAsiaTheme="minorEastAsia" w:cstheme="minorEastAsia"/>
                <w:sz w:val="21"/>
                <w:szCs w:val="21"/>
                <w:vertAlign w:val="baseline"/>
              </w:rPr>
            </w:pPr>
            <w:r>
              <w:rPr>
                <w:rFonts w:hint="eastAsia" w:asciiTheme="minorEastAsia" w:hAnsiTheme="minorEastAsia" w:eastAsiaTheme="minorEastAsia" w:cstheme="minorEastAsia"/>
                <w:b/>
                <w:kern w:val="2"/>
                <w:sz w:val="21"/>
                <w:szCs w:val="21"/>
              </w:rPr>
              <w:t>环评设计</w:t>
            </w:r>
          </w:p>
        </w:tc>
        <w:tc>
          <w:tcPr>
            <w:tcW w:w="2841" w:type="dxa"/>
            <w:vAlign w:val="center"/>
          </w:tcPr>
          <w:p>
            <w:pPr>
              <w:pStyle w:val="7"/>
              <w:snapToGrid w:val="0"/>
              <w:spacing w:line="300" w:lineRule="exact"/>
              <w:ind w:firstLine="0" w:firstLineChars="0"/>
              <w:jc w:val="center"/>
              <w:rPr>
                <w:rFonts w:hint="eastAsia" w:asciiTheme="minorEastAsia" w:hAnsiTheme="minorEastAsia" w:eastAsiaTheme="minorEastAsia" w:cstheme="minorEastAsia"/>
                <w:sz w:val="21"/>
                <w:szCs w:val="21"/>
                <w:vertAlign w:val="baseline"/>
              </w:rPr>
            </w:pPr>
            <w:r>
              <w:rPr>
                <w:rFonts w:hint="eastAsia" w:asciiTheme="minorEastAsia" w:hAnsiTheme="minorEastAsia" w:eastAsiaTheme="minorEastAsia" w:cstheme="minorEastAsia"/>
                <w:b/>
                <w:kern w:val="2"/>
                <w:sz w:val="21"/>
                <w:szCs w:val="21"/>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pStyle w:val="2"/>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噪声防治</w:t>
            </w:r>
          </w:p>
        </w:tc>
        <w:tc>
          <w:tcPr>
            <w:tcW w:w="2841" w:type="dxa"/>
          </w:tcPr>
          <w:p>
            <w:pPr>
              <w:pStyle w:val="2"/>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基础减震、密闭厂房隔音</w:t>
            </w:r>
          </w:p>
        </w:tc>
        <w:tc>
          <w:tcPr>
            <w:tcW w:w="2841" w:type="dxa"/>
          </w:tcPr>
          <w:p>
            <w:pPr>
              <w:pStyle w:val="2"/>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pStyle w:val="2"/>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污水处理排放</w:t>
            </w:r>
          </w:p>
        </w:tc>
        <w:tc>
          <w:tcPr>
            <w:tcW w:w="2841" w:type="dxa"/>
          </w:tcPr>
          <w:p>
            <w:pPr>
              <w:pStyle w:val="2"/>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t>
            </w:r>
          </w:p>
        </w:tc>
        <w:tc>
          <w:tcPr>
            <w:tcW w:w="2841" w:type="dxa"/>
          </w:tcPr>
          <w:p>
            <w:pPr>
              <w:pStyle w:val="2"/>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利旧</w:t>
            </w:r>
          </w:p>
        </w:tc>
      </w:tr>
    </w:tbl>
    <w:p>
      <w:pPr>
        <w:pStyle w:val="9"/>
        <w:numPr>
          <w:ilvl w:val="0"/>
          <w:numId w:val="4"/>
        </w:numPr>
        <w:spacing w:line="560" w:lineRule="exact"/>
        <w:ind w:left="0" w:leftChars="0" w:firstLine="0" w:firstLineChars="0"/>
        <w:rPr>
          <w:rFonts w:ascii="Times New Roman"/>
          <w:b/>
          <w:kern w:val="2"/>
          <w:sz w:val="28"/>
          <w:szCs w:val="28"/>
          <w:lang w:val="en-US" w:eastAsia="zh-CN"/>
        </w:rPr>
      </w:pPr>
      <w:bookmarkStart w:id="48" w:name="_Toc28851_WPSOffice_Level2"/>
      <w:bookmarkStart w:id="49" w:name="_Hlk530236614"/>
      <w:r>
        <w:rPr>
          <w:rFonts w:ascii="Times New Roman"/>
          <w:b/>
          <w:kern w:val="2"/>
          <w:sz w:val="28"/>
          <w:szCs w:val="28"/>
          <w:lang w:val="en-US" w:eastAsia="zh-CN"/>
        </w:rPr>
        <w:t>环境影响报告书主要结论与建议</w:t>
      </w:r>
      <w:bookmarkEnd w:id="48"/>
    </w:p>
    <w:p>
      <w:pPr>
        <w:pStyle w:val="9"/>
        <w:numPr>
          <w:ilvl w:val="0"/>
          <w:numId w:val="0"/>
        </w:numPr>
        <w:spacing w:line="560" w:lineRule="exact"/>
        <w:rPr>
          <w:rFonts w:hint="default" w:ascii="Times New Roman" w:hAnsi="Times New Roman" w:cs="Times New Roman"/>
          <w:b/>
          <w:kern w:val="2"/>
          <w:sz w:val="28"/>
          <w:szCs w:val="28"/>
          <w:lang w:val="en-US" w:eastAsia="zh-CN"/>
        </w:rPr>
      </w:pPr>
      <w:bookmarkStart w:id="50" w:name="_Toc7165_WPSOffice_Level3"/>
      <w:r>
        <w:rPr>
          <w:rFonts w:hint="default" w:ascii="Times New Roman" w:hAnsi="Times New Roman" w:cs="Times New Roman"/>
          <w:b/>
          <w:kern w:val="2"/>
          <w:sz w:val="28"/>
          <w:szCs w:val="28"/>
          <w:lang w:val="en-US" w:eastAsia="zh-CN"/>
        </w:rPr>
        <w:t>1 结论</w:t>
      </w:r>
      <w:bookmarkEnd w:id="50"/>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default" w:ascii="Times New Roman" w:hAnsi="Times New Roman" w:cs="Times New Roman" w:eastAsiaTheme="minorEastAsia"/>
          <w:b w:val="0"/>
          <w:bCs w:val="0"/>
          <w:sz w:val="24"/>
        </w:rPr>
        <w:t>项目建设是</w:t>
      </w:r>
      <w:r>
        <w:rPr>
          <w:rFonts w:hint="default" w:ascii="Times New Roman" w:hAnsi="Times New Roman" w:cs="Times New Roman" w:eastAsiaTheme="minorEastAsia"/>
          <w:b w:val="0"/>
          <w:bCs w:val="0"/>
          <w:sz w:val="24"/>
          <w:szCs w:val="24"/>
        </w:rPr>
        <w:t>对太钢公司内部供配电系统进行优化改造，对能源动力总厂</w:t>
      </w:r>
      <w:r>
        <w:rPr>
          <w:rFonts w:hint="default" w:ascii="Times New Roman" w:hAnsi="Times New Roman" w:cs="Times New Roman" w:eastAsiaTheme="minorEastAsia"/>
          <w:b w:val="0"/>
          <w:bCs w:val="0"/>
          <w:sz w:val="24"/>
        </w:rPr>
        <w:t>2</w:t>
      </w:r>
      <w:r>
        <w:rPr>
          <w:rFonts w:hint="eastAsia" w:ascii="Times New Roman" w:hAnsi="Times New Roman" w:cs="Times New Roman"/>
          <w:b w:val="0"/>
          <w:bCs w:val="0"/>
          <w:sz w:val="24"/>
          <w:lang w:val="en-US" w:eastAsia="zh-CN"/>
        </w:rPr>
        <w:t>×</w:t>
      </w:r>
      <w:r>
        <w:rPr>
          <w:rFonts w:hint="default" w:ascii="Times New Roman" w:hAnsi="Times New Roman" w:cs="Times New Roman" w:eastAsiaTheme="minorEastAsia"/>
          <w:b w:val="0"/>
          <w:bCs w:val="0"/>
          <w:sz w:val="24"/>
        </w:rPr>
        <w:t>300MW发电机组空冷机组乏汽余热及炼铁厂5#高炉冲渣水余热</w:t>
      </w:r>
      <w:r>
        <w:rPr>
          <w:rFonts w:hint="default" w:ascii="Times New Roman" w:hAnsi="Times New Roman" w:cs="Times New Roman" w:eastAsiaTheme="minorEastAsia"/>
          <w:b w:val="0"/>
          <w:bCs w:val="0"/>
          <w:sz w:val="24"/>
          <w:szCs w:val="24"/>
        </w:rPr>
        <w:t>进行回收利用，配置高效、节能型换热器，对供热公司的供热管网回水进行加热，最大限度的利用能源。</w:t>
      </w:r>
      <w:r>
        <w:rPr>
          <w:rFonts w:hint="default" w:ascii="Times New Roman" w:hAnsi="Times New Roman" w:cs="Times New Roman" w:eastAsiaTheme="minorEastAsia"/>
          <w:b w:val="0"/>
          <w:bCs w:val="0"/>
          <w:sz w:val="24"/>
        </w:rPr>
        <w:t>本项目的实施为优化城市的能源结构，加速产业结构调整，促进城市国民经济持续发展，改善生态环境和提高人民生活质量，完善城市基础设施等方面提供了可靠的保障。</w:t>
      </w:r>
      <w:r>
        <w:rPr>
          <w:rFonts w:hint="default" w:ascii="Times New Roman" w:hAnsi="Times New Roman" w:cs="Times New Roman" w:eastAsiaTheme="minorEastAsia"/>
          <w:b w:val="0"/>
          <w:bCs w:val="0"/>
          <w:snapToGrid w:val="0"/>
          <w:kern w:val="0"/>
          <w:sz w:val="24"/>
          <w:szCs w:val="24"/>
        </w:rPr>
        <w:t>根据以上评价得出如下基本结论：</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1</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产业政策符合性</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山西太钢不锈钢股份有限公司2013年节能技术改造项目是对太钢内部供配电系统进行优化改造，不新增土地，项目采用高效节能的先进电器设备，达到节能的目的；太钢能源动力总厂</w:t>
      </w:r>
      <w:r>
        <w:rPr>
          <w:rFonts w:hint="default" w:ascii="Times New Roman" w:hAnsi="Times New Roman" w:cs="Times New Roman" w:eastAsiaTheme="minorEastAsia"/>
          <w:b w:val="0"/>
          <w:bCs w:val="0"/>
          <w:sz w:val="24"/>
        </w:rPr>
        <w:t>2</w:t>
      </w:r>
      <w:r>
        <w:rPr>
          <w:rFonts w:hint="eastAsia" w:ascii="Times New Roman" w:hAnsi="Times New Roman" w:cs="Times New Roman"/>
          <w:b w:val="0"/>
          <w:bCs w:val="0"/>
          <w:sz w:val="24"/>
          <w:lang w:val="en-US" w:eastAsia="zh-CN"/>
        </w:rPr>
        <w:t>×</w:t>
      </w:r>
      <w:r>
        <w:rPr>
          <w:rFonts w:hint="default" w:ascii="Times New Roman" w:hAnsi="Times New Roman" w:cs="Times New Roman" w:eastAsiaTheme="minorEastAsia"/>
          <w:b w:val="0"/>
          <w:bCs w:val="0"/>
          <w:sz w:val="24"/>
        </w:rPr>
        <w:t>300MW发电机组空冷机组乏汽余热及炼铁厂5#高炉冲渣水余热</w:t>
      </w:r>
      <w:r>
        <w:rPr>
          <w:rFonts w:hint="default" w:ascii="Times New Roman" w:hAnsi="Times New Roman" w:cs="Times New Roman" w:eastAsiaTheme="minorEastAsia"/>
          <w:b w:val="0"/>
          <w:bCs w:val="0"/>
          <w:sz w:val="24"/>
          <w:szCs w:val="24"/>
        </w:rPr>
        <w:t>，实现汽水、水水换热，减少土小锅炉及燃烧散煤对环境的影响。项目是一项资源综合利用、节能降耗、改善环境、提高经济和社会效益的项目，对太钢走可持续发展的道路，具有十分重要的意义，本项目的社会效益、经济效益、环境效益良好。根据国家发改委《产业结构调整指导目录》，本项目属于国家鼓励类中第三十八类环境保护与资源节约综合利用中第23条：节能、节水、节材环保及资源综合利用等技术开发及应用，符合国家产业政策的要求和国家节能减排政策。</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2</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项目选址合理性</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项目改造均在太钢厂区内，且供配电系统优化改造在原有基础上进行，不新占用土地，空冷岛乏汽工程的换热站建设在空冷岛下方的空地建设，管网大部分为地埋式；5#高炉冲渣水工程换热站建设在出渣口旁的现有空地上，管网大部分为高架管道占地面积较小。本项目建成后，各类污染物均做到了达标排放和合理处置，从环境保护角度，厂址可行。</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3</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清洁生产</w:t>
      </w:r>
    </w:p>
    <w:p>
      <w:pPr>
        <w:adjustRightInd w:val="0"/>
        <w:snapToGrid w:val="0"/>
        <w:spacing w:line="500" w:lineRule="exact"/>
        <w:ind w:firstLine="480" w:firstLineChars="200"/>
        <w:rPr>
          <w:rFonts w:hint="default" w:ascii="Times New Roman" w:hAnsi="Times New Roman" w:cs="Times New Roman" w:eastAsiaTheme="minorEastAsia"/>
          <w:b w:val="0"/>
          <w:bCs w:val="0"/>
          <w:sz w:val="24"/>
        </w:rPr>
      </w:pPr>
      <w:r>
        <w:rPr>
          <w:rFonts w:hint="default" w:ascii="Times New Roman" w:hAnsi="Times New Roman" w:cs="Times New Roman" w:eastAsiaTheme="minorEastAsia"/>
          <w:b w:val="0"/>
          <w:bCs w:val="0"/>
          <w:sz w:val="24"/>
          <w:szCs w:val="24"/>
        </w:rPr>
        <w:t>本项目供配电工程改造后，可大大提供设备的运行效率，减少设备自身及线路的损耗，节约了电能。</w:t>
      </w:r>
      <w:r>
        <w:rPr>
          <w:rFonts w:hint="default" w:ascii="Times New Roman" w:hAnsi="Times New Roman" w:cs="Times New Roman" w:eastAsiaTheme="minorEastAsia"/>
          <w:b w:val="0"/>
          <w:bCs w:val="0"/>
          <w:sz w:val="24"/>
        </w:rPr>
        <w:t>利用2X300MW发电机组空冷机组乏汽余热及炼铁厂5#高炉冲渣水余热进行供暖</w:t>
      </w:r>
      <w:r>
        <w:rPr>
          <w:rFonts w:hint="default" w:ascii="Times New Roman" w:hAnsi="Times New Roman" w:cs="Times New Roman" w:eastAsiaTheme="minorEastAsia"/>
          <w:b w:val="0"/>
          <w:bCs w:val="0"/>
          <w:sz w:val="24"/>
          <w:szCs w:val="24"/>
        </w:rPr>
        <w:t>，减少了散户燃烧散煤所造成的环境污染，减少了大气污染物的排放，</w:t>
      </w:r>
      <w:r>
        <w:rPr>
          <w:rFonts w:hint="default" w:ascii="Times New Roman" w:hAnsi="Times New Roman" w:cs="Times New Roman" w:eastAsiaTheme="minorEastAsia"/>
          <w:b w:val="0"/>
          <w:bCs w:val="0"/>
          <w:sz w:val="24"/>
        </w:rPr>
        <w:t>项目本身属于“国家清洁发展机制”推广应用项目，项目</w:t>
      </w:r>
      <w:r>
        <w:rPr>
          <w:rFonts w:hint="default" w:ascii="Times New Roman" w:hAnsi="Times New Roman" w:cs="Times New Roman" w:eastAsiaTheme="minorEastAsia"/>
          <w:b w:val="0"/>
          <w:bCs w:val="0"/>
          <w:sz w:val="24"/>
          <w:szCs w:val="24"/>
        </w:rPr>
        <w:t>采用先进工艺生产技术，节约资源，减少污染排放，</w:t>
      </w:r>
      <w:r>
        <w:rPr>
          <w:rFonts w:hint="default" w:ascii="Times New Roman" w:hAnsi="Times New Roman" w:cs="Times New Roman" w:eastAsiaTheme="minorEastAsia"/>
          <w:b w:val="0"/>
          <w:bCs w:val="0"/>
          <w:sz w:val="24"/>
        </w:rPr>
        <w:t>符合节能减排的清洁生产要求。</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4</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达标排放</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本项目施工期间，由于建设施工过程的物料运输、堆放和机械操作，将产生一定扬尘污染。施工挖掘、架空管道架装等将产生一定的噪声污染。通过洒水降尘、设施工围挡，合理安排施工时间，可消除对周边环境的影响。</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由于本项目供配电系统优化改造工程实施后利用原有的太钢工作人员，不新增人员，且项目改造已基本完工；供暖系统所建换热站属无人值守站，仅设检修及维护人员，在营运期一般情况下无污染物产生，仅在每年采暖前对管道进行试水，</w:t>
      </w:r>
      <w:r>
        <w:rPr>
          <w:rFonts w:hint="default" w:ascii="Times New Roman" w:hAnsi="Times New Roman" w:cs="Times New Roman" w:eastAsiaTheme="minorEastAsia"/>
          <w:b w:val="0"/>
          <w:bCs w:val="0"/>
          <w:kern w:val="0"/>
          <w:sz w:val="24"/>
          <w:szCs w:val="24"/>
        </w:rPr>
        <w:t>这些冲洗废水主要含有一定的铁屑等杂质，属于无污染的水，其产生量少，排入水渣淬冷系统进行循环使用；维修及检修人员的日常生活污水产生量较小，均依托太钢原有的完善设施，就近排入污水管网，由太钢赵庄污水处理厂统一处理回用。对地表水环境的影响相对较小。</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换热站对环境产生影响主要有循环水泵和补水泵产生的噪声。采暖换热站循环水泵和补水泵噪声强度一般为85dB(A)，这些设备采取基础减震、隔音、降噪声措施，并置于室内，对周围环境影响较小。</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因项目供配电系统的优化改造仅更换为安全系数高、节能降耗、先进可靠的变压器、断路器等电器设备，改造前后对大气、声环境影响较小。</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5</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节能减排</w:t>
      </w:r>
    </w:p>
    <w:p>
      <w:pPr>
        <w:adjustRightInd w:val="0"/>
        <w:snapToGrid w:val="0"/>
        <w:spacing w:line="460" w:lineRule="exact"/>
        <w:ind w:firstLine="480" w:firstLineChars="200"/>
        <w:rPr>
          <w:rFonts w:hint="default" w:ascii="Times New Roman" w:hAnsi="Times New Roman" w:cs="Times New Roman" w:eastAsiaTheme="minorEastAsia"/>
          <w:b w:val="0"/>
          <w:bCs w:val="0"/>
          <w:snapToGrid w:val="0"/>
          <w:sz w:val="24"/>
          <w:szCs w:val="24"/>
        </w:rPr>
      </w:pPr>
      <w:r>
        <w:rPr>
          <w:rFonts w:hint="default" w:ascii="Times New Roman" w:hAnsi="Times New Roman" w:cs="Times New Roman" w:eastAsiaTheme="minorEastAsia"/>
          <w:b w:val="0"/>
          <w:bCs w:val="0"/>
          <w:snapToGrid w:val="0"/>
          <w:sz w:val="24"/>
          <w:szCs w:val="24"/>
        </w:rPr>
        <w:t>项目技改工程，新增污染源主要为职工日常生活污水,其量少就近排入太钢原有的污水管网，对环境影响小。项目供配电优化改造工程的实施，优化改造后四座降压站变压器年耗电量降低4611686.4kWh/a，折标煤566.78 tce/a（当量值），1521.86tce/a（等价值）；通过余热供暖项目的实施，对社会热电联产集中供暖面积的增加，社会减少采暖燃煤消耗16万t/a，可实现社会减排：烟尘：13.34t/a，SO</w:t>
      </w:r>
      <w:r>
        <w:rPr>
          <w:rFonts w:hint="default" w:ascii="Times New Roman" w:hAnsi="Times New Roman" w:cs="Times New Roman" w:eastAsiaTheme="minorEastAsia"/>
          <w:b w:val="0"/>
          <w:bCs w:val="0"/>
          <w:snapToGrid w:val="0"/>
          <w:sz w:val="24"/>
          <w:szCs w:val="24"/>
          <w:vertAlign w:val="subscript"/>
        </w:rPr>
        <w:t>2</w:t>
      </w:r>
      <w:r>
        <w:rPr>
          <w:rFonts w:hint="default" w:ascii="Times New Roman" w:hAnsi="Times New Roman" w:cs="Times New Roman" w:eastAsiaTheme="minorEastAsia"/>
          <w:b w:val="0"/>
          <w:bCs w:val="0"/>
          <w:snapToGrid w:val="0"/>
          <w:sz w:val="24"/>
          <w:szCs w:val="24"/>
        </w:rPr>
        <w:t>31.42t/a，NO</w:t>
      </w:r>
      <w:r>
        <w:rPr>
          <w:rFonts w:hint="default" w:ascii="Times New Roman" w:hAnsi="Times New Roman" w:cs="Times New Roman" w:eastAsiaTheme="minorEastAsia"/>
          <w:b w:val="0"/>
          <w:bCs w:val="0"/>
          <w:snapToGrid w:val="0"/>
          <w:sz w:val="24"/>
          <w:szCs w:val="24"/>
          <w:vertAlign w:val="subscript"/>
        </w:rPr>
        <w:t>X</w:t>
      </w:r>
      <w:r>
        <w:rPr>
          <w:rFonts w:hint="default" w:ascii="Times New Roman" w:hAnsi="Times New Roman" w:cs="Times New Roman" w:eastAsiaTheme="minorEastAsia"/>
          <w:b w:val="0"/>
          <w:bCs w:val="0"/>
          <w:snapToGrid w:val="0"/>
          <w:sz w:val="24"/>
          <w:szCs w:val="24"/>
        </w:rPr>
        <w:t>44.62t/a。项目实施后，节能、减排效果明显。</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kern w:val="0"/>
          <w:sz w:val="24"/>
          <w:szCs w:val="24"/>
        </w:rPr>
      </w:pPr>
      <w:r>
        <w:rPr>
          <w:rFonts w:hint="eastAsia" w:ascii="Times New Roman" w:hAnsi="Times New Roman" w:cs="Times New Roman"/>
          <w:b w:val="0"/>
          <w:bCs w:val="0"/>
          <w:snapToGrid w:val="0"/>
          <w:kern w:val="0"/>
          <w:sz w:val="24"/>
          <w:szCs w:val="24"/>
          <w:lang w:eastAsia="zh-CN"/>
        </w:rPr>
        <w:t>（</w:t>
      </w:r>
      <w:r>
        <w:rPr>
          <w:rFonts w:hint="eastAsia" w:ascii="Times New Roman" w:hAnsi="Times New Roman" w:cs="Times New Roman"/>
          <w:b w:val="0"/>
          <w:bCs w:val="0"/>
          <w:snapToGrid w:val="0"/>
          <w:kern w:val="0"/>
          <w:sz w:val="24"/>
          <w:szCs w:val="24"/>
          <w:lang w:val="en-US" w:eastAsia="zh-CN"/>
        </w:rPr>
        <w:t>6</w:t>
      </w:r>
      <w:r>
        <w:rPr>
          <w:rFonts w:hint="eastAsia" w:ascii="Times New Roman" w:hAnsi="Times New Roman" w:cs="Times New Roman"/>
          <w:b w:val="0"/>
          <w:bCs w:val="0"/>
          <w:snapToGrid w:val="0"/>
          <w:kern w:val="0"/>
          <w:sz w:val="24"/>
          <w:szCs w:val="24"/>
          <w:lang w:eastAsia="zh-CN"/>
        </w:rPr>
        <w:t>）</w:t>
      </w:r>
      <w:r>
        <w:rPr>
          <w:rFonts w:hint="default" w:ascii="Times New Roman" w:hAnsi="Times New Roman" w:cs="Times New Roman" w:eastAsiaTheme="minorEastAsia"/>
          <w:b w:val="0"/>
          <w:bCs w:val="0"/>
          <w:snapToGrid w:val="0"/>
          <w:kern w:val="0"/>
          <w:sz w:val="24"/>
          <w:szCs w:val="24"/>
        </w:rPr>
        <w:t>对区域环境质量的影响</w:t>
      </w:r>
    </w:p>
    <w:p>
      <w:pPr>
        <w:adjustRightInd w:val="0"/>
        <w:snapToGrid w:val="0"/>
        <w:spacing w:line="500" w:lineRule="exact"/>
        <w:ind w:firstLine="480" w:firstLineChars="200"/>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t>根据环境空气质量现状监测结果，该地区的环境空气质量已超过《环境空气质量标准》二级标准，技改后项目无废气污染物的排放；废水排放主要为少量生活污水的产生，均妥善处置，不外排；根据噪声分析，各换热站循环水泵和补水水泵对厂界环境敏感点的影响较小，可做到达标排放；项目产生的少量生活垃圾也妥善处置，不会对环境造成影响。</w:t>
      </w:r>
    </w:p>
    <w:p>
      <w:pPr>
        <w:adjustRightInd w:val="0"/>
        <w:snapToGrid w:val="0"/>
        <w:spacing w:line="500" w:lineRule="exact"/>
        <w:ind w:firstLine="480" w:firstLineChars="200"/>
        <w:rPr>
          <w:rFonts w:hint="default" w:ascii="Times New Roman" w:hAnsi="Times New Roman" w:cs="Times New Roman" w:eastAsiaTheme="minorEastAsia"/>
          <w:b w:val="0"/>
          <w:bCs w:val="0"/>
          <w:snapToGrid w:val="0"/>
          <w:sz w:val="24"/>
          <w:szCs w:val="24"/>
        </w:rPr>
      </w:pPr>
      <w:r>
        <w:rPr>
          <w:rFonts w:hint="default" w:ascii="Times New Roman" w:hAnsi="Times New Roman" w:cs="Times New Roman" w:eastAsiaTheme="minorEastAsia"/>
          <w:b w:val="0"/>
          <w:bCs w:val="0"/>
          <w:snapToGrid w:val="0"/>
          <w:sz w:val="24"/>
          <w:szCs w:val="24"/>
        </w:rPr>
        <w:t>项目符合国家产业政策的要求；项目厂址符合本地总体规划的要求，项目所在地无风景名胜、自然保护区等特殊的环境敏感目标，项目选址可行；工艺能够满足清洁生产的要求；项目污染物排放全部做到达标排放，对周围环境的影响较小。因此，从环境保护的角度考虑，项目可行。</w:t>
      </w:r>
    </w:p>
    <w:p>
      <w:pPr>
        <w:pStyle w:val="9"/>
        <w:numPr>
          <w:ilvl w:val="0"/>
          <w:numId w:val="0"/>
        </w:numPr>
        <w:spacing w:line="560" w:lineRule="exact"/>
        <w:ind w:leftChars="0"/>
        <w:rPr>
          <w:rFonts w:hint="eastAsia" w:ascii="Times New Roman"/>
          <w:b/>
          <w:kern w:val="2"/>
          <w:sz w:val="28"/>
          <w:szCs w:val="28"/>
          <w:lang w:val="en-US" w:eastAsia="zh-CN"/>
        </w:rPr>
      </w:pPr>
      <w:bookmarkStart w:id="51" w:name="_Toc7455_WPSOffice_Level3"/>
      <w:r>
        <w:rPr>
          <w:rFonts w:hint="eastAsia" w:ascii="Times New Roman"/>
          <w:b/>
          <w:kern w:val="2"/>
          <w:sz w:val="28"/>
          <w:szCs w:val="28"/>
          <w:lang w:val="en-US" w:eastAsia="zh-CN"/>
        </w:rPr>
        <w:t>2 建议</w:t>
      </w:r>
      <w:bookmarkEnd w:id="51"/>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r>
        <w:rPr>
          <w:rFonts w:hint="eastAsia" w:ascii="Times New Roman" w:hAnsi="Times New Roman" w:cs="Times New Roman"/>
          <w:snapToGrid w:val="0"/>
          <w:kern w:val="0"/>
          <w:sz w:val="24"/>
          <w:szCs w:val="24"/>
          <w:lang w:eastAsia="zh-CN"/>
        </w:rPr>
        <w:t>（</w:t>
      </w:r>
      <w:r>
        <w:rPr>
          <w:rFonts w:hint="eastAsia" w:ascii="Times New Roman" w:hAnsi="Times New Roman" w:cs="Times New Roman"/>
          <w:snapToGrid w:val="0"/>
          <w:kern w:val="0"/>
          <w:sz w:val="24"/>
          <w:szCs w:val="24"/>
          <w:lang w:val="en-US" w:eastAsia="zh-CN"/>
        </w:rPr>
        <w:t>1</w:t>
      </w:r>
      <w:r>
        <w:rPr>
          <w:rFonts w:hint="eastAsia" w:ascii="Times New Roman" w:hAnsi="Times New Roman" w:cs="Times New Roman"/>
          <w:snapToGrid w:val="0"/>
          <w:kern w:val="0"/>
          <w:sz w:val="24"/>
          <w:szCs w:val="24"/>
          <w:lang w:eastAsia="zh-CN"/>
        </w:rPr>
        <w:t>）</w:t>
      </w:r>
      <w:r>
        <w:rPr>
          <w:rFonts w:hint="default" w:ascii="Times New Roman" w:hAnsi="Times New Roman" w:cs="Times New Roman" w:eastAsiaTheme="minorEastAsia"/>
          <w:snapToGrid w:val="0"/>
          <w:kern w:val="0"/>
          <w:sz w:val="24"/>
          <w:szCs w:val="24"/>
        </w:rPr>
        <w:t>项目建设单位要加强施工人员的管理，严格按照施工规范文明施工，施工场地要合理布置，将对周围环境的影响程度降到最低。</w:t>
      </w: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r>
        <w:rPr>
          <w:rFonts w:hint="eastAsia" w:ascii="Times New Roman" w:hAnsi="Times New Roman" w:cs="Times New Roman"/>
          <w:snapToGrid w:val="0"/>
          <w:kern w:val="0"/>
          <w:sz w:val="24"/>
          <w:szCs w:val="24"/>
          <w:lang w:eastAsia="zh-CN"/>
        </w:rPr>
        <w:t>（</w:t>
      </w:r>
      <w:r>
        <w:rPr>
          <w:rFonts w:hint="eastAsia" w:ascii="Times New Roman" w:hAnsi="Times New Roman" w:cs="Times New Roman"/>
          <w:snapToGrid w:val="0"/>
          <w:kern w:val="0"/>
          <w:sz w:val="24"/>
          <w:szCs w:val="24"/>
          <w:lang w:val="en-US" w:eastAsia="zh-CN"/>
        </w:rPr>
        <w:t>2</w:t>
      </w:r>
      <w:r>
        <w:rPr>
          <w:rFonts w:hint="eastAsia" w:ascii="Times New Roman" w:hAnsi="Times New Roman" w:cs="Times New Roman"/>
          <w:snapToGrid w:val="0"/>
          <w:kern w:val="0"/>
          <w:sz w:val="24"/>
          <w:szCs w:val="24"/>
          <w:lang w:eastAsia="zh-CN"/>
        </w:rPr>
        <w:t>）</w:t>
      </w:r>
      <w:r>
        <w:rPr>
          <w:rFonts w:hint="default" w:ascii="Times New Roman" w:hAnsi="Times New Roman" w:cs="Times New Roman" w:eastAsiaTheme="minorEastAsia"/>
          <w:snapToGrid w:val="0"/>
          <w:kern w:val="0"/>
          <w:sz w:val="24"/>
          <w:szCs w:val="24"/>
        </w:rPr>
        <w:t>加强职工环保意识教育，确保各项环保设施正常运行。</w:t>
      </w: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ind w:leftChars="0" w:firstLine="240" w:firstLineChars="100"/>
        <w:rPr>
          <w:rFonts w:hint="default" w:ascii="Times New Roman" w:hAnsi="Times New Roman" w:cs="Times New Roman" w:eastAsiaTheme="minorEastAsia"/>
          <w:snapToGrid w:val="0"/>
          <w:kern w:val="0"/>
          <w:sz w:val="24"/>
          <w:szCs w:val="24"/>
        </w:rPr>
      </w:pPr>
    </w:p>
    <w:p>
      <w:pPr>
        <w:pStyle w:val="9"/>
        <w:numPr>
          <w:ilvl w:val="0"/>
          <w:numId w:val="0"/>
        </w:numPr>
        <w:spacing w:line="560" w:lineRule="exact"/>
        <w:rPr>
          <w:rFonts w:ascii="Times New Roman"/>
          <w:b/>
          <w:kern w:val="2"/>
          <w:sz w:val="28"/>
          <w:szCs w:val="28"/>
          <w:lang w:val="en-US" w:eastAsia="zh-CN"/>
        </w:rPr>
      </w:pPr>
      <w:bookmarkStart w:id="52" w:name="_Toc10749_WPSOffice_Level2"/>
      <w:r>
        <w:rPr>
          <w:rFonts w:hint="eastAsia" w:ascii="Times New Roman"/>
          <w:b/>
          <w:kern w:val="2"/>
          <w:sz w:val="28"/>
          <w:szCs w:val="28"/>
          <w:lang w:val="en-US" w:eastAsia="zh-CN"/>
        </w:rPr>
        <w:t>（三）</w:t>
      </w:r>
      <w:r>
        <w:rPr>
          <w:rFonts w:ascii="Times New Roman"/>
          <w:b/>
          <w:kern w:val="2"/>
          <w:sz w:val="28"/>
          <w:szCs w:val="28"/>
          <w:lang w:val="en-US" w:eastAsia="zh-CN"/>
        </w:rPr>
        <w:t>审批部门审批决定表</w:t>
      </w:r>
      <w:bookmarkEnd w:id="52"/>
    </w:p>
    <w:p>
      <w:pPr>
        <w:pStyle w:val="9"/>
        <w:spacing w:line="560" w:lineRule="exact"/>
        <w:ind w:firstLine="482" w:firstLineChars="200"/>
        <w:jc w:val="center"/>
        <w:rPr>
          <w:rFonts w:hint="eastAsia"/>
          <w:b/>
          <w:bCs/>
          <w:szCs w:val="24"/>
          <w:lang w:eastAsia="zh-CN"/>
        </w:rPr>
      </w:pPr>
      <w:bookmarkStart w:id="53" w:name="_Toc28851_WPSOffice_Level3"/>
      <w:r>
        <w:rPr>
          <w:rFonts w:hint="eastAsia"/>
          <w:b/>
          <w:bCs/>
          <w:szCs w:val="24"/>
          <w:lang w:val="en-US" w:eastAsia="zh-CN"/>
        </w:rPr>
        <w:t xml:space="preserve">表4.2 </w:t>
      </w:r>
      <w:r>
        <w:rPr>
          <w:b/>
          <w:bCs/>
          <w:szCs w:val="24"/>
        </w:rPr>
        <w:t xml:space="preserve"> 项目</w:t>
      </w:r>
      <w:r>
        <w:rPr>
          <w:rFonts w:hint="eastAsia"/>
          <w:b/>
          <w:bCs/>
          <w:szCs w:val="24"/>
          <w:lang w:eastAsia="zh-CN"/>
        </w:rPr>
        <w:t>环评批复及实际完成情况一览表</w:t>
      </w:r>
      <w:bookmarkEnd w:id="53"/>
    </w:p>
    <w:tbl>
      <w:tblPr>
        <w:tblStyle w:val="16"/>
        <w:tblW w:w="8560"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415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733"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序号</w:t>
            </w:r>
          </w:p>
        </w:tc>
        <w:tc>
          <w:tcPr>
            <w:tcW w:w="415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环评批复要求</w:t>
            </w:r>
          </w:p>
        </w:tc>
        <w:tc>
          <w:tcPr>
            <w:tcW w:w="3670"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3" w:hRule="atLeast"/>
          <w:jc w:val="center"/>
        </w:trPr>
        <w:tc>
          <w:tcPr>
            <w:tcW w:w="733"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4157" w:type="dxa"/>
            <w:vAlign w:val="center"/>
          </w:tcPr>
          <w:p>
            <w:pPr>
              <w:keepNext/>
              <w:keepLines/>
              <w:autoSpaceDE w:val="0"/>
              <w:autoSpaceDN w:val="0"/>
              <w:adjustRightInd w:val="0"/>
              <w:spacing w:before="100" w:beforeAutospacing="1" w:after="100" w:afterAutospacing="1"/>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山西太钢不锈钢股份有限公司为了适应技术进步和发展的需要，降低生产成本，改善管理水平，拟建山西太钢不锈钢股份有限公司2013年节能技术改造项目，项目总投资46902万元，其中环保投资229万元，项目全部位于本部厂区内，分3个子项目：（1）太钢供配电系统优化改造工程；（2）太钢能源动力总厂2×300MW发电机组空冷乏汽余热回收供暖工程；（3）炼铁厂5#高炉冲渣水余热回收供暖工程。依托工程为供电、供汽、排水等工程全部由太钢公司统一提供</w:t>
            </w:r>
          </w:p>
        </w:tc>
        <w:tc>
          <w:tcPr>
            <w:tcW w:w="3670" w:type="dxa"/>
            <w:vAlign w:val="center"/>
          </w:tcPr>
          <w:p>
            <w:pPr>
              <w:keepNext/>
              <w:keepLines/>
              <w:autoSpaceDE w:val="0"/>
              <w:autoSpaceDN w:val="0"/>
              <w:adjustRightInd w:val="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项目按照环评要求建设，与环评一致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733" w:type="dxa"/>
            <w:textDirection w:val="lrTb"/>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4157" w:type="dxa"/>
            <w:textDirection w:val="lrTb"/>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项目产生的废水主要为管道、地面、设备清洗水和生活污水，生产废水，生活污水排至太钢生活污水处理厂处理后回用于太钢生产，不外排</w:t>
            </w:r>
          </w:p>
        </w:tc>
        <w:tc>
          <w:tcPr>
            <w:tcW w:w="3670" w:type="dxa"/>
            <w:textDirection w:val="lrTb"/>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项目产生的生产废水排入太钢渣水系统进行水渣淬冷，循环利用不外排，生活污水排至太钢生活污水处理厂处理后回用于太钢生产，不外排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jc w:val="center"/>
        </w:trPr>
        <w:tc>
          <w:tcPr>
            <w:tcW w:w="733"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4157"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冲渣水过滤产生的水渣返回水渣系统制作超细粉，生活垃圾由太钢环卫部门统一处理</w:t>
            </w:r>
          </w:p>
        </w:tc>
        <w:tc>
          <w:tcPr>
            <w:tcW w:w="3670" w:type="dxa"/>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水渣返回水渣系统制作超细粉，生活垃圾由太钢环卫部门统一处理。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2" w:hRule="atLeast"/>
          <w:jc w:val="center"/>
        </w:trPr>
        <w:tc>
          <w:tcPr>
            <w:tcW w:w="733"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w:t>
            </w:r>
          </w:p>
        </w:tc>
        <w:tc>
          <w:tcPr>
            <w:tcW w:w="4157"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主要噪声污染源为水泵等产生的噪声，通过安装消声器、基础减振，产噪设备置于室内等措施，对周围环境影响较小。</w:t>
            </w:r>
          </w:p>
        </w:tc>
        <w:tc>
          <w:tcPr>
            <w:tcW w:w="3670"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噪声设备设置减振基础，厂房进行了封闭处理</w:t>
            </w:r>
            <w:r>
              <w:rPr>
                <w:rFonts w:hint="eastAsia" w:cs="Times New Roman" w:eastAsiaTheme="minorEastAsia"/>
                <w:color w:val="auto"/>
                <w:sz w:val="21"/>
                <w:szCs w:val="21"/>
                <w:lang w:eastAsia="zh-CN"/>
              </w:rPr>
              <w:t>，经监测厂界能够达标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3" w:hRule="atLeast"/>
          <w:jc w:val="center"/>
        </w:trPr>
        <w:tc>
          <w:tcPr>
            <w:tcW w:w="733" w:type="dxa"/>
            <w:vAlign w:val="center"/>
          </w:tcPr>
          <w:p>
            <w:pPr>
              <w:keepNext/>
              <w:keepLines/>
              <w:autoSpaceDE w:val="0"/>
              <w:autoSpaceDN w:val="0"/>
              <w:adjustRightInd w:val="0"/>
              <w:spacing w:line="288" w:lineRule="auto"/>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4157"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环境影响报告表所提各项污染防治措施，必须逐项落实。项目建成，经检查同意后，方可投入试运营，试运营3个月内要按时完成项目竣工环境保护验收工作。</w:t>
            </w:r>
          </w:p>
        </w:tc>
        <w:tc>
          <w:tcPr>
            <w:tcW w:w="3670" w:type="dxa"/>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该项目按要求进行了试运行</w:t>
            </w:r>
            <w:r>
              <w:rPr>
                <w:rFonts w:hint="eastAsia" w:cs="Times New Roman" w:eastAsiaTheme="minorEastAsia"/>
                <w:color w:val="auto"/>
                <w:sz w:val="21"/>
                <w:szCs w:val="21"/>
                <w:lang w:eastAsia="zh-CN"/>
              </w:rPr>
              <w:t>公示</w:t>
            </w:r>
            <w:r>
              <w:rPr>
                <w:rFonts w:hint="default" w:ascii="Times New Roman" w:hAnsi="Times New Roman" w:cs="Times New Roman" w:eastAsiaTheme="minorEastAsia"/>
                <w:color w:val="auto"/>
                <w:sz w:val="21"/>
                <w:szCs w:val="21"/>
              </w:rPr>
              <w:t>，</w:t>
            </w:r>
            <w:r>
              <w:rPr>
                <w:rFonts w:hint="eastAsia" w:cs="Times New Roman" w:eastAsiaTheme="minorEastAsia"/>
                <w:color w:val="auto"/>
                <w:sz w:val="21"/>
                <w:szCs w:val="21"/>
                <w:lang w:eastAsia="zh-CN"/>
              </w:rPr>
              <w:t>试运行后开展了竣工验收监测及验收相关工作</w:t>
            </w:r>
          </w:p>
        </w:tc>
      </w:tr>
    </w:tbl>
    <w:p>
      <w:pPr>
        <w:pStyle w:val="9"/>
        <w:spacing w:line="560" w:lineRule="exact"/>
        <w:ind w:firstLine="482" w:firstLineChars="200"/>
        <w:jc w:val="center"/>
        <w:rPr>
          <w:rFonts w:hint="eastAsia"/>
          <w:b/>
          <w:bCs/>
          <w:szCs w:val="24"/>
          <w:lang w:eastAsia="zh-CN"/>
        </w:rPr>
      </w:pPr>
    </w:p>
    <w:p>
      <w:pPr>
        <w:numPr>
          <w:ilvl w:val="0"/>
          <w:numId w:val="4"/>
        </w:numPr>
        <w:spacing w:line="360" w:lineRule="auto"/>
        <w:ind w:left="0" w:leftChars="0" w:firstLine="0" w:firstLineChars="0"/>
        <w:rPr>
          <w:rFonts w:hint="eastAsia" w:ascii="宋体" w:hAnsi="宋体"/>
          <w:b/>
          <w:sz w:val="28"/>
          <w:szCs w:val="28"/>
          <w:highlight w:val="none"/>
        </w:rPr>
      </w:pPr>
      <w:bookmarkStart w:id="54" w:name="_Toc30532_WPSOffice_Level2"/>
      <w:r>
        <w:rPr>
          <w:rFonts w:hint="eastAsia" w:ascii="宋体" w:hAnsi="宋体"/>
          <w:b/>
          <w:sz w:val="28"/>
          <w:szCs w:val="28"/>
          <w:highlight w:val="none"/>
        </w:rPr>
        <w:t>制度措施落实情况</w:t>
      </w:r>
      <w:bookmarkEnd w:id="54"/>
    </w:p>
    <w:p>
      <w:pPr>
        <w:pStyle w:val="6"/>
        <w:pageBreakBefore w:val="0"/>
        <w:numPr>
          <w:ilvl w:val="0"/>
          <w:numId w:val="0"/>
        </w:numPr>
        <w:kinsoku/>
        <w:wordWrap/>
        <w:overflowPunct/>
        <w:topLinePunct w:val="0"/>
        <w:bidi w:val="0"/>
        <w:spacing w:line="580" w:lineRule="exact"/>
        <w:ind w:right="0" w:rightChars="0"/>
        <w:rPr>
          <w:rFonts w:hint="eastAsia"/>
          <w:sz w:val="28"/>
          <w:szCs w:val="28"/>
        </w:rPr>
      </w:pPr>
      <w:bookmarkStart w:id="55" w:name="_Toc1251_WPSOffice_Level3"/>
      <w:r>
        <w:rPr>
          <w:rFonts w:hint="eastAsia"/>
          <w:sz w:val="28"/>
          <w:szCs w:val="28"/>
        </w:rPr>
        <w:t>1、太钢的工作方针和环保管理组织体系</w:t>
      </w:r>
    </w:p>
    <w:p>
      <w:pPr>
        <w:pageBreakBefore w:val="0"/>
        <w:kinsoku/>
        <w:wordWrap/>
        <w:overflowPunct/>
        <w:topLinePunct w:val="0"/>
        <w:bidi w:val="0"/>
        <w:spacing w:line="580" w:lineRule="exact"/>
        <w:ind w:right="0" w:rightChars="0" w:firstLine="560" w:firstLineChars="200"/>
        <w:rPr>
          <w:rFonts w:hint="eastAsia" w:ascii="宋体" w:hAnsi="宋体"/>
          <w:sz w:val="28"/>
          <w:szCs w:val="28"/>
        </w:rPr>
      </w:pPr>
      <w:r>
        <w:rPr>
          <w:rFonts w:hint="eastAsia" w:ascii="宋体" w:hAnsi="宋体"/>
          <w:sz w:val="28"/>
          <w:szCs w:val="28"/>
        </w:rPr>
        <w:t>太钢的环保工作方针为：</w:t>
      </w:r>
    </w:p>
    <w:p>
      <w:pPr>
        <w:pageBreakBefore w:val="0"/>
        <w:kinsoku/>
        <w:wordWrap/>
        <w:overflowPunct/>
        <w:topLinePunct w:val="0"/>
        <w:bidi w:val="0"/>
        <w:spacing w:line="580" w:lineRule="exact"/>
        <w:ind w:right="0" w:rightChars="0" w:firstLine="560" w:firstLineChars="200"/>
        <w:rPr>
          <w:rFonts w:hint="eastAsia" w:ascii="宋体" w:hAnsi="宋体"/>
          <w:sz w:val="28"/>
          <w:szCs w:val="28"/>
          <w:lang w:val="en-GB"/>
        </w:rPr>
      </w:pPr>
      <w:r>
        <w:rPr>
          <w:rFonts w:hint="eastAsia" w:ascii="宋体" w:hAnsi="宋体"/>
          <w:sz w:val="28"/>
          <w:szCs w:val="28"/>
        </w:rPr>
        <w:t>在生产清洁产品的同时，创造适合社会进步和公众需求的优美环境，全力推进循环经济，实现可持续发展。太钢的环保管理组织机构见图5-1。</w:t>
      </w:r>
      <w:r>
        <w:rPr>
          <w:rFonts w:hint="eastAsia" w:ascii="宋体" w:hAnsi="宋体"/>
          <w:sz w:val="28"/>
          <w:szCs w:val="28"/>
          <w:lang w:val="en-GB"/>
        </w:rPr>
        <w:t>太钢环境管理机构由能源环保部、二级厂（矿）环保主管科室（工段）组成。太钢环保管理已形成集生产、设备、能源、环保四位一体的环保管理网络。</w:t>
      </w:r>
    </w:p>
    <w:p>
      <w:pPr>
        <w:pStyle w:val="2"/>
        <w:rPr>
          <w:rFonts w:hint="eastAsia" w:ascii="宋体" w:hAnsi="宋体"/>
          <w:sz w:val="28"/>
          <w:szCs w:val="28"/>
          <w:lang w:val="en-GB"/>
        </w:rPr>
      </w:pPr>
      <w:r>
        <w:pict>
          <v:shape id="_x0000_s1026" o:spid="_x0000_s1026" o:spt="75" type="#_x0000_t75" style="position:absolute;left:0pt;margin-left:3.45pt;margin-top:13.3pt;height:321.75pt;width:448.5pt;z-index:252498944;mso-width-relative:page;mso-height-relative:page;" o:ole="t" filled="f" o:preferrelative="t" stroked="f" coordsize="21600,21600">
            <v:path/>
            <v:fill on="f" focussize="0,0"/>
            <v:stroke on="f"/>
            <v:imagedata r:id="rId9" o:title=""/>
            <o:lock v:ext="edit" aspectratio="t"/>
          </v:shape>
          <o:OLEObject Type="Embed" ProgID="Visio.Drawing.11" ShapeID="_x0000_s1026" DrawAspect="Content" ObjectID="_1468075725" r:id="rId8">
            <o:LockedField>false</o:LockedField>
          </o:OLEObject>
        </w:pict>
      </w: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Style w:val="2"/>
        <w:rPr>
          <w:rFonts w:hint="eastAsia" w:ascii="宋体" w:hAnsi="宋体"/>
          <w:sz w:val="28"/>
          <w:szCs w:val="28"/>
          <w:lang w:val="en-GB"/>
        </w:rPr>
      </w:pPr>
    </w:p>
    <w:p>
      <w:pPr>
        <w:pageBreakBefore w:val="0"/>
        <w:kinsoku/>
        <w:wordWrap/>
        <w:overflowPunct/>
        <w:topLinePunct w:val="0"/>
        <w:bidi w:val="0"/>
        <w:spacing w:line="580" w:lineRule="exact"/>
        <w:ind w:right="0" w:rightChars="0"/>
        <w:jc w:val="center"/>
        <w:rPr>
          <w:sz w:val="18"/>
          <w:szCs w:val="18"/>
        </w:rPr>
      </w:pPr>
    </w:p>
    <w:p>
      <w:pPr>
        <w:pageBreakBefore w:val="0"/>
        <w:kinsoku/>
        <w:wordWrap/>
        <w:overflowPunct/>
        <w:topLinePunct w:val="0"/>
        <w:bidi w:val="0"/>
        <w:spacing w:line="580" w:lineRule="exact"/>
        <w:ind w:right="0" w:rightChars="0" w:firstLine="560" w:firstLineChars="200"/>
        <w:jc w:val="center"/>
        <w:rPr>
          <w:rFonts w:hint="eastAsia" w:ascii="宋体" w:hAnsi="宋体"/>
          <w:sz w:val="28"/>
          <w:szCs w:val="28"/>
        </w:rPr>
      </w:pPr>
      <w:r>
        <w:rPr>
          <w:rFonts w:hint="eastAsia" w:ascii="宋体" w:hAnsi="宋体"/>
          <w:sz w:val="28"/>
          <w:szCs w:val="28"/>
        </w:rPr>
        <w:t>图</w:t>
      </w:r>
      <w:r>
        <w:rPr>
          <w:rFonts w:hint="eastAsia" w:ascii="宋体" w:hAnsi="宋体"/>
          <w:sz w:val="28"/>
          <w:szCs w:val="28"/>
          <w:lang w:val="en-US" w:eastAsia="zh-CN"/>
        </w:rPr>
        <w:t>4</w:t>
      </w:r>
      <w:r>
        <w:rPr>
          <w:rFonts w:hint="eastAsia" w:ascii="宋体" w:hAnsi="宋体"/>
          <w:sz w:val="28"/>
          <w:szCs w:val="28"/>
        </w:rPr>
        <w:t>-1  太钢环境管理组织机构图</w:t>
      </w:r>
    </w:p>
    <w:p>
      <w:pPr>
        <w:pStyle w:val="6"/>
        <w:pageBreakBefore w:val="0"/>
        <w:numPr>
          <w:ilvl w:val="0"/>
          <w:numId w:val="0"/>
        </w:numPr>
        <w:kinsoku/>
        <w:wordWrap/>
        <w:overflowPunct/>
        <w:topLinePunct w:val="0"/>
        <w:autoSpaceDE/>
        <w:autoSpaceDN/>
        <w:bidi w:val="0"/>
        <w:adjustRightInd/>
        <w:spacing w:line="580" w:lineRule="exact"/>
        <w:ind w:left="0" w:leftChars="0" w:right="0" w:rightChars="0"/>
        <w:textAlignment w:val="auto"/>
        <w:rPr>
          <w:rFonts w:hint="eastAsia"/>
          <w:sz w:val="28"/>
          <w:szCs w:val="28"/>
          <w:lang w:val="en-GB"/>
        </w:rPr>
      </w:pPr>
      <w:r>
        <w:rPr>
          <w:rFonts w:hint="eastAsia"/>
          <w:sz w:val="28"/>
          <w:szCs w:val="28"/>
        </w:rPr>
        <w:t>2、</w:t>
      </w:r>
      <w:r>
        <w:rPr>
          <w:rFonts w:hint="eastAsia"/>
          <w:sz w:val="28"/>
          <w:szCs w:val="28"/>
          <w:lang w:val="en-GB"/>
        </w:rPr>
        <w:t>太钢环境管理机构主要职责</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按企业建立的ISO14001环境管理体系进行环境管理，推行企业清洁生产工作。</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① 负责在企业内部贯彻国家及地方政府、环境保护部门的有关法律、法规、环保标准、条例和办法等。</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② 制定企业内部的环保规划，并落实各项规划内容的实施。</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③ 建立企业内部环保管理体系，制定和推行环保考核制度和办法。</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④ 归口管理建设项目环保工作。</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⑤ 组织本公司环境监测站对本企业污染物排放情况进行例行监测，并不定期进行抽查性测试。</w:t>
      </w:r>
    </w:p>
    <w:p>
      <w:pPr>
        <w:pStyle w:val="6"/>
        <w:pageBreakBefore w:val="0"/>
        <w:numPr>
          <w:ilvl w:val="0"/>
          <w:numId w:val="0"/>
        </w:numPr>
        <w:kinsoku/>
        <w:wordWrap/>
        <w:overflowPunct/>
        <w:topLinePunct w:val="0"/>
        <w:autoSpaceDE/>
        <w:autoSpaceDN/>
        <w:bidi w:val="0"/>
        <w:adjustRightInd/>
        <w:spacing w:line="580" w:lineRule="exact"/>
        <w:ind w:left="0" w:leftChars="0" w:right="0" w:rightChars="0"/>
        <w:textAlignment w:val="auto"/>
        <w:rPr>
          <w:rFonts w:hint="eastAsia"/>
          <w:sz w:val="28"/>
          <w:szCs w:val="28"/>
          <w:lang w:val="en-GB"/>
        </w:rPr>
      </w:pPr>
      <w:r>
        <w:rPr>
          <w:rFonts w:hint="eastAsia"/>
          <w:sz w:val="28"/>
          <w:szCs w:val="28"/>
        </w:rPr>
        <w:t>3、</w:t>
      </w:r>
      <w:r>
        <w:rPr>
          <w:rFonts w:hint="eastAsia"/>
          <w:sz w:val="28"/>
          <w:szCs w:val="28"/>
          <w:lang w:val="en-GB"/>
        </w:rPr>
        <w:t>太钢环境管理制度</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环境管理手册和程序文件：</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环境因素的识别与评价程序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法律法规和其它环境要求管理程序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废水管理程序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废气管理程序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固体废弃物管理程序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环境噪声污染防治管理程序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危险化学品管理程序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建设项目环境保护管理程序</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辐射防护环境管理程序</w:t>
      </w:r>
    </w:p>
    <w:p>
      <w:pPr>
        <w:pStyle w:val="6"/>
        <w:pageBreakBefore w:val="0"/>
        <w:numPr>
          <w:ilvl w:val="0"/>
          <w:numId w:val="0"/>
        </w:numPr>
        <w:kinsoku/>
        <w:wordWrap/>
        <w:overflowPunct/>
        <w:topLinePunct w:val="0"/>
        <w:autoSpaceDE/>
        <w:autoSpaceDN/>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4、</w:t>
      </w:r>
      <w:r>
        <w:rPr>
          <w:rFonts w:hint="eastAsia"/>
          <w:sz w:val="28"/>
          <w:szCs w:val="28"/>
          <w:lang w:val="en-GB" w:eastAsia="zh-CN"/>
        </w:rPr>
        <w:t>太钢炼铁厂和能源动力厂环保机构及相关制度</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rPr>
      </w:pPr>
      <w:r>
        <w:rPr>
          <w:rFonts w:hint="eastAsia" w:ascii="宋体" w:hAnsi="宋体"/>
          <w:sz w:val="28"/>
          <w:szCs w:val="28"/>
          <w:lang w:val="en-GB" w:eastAsia="zh-CN"/>
        </w:rPr>
        <w:t>太钢炼铁厂和能源动力厂负责项目的具体运行管理，</w:t>
      </w:r>
      <w:r>
        <w:rPr>
          <w:sz w:val="28"/>
          <w:szCs w:val="28"/>
        </w:rPr>
        <w:t>太钢</w:t>
      </w:r>
      <w:r>
        <w:rPr>
          <w:rFonts w:hint="eastAsia" w:ascii="宋体" w:hAnsi="宋体"/>
          <w:sz w:val="28"/>
          <w:szCs w:val="28"/>
          <w:lang w:val="en-GB" w:eastAsia="zh-CN"/>
        </w:rPr>
        <w:t>炼铁厂和能源动力厂</w:t>
      </w:r>
      <w:r>
        <w:rPr>
          <w:sz w:val="28"/>
          <w:szCs w:val="28"/>
        </w:rPr>
        <w:t>环保机构健全，厂长对本厂环境保护工作全面负责。下设主管副厂长，分管具体的环境保护工作。太钢</w:t>
      </w:r>
      <w:r>
        <w:rPr>
          <w:rFonts w:hint="eastAsia"/>
          <w:sz w:val="28"/>
          <w:szCs w:val="28"/>
          <w:lang w:eastAsia="zh-CN"/>
        </w:rPr>
        <w:t>均</w:t>
      </w:r>
      <w:r>
        <w:rPr>
          <w:sz w:val="28"/>
          <w:szCs w:val="28"/>
        </w:rPr>
        <w:t>设有</w:t>
      </w:r>
      <w:r>
        <w:rPr>
          <w:rFonts w:hint="eastAsia"/>
          <w:sz w:val="28"/>
          <w:szCs w:val="28"/>
          <w:lang w:eastAsia="zh-CN"/>
        </w:rPr>
        <w:t>设备</w:t>
      </w:r>
      <w:r>
        <w:rPr>
          <w:rFonts w:hint="eastAsia"/>
          <w:sz w:val="28"/>
          <w:szCs w:val="28"/>
        </w:rPr>
        <w:t>科</w:t>
      </w:r>
      <w:r>
        <w:rPr>
          <w:sz w:val="28"/>
          <w:szCs w:val="28"/>
        </w:rPr>
        <w:t>、</w:t>
      </w:r>
      <w:r>
        <w:rPr>
          <w:rFonts w:hint="eastAsia"/>
          <w:sz w:val="28"/>
          <w:szCs w:val="28"/>
        </w:rPr>
        <w:t>生产科</w:t>
      </w:r>
      <w:r>
        <w:rPr>
          <w:sz w:val="28"/>
          <w:szCs w:val="28"/>
        </w:rPr>
        <w:t>、</w:t>
      </w:r>
      <w:r>
        <w:rPr>
          <w:rFonts w:hint="eastAsia"/>
          <w:sz w:val="28"/>
          <w:szCs w:val="28"/>
        </w:rPr>
        <w:t>安全科</w:t>
      </w:r>
      <w:r>
        <w:rPr>
          <w:sz w:val="28"/>
          <w:szCs w:val="28"/>
        </w:rPr>
        <w:t>、综合</w:t>
      </w:r>
      <w:r>
        <w:rPr>
          <w:rFonts w:hint="eastAsia"/>
          <w:sz w:val="28"/>
          <w:szCs w:val="28"/>
        </w:rPr>
        <w:t>科</w:t>
      </w:r>
      <w:r>
        <w:rPr>
          <w:sz w:val="28"/>
          <w:szCs w:val="28"/>
        </w:rPr>
        <w:t>、</w:t>
      </w:r>
      <w:r>
        <w:rPr>
          <w:rFonts w:hint="eastAsia"/>
          <w:sz w:val="28"/>
          <w:szCs w:val="28"/>
        </w:rPr>
        <w:t>党群科</w:t>
      </w:r>
      <w:r>
        <w:rPr>
          <w:rFonts w:hint="eastAsia"/>
          <w:sz w:val="28"/>
          <w:szCs w:val="28"/>
          <w:lang w:eastAsia="zh-CN"/>
        </w:rPr>
        <w:t>等</w:t>
      </w:r>
      <w:r>
        <w:rPr>
          <w:sz w:val="28"/>
          <w:szCs w:val="28"/>
        </w:rPr>
        <w:t>职能部门，环境保护管理部门设置在</w:t>
      </w:r>
      <w:r>
        <w:rPr>
          <w:rFonts w:hint="eastAsia"/>
          <w:sz w:val="28"/>
          <w:szCs w:val="28"/>
          <w:lang w:eastAsia="zh-CN"/>
        </w:rPr>
        <w:t>设备</w:t>
      </w:r>
      <w:r>
        <w:rPr>
          <w:rFonts w:hint="eastAsia"/>
          <w:sz w:val="28"/>
          <w:szCs w:val="28"/>
        </w:rPr>
        <w:t>科</w:t>
      </w:r>
      <w:r>
        <w:rPr>
          <w:sz w:val="28"/>
          <w:szCs w:val="28"/>
        </w:rPr>
        <w:t>，</w:t>
      </w:r>
      <w:r>
        <w:rPr>
          <w:rFonts w:hint="eastAsia"/>
          <w:sz w:val="28"/>
          <w:szCs w:val="28"/>
        </w:rPr>
        <w:t>负责环保工作、节能减排及废物综合利用；负责对全员培训工作及岗位训练</w:t>
      </w:r>
      <w:r>
        <w:rPr>
          <w:rFonts w:hint="eastAsia"/>
          <w:sz w:val="28"/>
          <w:szCs w:val="28"/>
          <w:lang w:eastAsia="zh-CN"/>
        </w:rPr>
        <w:t>，各类设施有作业区负责具体管理工作</w:t>
      </w:r>
      <w:r>
        <w:rPr>
          <w:rFonts w:hint="eastAsia"/>
          <w:sz w:val="28"/>
          <w:szCs w:val="28"/>
        </w:rPr>
        <w:t>。</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rPr>
      </w:pPr>
      <w:r>
        <w:rPr>
          <w:rFonts w:hint="eastAsia"/>
          <w:sz w:val="28"/>
          <w:szCs w:val="28"/>
          <w:lang w:eastAsia="zh-CN"/>
        </w:rPr>
        <w:t>各作业区负责</w:t>
      </w:r>
      <w:r>
        <w:rPr>
          <w:rFonts w:hint="eastAsia"/>
          <w:sz w:val="28"/>
          <w:szCs w:val="28"/>
        </w:rPr>
        <w:t>建立健全本</w:t>
      </w:r>
      <w:r>
        <w:rPr>
          <w:rFonts w:hint="eastAsia"/>
          <w:sz w:val="28"/>
          <w:szCs w:val="28"/>
          <w:lang w:eastAsia="zh-CN"/>
        </w:rPr>
        <w:t>部门</w:t>
      </w:r>
      <w:r>
        <w:rPr>
          <w:rFonts w:hint="eastAsia"/>
          <w:sz w:val="28"/>
          <w:szCs w:val="28"/>
        </w:rPr>
        <w:t>环境保护责任制和规章制度</w:t>
      </w:r>
      <w:r>
        <w:rPr>
          <w:rFonts w:hint="eastAsia"/>
          <w:sz w:val="28"/>
          <w:szCs w:val="28"/>
          <w:lang w:eastAsia="zh-CN"/>
        </w:rPr>
        <w:t>，</w:t>
      </w:r>
      <w:r>
        <w:rPr>
          <w:rFonts w:hint="eastAsia"/>
          <w:sz w:val="28"/>
          <w:szCs w:val="28"/>
        </w:rPr>
        <w:t>根据厂下达的年度环保指标，制定本单位年度环保工作计划，严格依照法律法规、工艺技术规程、作业标准，落实涉及环境保护的事项</w:t>
      </w:r>
      <w:r>
        <w:rPr>
          <w:rFonts w:hint="eastAsia"/>
          <w:sz w:val="28"/>
          <w:szCs w:val="28"/>
          <w:lang w:eastAsia="zh-CN"/>
        </w:rPr>
        <w:t>，负责</w:t>
      </w:r>
      <w:r>
        <w:rPr>
          <w:rFonts w:hint="eastAsia"/>
          <w:sz w:val="28"/>
          <w:szCs w:val="28"/>
        </w:rPr>
        <w:t>生产设备及环保装备的稳定运行，确保环保设施高效同步运行。</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GB" w:eastAsia="zh-CN"/>
        </w:rPr>
        <w:t>为强化环保设施的管理，各厂制定了环保管理制度、环境因素识别与评价管理办法、环境噪声污染防治管理办法、废气排放管理办法、废水排放管理办法、固体废物污染环境防治管理办法、环境监测与测量管理办法，并制定了突发环境事件应急预案，对各类专业环境做到了有效的管理。</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GB" w:eastAsia="zh-CN"/>
        </w:rPr>
        <w:t>太钢在设备管理中，每年度将环保设施正常运行和维护、技术改进、排污费用、环保监测、废物处置等费用纳入年度预算计划中，作为专项资金用于环保的各项支出，使公司环保工作顺利开展得到资金保证。</w:t>
      </w:r>
    </w:p>
    <w:p>
      <w:pPr>
        <w:pStyle w:val="5"/>
        <w:pageBreakBefore w:val="0"/>
        <w:kinsoku/>
        <w:wordWrap/>
        <w:overflowPunct/>
        <w:topLinePunct w:val="0"/>
        <w:autoSpaceDE/>
        <w:autoSpaceDN/>
        <w:bidi w:val="0"/>
        <w:spacing w:line="580" w:lineRule="exact"/>
        <w:ind w:left="0" w:leftChars="0" w:right="0" w:rightChars="0"/>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2、</w:t>
      </w:r>
      <w:r>
        <w:rPr>
          <w:rFonts w:hint="default" w:ascii="Times New Roman" w:hAnsi="Times New Roman" w:eastAsia="宋体" w:cs="Times New Roman"/>
          <w:b/>
          <w:bCs/>
          <w:color w:val="auto"/>
        </w:rPr>
        <w:t>环境风险防范措施</w:t>
      </w:r>
      <w:bookmarkEnd w:id="55"/>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US" w:eastAsia="zh-CN"/>
        </w:rPr>
      </w:pPr>
      <w:r>
        <w:rPr>
          <w:rFonts w:hint="eastAsia"/>
          <w:sz w:val="28"/>
          <w:szCs w:val="28"/>
          <w:lang w:val="en-GB" w:eastAsia="zh-CN"/>
        </w:rPr>
        <w:t>太钢制定了突发环境事件应急预案，预案内容包括：环境风险评估、环境应急资源调查、环境应急等内容，并在太原市环保局环境监察支队取得了备案，备案号为：</w:t>
      </w:r>
      <w:r>
        <w:rPr>
          <w:rFonts w:hint="eastAsia"/>
          <w:sz w:val="28"/>
          <w:szCs w:val="28"/>
          <w:lang w:val="en-US" w:eastAsia="zh-CN"/>
        </w:rPr>
        <w:t>1401002016008H。</w:t>
      </w:r>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0" w:firstLineChars="200"/>
        <w:textAlignment w:val="baseline"/>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为了有效预防发生突发环境事件，及时、合理地处置企业可能发生的各类重大环境突发事件，将突发环境事件的损失降低到最小程度。</w:t>
      </w:r>
      <w:r>
        <w:rPr>
          <w:rFonts w:hint="eastAsia" w:ascii="Times New Roman" w:hAnsi="Times New Roman" w:cs="Times New Roman"/>
          <w:color w:val="auto"/>
          <w:sz w:val="28"/>
          <w:szCs w:val="28"/>
          <w:lang w:val="en-US" w:eastAsia="zh-CN"/>
        </w:rPr>
        <w:t>各厂</w:t>
      </w:r>
      <w:r>
        <w:rPr>
          <w:rFonts w:hint="default" w:ascii="Times New Roman" w:hAnsi="Times New Roman" w:cs="Times New Roman"/>
          <w:color w:val="auto"/>
          <w:sz w:val="28"/>
          <w:szCs w:val="28"/>
          <w:lang w:val="en-US" w:eastAsia="zh-CN"/>
        </w:rPr>
        <w:t>制定了突发环境事件预防与预警措施，及相应的应急保障、响应措施，建立健全了环境污染事件风险防范体系和高效快速的应急反应机制，有效提高了处置突发性环境污染事件的能力。同时依据环境保护相关法规要求制定了事故通报流产和时间，制定了事故调查、事故应急教育训练与演练等规定。</w:t>
      </w:r>
    </w:p>
    <w:p>
      <w:pPr>
        <w:pStyle w:val="4"/>
        <w:pageBreakBefore w:val="0"/>
        <w:kinsoku/>
        <w:wordWrap/>
        <w:overflowPunct/>
        <w:topLinePunct w:val="0"/>
        <w:autoSpaceDE/>
        <w:autoSpaceDN/>
        <w:bidi w:val="0"/>
        <w:spacing w:line="580" w:lineRule="exact"/>
        <w:ind w:left="0" w:leftChars="0" w:right="0" w:rightChars="0"/>
        <w:rPr>
          <w:rFonts w:hint="default" w:ascii="Times New Roman" w:hAnsi="Times New Roman" w:cs="Times New Roman"/>
          <w:color w:val="auto"/>
        </w:rPr>
      </w:pPr>
      <w:bookmarkStart w:id="56" w:name="_Toc9118_WPSOffice_Level2"/>
      <w:r>
        <w:rPr>
          <w:rFonts w:hint="default" w:ascii="Times New Roman" w:hAnsi="Times New Roman" w:cs="Times New Roman"/>
          <w:color w:val="auto"/>
        </w:rPr>
        <w:t>（</w:t>
      </w:r>
      <w:r>
        <w:rPr>
          <w:rFonts w:hint="eastAsia" w:ascii="Times New Roman" w:hAnsi="Times New Roman" w:cs="Times New Roman"/>
          <w:color w:val="auto"/>
          <w:lang w:eastAsia="zh-CN"/>
        </w:rPr>
        <w:t>四</w:t>
      </w:r>
      <w:r>
        <w:rPr>
          <w:rFonts w:hint="default" w:ascii="Times New Roman" w:hAnsi="Times New Roman" w:cs="Times New Roman"/>
          <w:color w:val="auto"/>
        </w:rPr>
        <w:t>）环境监测计划</w:t>
      </w:r>
      <w:bookmarkEnd w:id="56"/>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0" w:firstLineChars="200"/>
        <w:textAlignment w:val="baseline"/>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根据《国务院办公厅关于印发控制污染物排放许可制实施方案的通知》（国办发[2016]81号）文件要求，企事业单位应依法开展自行监测，安装或使用监测设备应符合国家有关环境监测、计量认证规定和技术规范，保障数据合法有效，保证设备正常运行，妥善保存原始记录，建立准确完整的环境管理台账。</w:t>
      </w:r>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0" w:firstLineChars="200"/>
        <w:textAlignment w:val="baseline"/>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为落实相关文件要求，我公司按照国家及地方环境保护法律法规、监测技术规范要求和公司实际情况，编制企业污染源自行监测方案，规范开展企业自行监测活动及信息公开，掌握企业污染物排放状况及其对周边环境质量的影响等情况。</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环境监测站是公司环境监测的专门机构，是太原市环境监测网的成员单位，主要承担着全公司的公司内大气、水、噪声等项目的例行监测和监测网的协作监测任务。全站从事监测的人员26人，其中工程师5名，助工和技术员6名，化验室占地面积500m</w:t>
      </w:r>
      <w:r>
        <w:rPr>
          <w:rFonts w:hint="eastAsia"/>
          <w:sz w:val="28"/>
          <w:szCs w:val="28"/>
          <w:vertAlign w:val="superscript"/>
          <w:lang w:val="en-GB"/>
        </w:rPr>
        <w:t>2</w:t>
      </w:r>
      <w:r>
        <w:rPr>
          <w:rFonts w:hint="eastAsia"/>
          <w:sz w:val="28"/>
          <w:szCs w:val="28"/>
          <w:lang w:val="en-GB"/>
        </w:rPr>
        <w:t>，开展7大类约26个项目的监测。监测站制定了各种严格的监测制度，可保证环境监测的质量。被评为太原市环境监测网先进单位，并取得了山西省环境监测机构丙级站的资格。可以承担环境空气、废水、废气、厂界噪声等的例行监测任务。</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监测站目前拥有仪器设备固定资产价值160万元，主要监测仪器及设备有烟气监测仪、分光光度计、COD分析仪、红外分析仪、紫外分光光度计、原子吸收分光光度计、气相色谱仪、液相色谱仪、大气采样监测仪、污染源采样监测仪、流量在线监测仪、噪声监测仪、测汞仪、天平等，能够承担本工程建成后各项污染源、各种污染物监测项目。</w:t>
      </w:r>
    </w:p>
    <w:p>
      <w:pPr>
        <w:pStyle w:val="2"/>
        <w:rPr>
          <w:rFonts w:hint="eastAsia"/>
        </w:rPr>
      </w:pPr>
    </w:p>
    <w:p>
      <w:pPr>
        <w:pStyle w:val="2"/>
        <w:numPr>
          <w:ilvl w:val="0"/>
          <w:numId w:val="0"/>
        </w:numPr>
        <w:ind w:leftChars="0" w:firstLine="560" w:firstLineChars="200"/>
        <w:rPr>
          <w:rFonts w:hint="eastAsia"/>
          <w:color w:val="000000"/>
          <w:sz w:val="28"/>
          <w:szCs w:val="28"/>
        </w:rPr>
      </w:pPr>
      <w:r>
        <w:rPr>
          <w:rFonts w:hint="eastAsia"/>
          <w:color w:val="000000"/>
          <w:sz w:val="28"/>
          <w:szCs w:val="28"/>
        </w:rPr>
        <w:t>为了贯彻执行</w:t>
      </w:r>
      <w:r>
        <w:rPr>
          <w:rFonts w:hint="eastAsia"/>
          <w:color w:val="000000"/>
          <w:sz w:val="28"/>
          <w:szCs w:val="28"/>
          <w:lang w:eastAsia="zh-CN"/>
        </w:rPr>
        <w:t>太钢</w:t>
      </w:r>
      <w:r>
        <w:rPr>
          <w:rFonts w:hint="eastAsia"/>
          <w:color w:val="000000"/>
          <w:sz w:val="28"/>
          <w:szCs w:val="28"/>
        </w:rPr>
        <w:t>不锈钢股份有限公司环境方针，保护</w:t>
      </w:r>
      <w:r>
        <w:rPr>
          <w:rFonts w:hint="eastAsia"/>
          <w:color w:val="000000"/>
          <w:sz w:val="28"/>
          <w:szCs w:val="28"/>
          <w:lang w:eastAsia="zh-CN"/>
        </w:rPr>
        <w:t>太钢</w:t>
      </w:r>
      <w:r>
        <w:rPr>
          <w:rFonts w:hint="eastAsia"/>
          <w:color w:val="000000"/>
          <w:sz w:val="28"/>
          <w:szCs w:val="28"/>
        </w:rPr>
        <w:t>不锈钢股份有限公司生活和生产环境，防治污染，保障职工身体健康，确保周边环境不受影响，确保环境保护管理体系持续有效运行，特制定了各项环境保护管理制度。</w:t>
      </w:r>
    </w:p>
    <w:p>
      <w:pPr>
        <w:pStyle w:val="2"/>
        <w:numPr>
          <w:ilvl w:val="0"/>
          <w:numId w:val="4"/>
        </w:numPr>
        <w:ind w:left="0" w:leftChars="0" w:firstLine="0" w:firstLineChars="0"/>
        <w:rPr>
          <w:rFonts w:ascii="Times New Roman" w:eastAsia="宋体" w:cs="Times New Roman"/>
          <w:b/>
          <w:sz w:val="28"/>
          <w:szCs w:val="28"/>
        </w:rPr>
      </w:pPr>
      <w:bookmarkStart w:id="57" w:name="_Toc14564_WPSOffice_Level2"/>
      <w:bookmarkStart w:id="58" w:name="_Hlk530236840"/>
      <w:bookmarkStart w:id="59" w:name="_Hlk530236994"/>
      <w:r>
        <w:rPr>
          <w:rFonts w:ascii="Times New Roman" w:eastAsia="宋体" w:cs="Times New Roman"/>
          <w:b/>
          <w:sz w:val="28"/>
          <w:szCs w:val="28"/>
        </w:rPr>
        <w:t>配套设施落实情况</w:t>
      </w:r>
      <w:bookmarkEnd w:id="57"/>
    </w:p>
    <w:p>
      <w:pPr>
        <w:pStyle w:val="5"/>
        <w:pageBreakBefore w:val="0"/>
        <w:kinsoku/>
        <w:wordWrap/>
        <w:overflowPunct/>
        <w:topLinePunct w:val="0"/>
        <w:autoSpaceDE/>
        <w:autoSpaceDN/>
        <w:bidi w:val="0"/>
        <w:spacing w:line="580" w:lineRule="exact"/>
        <w:ind w:left="0" w:leftChars="0" w:right="0" w:rightChars="0"/>
        <w:rPr>
          <w:rFonts w:hint="default" w:ascii="Times New Roman" w:hAnsi="Times New Roman" w:cs="Times New Roman"/>
          <w:color w:val="auto"/>
        </w:rPr>
      </w:pPr>
      <w:bookmarkStart w:id="60" w:name="_Toc16060_WPSOffice_Level3"/>
      <w:bookmarkStart w:id="61" w:name="_Toc2478_WPSOffice_Level3"/>
      <w:r>
        <w:rPr>
          <w:rFonts w:hint="default" w:ascii="Times New Roman" w:hAnsi="Times New Roman" w:cs="Times New Roman"/>
          <w:color w:val="auto"/>
        </w:rPr>
        <w:t>1、区域削减及淘汰落后产能</w:t>
      </w:r>
      <w:bookmarkEnd w:id="60"/>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0" w:firstLineChars="200"/>
        <w:textAlignment w:val="baseline"/>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本项目建设符合国家产业政策及行业准入条件，不属于文件中的“两高”行业及淘汰落后产能行业；项目采用的生产工艺及技术设备成熟先进，污染物能够达标排放，满足清洁生产的要求。</w:t>
      </w:r>
      <w:r>
        <w:rPr>
          <w:rFonts w:hint="eastAsia" w:ascii="Times New Roman" w:hAnsi="Times New Roman" w:cs="Times New Roman"/>
          <w:color w:val="auto"/>
          <w:sz w:val="28"/>
          <w:szCs w:val="28"/>
          <w:lang w:val="en-US" w:eastAsia="zh-CN"/>
        </w:rPr>
        <w:t>项目投产后，可淘汰周边的污染小锅炉。</w:t>
      </w:r>
    </w:p>
    <w:p>
      <w:pPr>
        <w:pStyle w:val="5"/>
        <w:pageBreakBefore w:val="0"/>
        <w:kinsoku/>
        <w:wordWrap/>
        <w:overflowPunct/>
        <w:topLinePunct w:val="0"/>
        <w:autoSpaceDE/>
        <w:autoSpaceDN/>
        <w:bidi w:val="0"/>
        <w:spacing w:line="580" w:lineRule="exact"/>
        <w:ind w:left="0" w:leftChars="0" w:right="0" w:rightChars="0"/>
        <w:rPr>
          <w:rFonts w:hint="default" w:ascii="Times New Roman" w:hAnsi="Times New Roman" w:cs="Times New Roman"/>
          <w:color w:val="auto"/>
        </w:rPr>
      </w:pPr>
      <w:bookmarkStart w:id="62" w:name="_Toc7306_WPSOffice_Level3"/>
      <w:r>
        <w:rPr>
          <w:rFonts w:hint="default" w:ascii="Times New Roman" w:hAnsi="Times New Roman" w:cs="Times New Roman"/>
          <w:color w:val="auto"/>
        </w:rPr>
        <w:t>2、防护距离控制及居民搬迁</w:t>
      </w:r>
      <w:bookmarkEnd w:id="62"/>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sz w:val="28"/>
          <w:szCs w:val="28"/>
        </w:rPr>
      </w:pPr>
      <w:bookmarkStart w:id="63" w:name="_Toc22075_WPSOffice_Level3"/>
      <w:r>
        <w:rPr>
          <w:rFonts w:hint="eastAsia"/>
          <w:sz w:val="28"/>
          <w:szCs w:val="28"/>
          <w:lang w:eastAsia="zh-CN"/>
        </w:rPr>
        <w:t>项目非重污染项目，</w:t>
      </w:r>
      <w:r>
        <w:rPr>
          <w:sz w:val="28"/>
          <w:szCs w:val="28"/>
        </w:rPr>
        <w:t>项目</w:t>
      </w:r>
      <w:r>
        <w:rPr>
          <w:rFonts w:hint="eastAsia"/>
          <w:sz w:val="28"/>
          <w:szCs w:val="28"/>
          <w:lang w:eastAsia="zh-CN"/>
        </w:rPr>
        <w:t>无卫生防护距离要求，</w:t>
      </w:r>
      <w:r>
        <w:rPr>
          <w:sz w:val="28"/>
          <w:szCs w:val="28"/>
        </w:rPr>
        <w:t>所在区域无自然保护、文物古迹等人文景点，无医院、学校等教育文化单位</w:t>
      </w:r>
      <w:r>
        <w:rPr>
          <w:rFonts w:hint="eastAsia"/>
          <w:sz w:val="28"/>
          <w:szCs w:val="28"/>
          <w:lang w:eastAsia="zh-CN"/>
        </w:rPr>
        <w:t>，不存在防护距离和居民搬迁</w:t>
      </w:r>
      <w:r>
        <w:rPr>
          <w:sz w:val="28"/>
          <w:szCs w:val="28"/>
        </w:rPr>
        <w:t>。</w:t>
      </w:r>
    </w:p>
    <w:p>
      <w:pPr>
        <w:pStyle w:val="5"/>
        <w:pageBreakBefore w:val="0"/>
        <w:kinsoku/>
        <w:wordWrap/>
        <w:overflowPunct/>
        <w:topLinePunct w:val="0"/>
        <w:autoSpaceDE/>
        <w:autoSpaceDN/>
        <w:bidi w:val="0"/>
        <w:spacing w:line="580" w:lineRule="exact"/>
        <w:ind w:left="0" w:leftChars="0" w:right="0" w:rightChars="0"/>
        <w:rPr>
          <w:rFonts w:hint="default" w:ascii="Times New Roman" w:hAnsi="Times New Roman" w:cs="Times New Roman"/>
          <w:color w:val="auto"/>
        </w:rPr>
      </w:pPr>
      <w:r>
        <w:rPr>
          <w:rFonts w:hint="default" w:ascii="Times New Roman" w:hAnsi="Times New Roman" w:cs="Times New Roman"/>
          <w:color w:val="auto"/>
        </w:rPr>
        <w:t>3、其它措施落实情况</w:t>
      </w:r>
      <w:bookmarkEnd w:id="63"/>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0" w:firstLineChars="200"/>
        <w:textAlignment w:val="baseline"/>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本项目位于山西太钢不锈钢股份有限公司厂区内，不涉及林地补偿、珍稀动物植物保护、区域环境整治、相关外围工程建设情况。</w:t>
      </w:r>
    </w:p>
    <w:p>
      <w:pPr>
        <w:keepNext/>
        <w:keepLines/>
        <w:pageBreakBefore w:val="0"/>
        <w:widowControl/>
        <w:kinsoku/>
        <w:wordWrap/>
        <w:overflowPunct/>
        <w:topLinePunct w:val="0"/>
        <w:autoSpaceDE/>
        <w:autoSpaceDN/>
        <w:bidi w:val="0"/>
        <w:adjustRightInd/>
        <w:snapToGrid w:val="0"/>
        <w:spacing w:line="580" w:lineRule="exact"/>
        <w:ind w:left="0" w:leftChars="0" w:right="0" w:rightChars="0"/>
        <w:jc w:val="left"/>
        <w:textAlignment w:val="auto"/>
        <w:rPr>
          <w:b/>
          <w:sz w:val="28"/>
        </w:rPr>
      </w:pPr>
      <w:r>
        <w:rPr>
          <w:rFonts w:hint="eastAsia"/>
          <w:b/>
          <w:sz w:val="28"/>
          <w:lang w:eastAsia="zh-CN"/>
        </w:rPr>
        <w:t>五、</w:t>
      </w:r>
      <w:r>
        <w:rPr>
          <w:b/>
          <w:sz w:val="28"/>
        </w:rPr>
        <w:t>整改</w:t>
      </w:r>
      <w:r>
        <w:rPr>
          <w:rFonts w:hint="eastAsia"/>
          <w:b/>
          <w:sz w:val="28"/>
          <w:lang w:eastAsia="zh-CN"/>
        </w:rPr>
        <w:t>工作</w:t>
      </w:r>
      <w:r>
        <w:rPr>
          <w:b/>
          <w:sz w:val="28"/>
        </w:rPr>
        <w:t>情况</w:t>
      </w:r>
    </w:p>
    <w:p>
      <w:pPr>
        <w:pageBreakBefore w:val="0"/>
        <w:kinsoku/>
        <w:wordWrap/>
        <w:overflowPunct/>
        <w:topLinePunct w:val="0"/>
        <w:autoSpaceDE/>
        <w:autoSpaceDN/>
        <w:bidi w:val="0"/>
        <w:adjustRightInd/>
        <w:spacing w:line="580" w:lineRule="exact"/>
        <w:ind w:left="0" w:leftChars="0" w:right="0" w:rightChars="0" w:firstLine="560" w:firstLineChars="200"/>
        <w:textAlignment w:val="auto"/>
        <w:rPr>
          <w:rFonts w:hint="eastAsia"/>
          <w:sz w:val="28"/>
          <w:szCs w:val="28"/>
          <w:lang w:val="en-US" w:eastAsia="zh-CN"/>
        </w:rPr>
      </w:pPr>
      <w:r>
        <w:rPr>
          <w:sz w:val="28"/>
          <w:szCs w:val="28"/>
        </w:rPr>
        <w:t>我公司严格按照环境影响报告书及其批复中的要求建设，无整改情况。</w:t>
      </w:r>
      <w:bookmarkEnd w:id="33"/>
      <w:bookmarkEnd w:id="34"/>
      <w:bookmarkEnd w:id="46"/>
      <w:bookmarkEnd w:id="49"/>
      <w:bookmarkEnd w:id="58"/>
      <w:bookmarkEnd w:id="59"/>
      <w:bookmarkEnd w:id="61"/>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昆仑仿宋">
    <w:altName w:val="黑体"/>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10006FF" w:usb1="4000205B" w:usb2="00000010" w:usb3="00000000" w:csb0="2000019F" w:csb1="00000000"/>
  </w:font>
  <w:font w:name="方正宋三简体">
    <w:altName w:val="宋体"/>
    <w:panose1 w:val="02010601030101010101"/>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4819" w:leftChars="2295" w:firstLine="3420" w:firstLineChars="1900"/>
      <w:jc w:val="right"/>
      <w:rPr>
        <w:rFonts w:hint="eastAsia" w:eastAsiaTheme="minorEastAsia"/>
        <w:lang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D43965"/>
    <w:multiLevelType w:val="singleLevel"/>
    <w:tmpl w:val="B1D43965"/>
    <w:lvl w:ilvl="0" w:tentative="0">
      <w:start w:val="1"/>
      <w:numFmt w:val="chineseCounting"/>
      <w:suff w:val="nothing"/>
      <w:lvlText w:val="（%1）"/>
      <w:lvlJc w:val="left"/>
      <w:rPr>
        <w:rFonts w:hint="eastAsia"/>
      </w:rPr>
    </w:lvl>
  </w:abstractNum>
  <w:abstractNum w:abstractNumId="1">
    <w:nsid w:val="BA6BE8EC"/>
    <w:multiLevelType w:val="singleLevel"/>
    <w:tmpl w:val="BA6BE8EC"/>
    <w:lvl w:ilvl="0" w:tentative="0">
      <w:start w:val="3"/>
      <w:numFmt w:val="decimal"/>
      <w:suff w:val="nothing"/>
      <w:lvlText w:val="%1、"/>
      <w:lvlJc w:val="left"/>
    </w:lvl>
  </w:abstractNum>
  <w:abstractNum w:abstractNumId="2">
    <w:nsid w:val="BFE50460"/>
    <w:multiLevelType w:val="singleLevel"/>
    <w:tmpl w:val="BFE50460"/>
    <w:lvl w:ilvl="0" w:tentative="0">
      <w:start w:val="1"/>
      <w:numFmt w:val="chineseCounting"/>
      <w:suff w:val="nothing"/>
      <w:lvlText w:val="（%1）"/>
      <w:lvlJc w:val="left"/>
      <w:rPr>
        <w:rFonts w:hint="eastAsia"/>
      </w:rPr>
    </w:lvl>
  </w:abstractNum>
  <w:abstractNum w:abstractNumId="3">
    <w:nsid w:val="162539C1"/>
    <w:multiLevelType w:val="singleLevel"/>
    <w:tmpl w:val="162539C1"/>
    <w:lvl w:ilvl="0" w:tentative="0">
      <w:start w:val="2"/>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805B04"/>
    <w:rsid w:val="01B5341A"/>
    <w:rsid w:val="032978D2"/>
    <w:rsid w:val="04C910BC"/>
    <w:rsid w:val="05046AEF"/>
    <w:rsid w:val="0939030B"/>
    <w:rsid w:val="0A5D2127"/>
    <w:rsid w:val="0EDF218E"/>
    <w:rsid w:val="11EC7AAB"/>
    <w:rsid w:val="134C0495"/>
    <w:rsid w:val="143A3E9B"/>
    <w:rsid w:val="18F212DF"/>
    <w:rsid w:val="31BF32EE"/>
    <w:rsid w:val="333C28FD"/>
    <w:rsid w:val="34270C62"/>
    <w:rsid w:val="38165CEE"/>
    <w:rsid w:val="384155BD"/>
    <w:rsid w:val="3F477D96"/>
    <w:rsid w:val="41D50C68"/>
    <w:rsid w:val="45BD7B3D"/>
    <w:rsid w:val="47386331"/>
    <w:rsid w:val="49815826"/>
    <w:rsid w:val="4C9C2CDD"/>
    <w:rsid w:val="4CAD0129"/>
    <w:rsid w:val="4D07162F"/>
    <w:rsid w:val="52E64F45"/>
    <w:rsid w:val="540142F2"/>
    <w:rsid w:val="558C4FFE"/>
    <w:rsid w:val="55DA3369"/>
    <w:rsid w:val="57632D11"/>
    <w:rsid w:val="583C2E6D"/>
    <w:rsid w:val="5A8F1CD7"/>
    <w:rsid w:val="5FA74878"/>
    <w:rsid w:val="61805B04"/>
    <w:rsid w:val="67075136"/>
    <w:rsid w:val="693027E0"/>
    <w:rsid w:val="6A8C060D"/>
    <w:rsid w:val="6D535020"/>
    <w:rsid w:val="738B2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after="120" w:line="576" w:lineRule="auto"/>
      <w:jc w:val="left"/>
      <w:outlineLvl w:val="0"/>
    </w:pPr>
    <w:rPr>
      <w:rFonts w:eastAsia="黑体"/>
      <w:b/>
      <w:kern w:val="44"/>
      <w:sz w:val="28"/>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5" w:beforeLines="25" w:line="240" w:lineRule="auto"/>
      <w:ind w:firstLine="562" w:firstLineChars="200"/>
      <w:outlineLvl w:val="2"/>
    </w:pPr>
    <w:rPr>
      <w:rFonts w:ascii="Calibri" w:hAnsi="Calibri" w:eastAsia="宋体"/>
      <w:b/>
      <w:bCs/>
      <w:sz w:val="28"/>
      <w:szCs w:val="32"/>
    </w:rPr>
  </w:style>
  <w:style w:type="paragraph" w:styleId="6">
    <w:name w:val="heading 4"/>
    <w:basedOn w:val="1"/>
    <w:next w:val="1"/>
    <w:qFormat/>
    <w:uiPriority w:val="0"/>
    <w:pPr>
      <w:keepNext/>
      <w:outlineLvl w:val="3"/>
    </w:pPr>
    <w:rPr>
      <w:b/>
      <w:bCs/>
    </w:rPr>
  </w:style>
  <w:style w:type="character" w:default="1" w:styleId="15">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7">
    <w:name w:val="Normal Indent"/>
    <w:basedOn w:val="1"/>
    <w:qFormat/>
    <w:uiPriority w:val="0"/>
    <w:pPr>
      <w:adjustRightInd w:val="0"/>
      <w:spacing w:line="312" w:lineRule="atLeast"/>
      <w:ind w:firstLine="420"/>
      <w:textAlignment w:val="baseline"/>
    </w:pPr>
    <w:rPr>
      <w:kern w:val="0"/>
      <w:szCs w:val="20"/>
    </w:rPr>
  </w:style>
  <w:style w:type="paragraph" w:styleId="8">
    <w:name w:val="annotation text"/>
    <w:basedOn w:val="1"/>
    <w:unhideWhenUsed/>
    <w:qFormat/>
    <w:uiPriority w:val="99"/>
    <w:pPr>
      <w:jc w:val="left"/>
    </w:pPr>
  </w:style>
  <w:style w:type="paragraph" w:styleId="9">
    <w:name w:val="Body Text Indent"/>
    <w:basedOn w:val="1"/>
    <w:qFormat/>
    <w:uiPriority w:val="0"/>
    <w:pPr>
      <w:spacing w:line="360" w:lineRule="auto"/>
      <w:ind w:firstLine="495"/>
    </w:pPr>
    <w:rPr>
      <w:rFonts w:ascii="宋体" w:hAnsi="宋体"/>
      <w:sz w:val="24"/>
    </w:rPr>
  </w:style>
  <w:style w:type="paragraph" w:styleId="10">
    <w:name w:val="Plain Text"/>
    <w:basedOn w:val="1"/>
    <w:qFormat/>
    <w:uiPriority w:val="0"/>
    <w:rPr>
      <w:rFonts w:ascii="宋体" w:hAnsi="Courier New"/>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39"/>
    <w:pPr>
      <w:tabs>
        <w:tab w:val="right" w:leader="dot" w:pos="8460"/>
      </w:tabs>
      <w:spacing w:before="120" w:beforeLines="0" w:after="120" w:afterLines="0" w:line="360" w:lineRule="auto"/>
      <w:ind w:right="359" w:rightChars="171"/>
      <w:jc w:val="left"/>
    </w:pPr>
    <w:rPr>
      <w:b/>
      <w:bCs/>
      <w:caps/>
      <w:sz w:val="28"/>
      <w:szCs w:val="28"/>
    </w:rPr>
  </w:style>
  <w:style w:type="paragraph" w:styleId="14">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8">
    <w:name w:val="盂县"/>
    <w:basedOn w:val="1"/>
    <w:qFormat/>
    <w:uiPriority w:val="0"/>
    <w:pPr>
      <w:adjustRightInd w:val="0"/>
      <w:snapToGrid w:val="0"/>
      <w:spacing w:line="312" w:lineRule="auto"/>
      <w:ind w:firstLine="560" w:firstLineChars="200"/>
    </w:pPr>
    <w:rPr>
      <w:sz w:val="28"/>
      <w:szCs w:val="24"/>
    </w:rPr>
  </w:style>
  <w:style w:type="character" w:customStyle="1" w:styleId="19">
    <w:name w:val="font11"/>
    <w:basedOn w:val="15"/>
    <w:qFormat/>
    <w:uiPriority w:val="0"/>
    <w:rPr>
      <w:rFonts w:hint="eastAsia" w:ascii="宋体" w:hAnsi="宋体" w:eastAsia="宋体" w:cs="宋体"/>
      <w:color w:val="000000"/>
      <w:sz w:val="18"/>
      <w:szCs w:val="18"/>
      <w:u w:val="none"/>
    </w:rPr>
  </w:style>
  <w:style w:type="paragraph" w:customStyle="1" w:styleId="20">
    <w:name w:val="WPSOffice手动目录 1"/>
    <w:qFormat/>
    <w:uiPriority w:val="0"/>
    <w:pPr>
      <w:ind w:leftChars="0"/>
    </w:pPr>
    <w:rPr>
      <w:rFonts w:ascii="Times New Roman" w:hAnsi="Times New Roman" w:eastAsia="宋体" w:cs="Times New Roman"/>
      <w:sz w:val="20"/>
      <w:szCs w:val="20"/>
    </w:rPr>
  </w:style>
  <w:style w:type="paragraph" w:customStyle="1" w:styleId="21">
    <w:name w:val="WPSOffice手动目录 2"/>
    <w:qFormat/>
    <w:uiPriority w:val="0"/>
    <w:pPr>
      <w:ind w:leftChars="200"/>
    </w:pPr>
    <w:rPr>
      <w:rFonts w:ascii="Times New Roman" w:hAnsi="Times New Roman" w:eastAsia="宋体" w:cs="Times New Roman"/>
      <w:sz w:val="20"/>
      <w:szCs w:val="20"/>
    </w:rPr>
  </w:style>
  <w:style w:type="paragraph" w:customStyle="1" w:styleId="22">
    <w:name w:val="WPSOffice手动目录 3"/>
    <w:qFormat/>
    <w:uiPriority w:val="0"/>
    <w:pPr>
      <w:ind w:leftChars="400"/>
    </w:pPr>
    <w:rPr>
      <w:rFonts w:ascii="Times New Roman" w:hAnsi="Times New Roman" w:eastAsia="宋体" w:cs="Times New Roman"/>
      <w:sz w:val="20"/>
      <w:szCs w:val="20"/>
    </w:rPr>
  </w:style>
  <w:style w:type="paragraph" w:customStyle="1" w:styleId="23">
    <w:name w:val="样式 标题 4 + Times New Roman 小四 非加粗 段前: 0 磅 段后: 7.8 磅 行距: 多倍行距..."/>
    <w:basedOn w:val="6"/>
    <w:qFormat/>
    <w:uiPriority w:val="0"/>
    <w:pPr>
      <w:spacing w:after="156" w:line="377" w:lineRule="auto"/>
    </w:pPr>
    <w:rPr>
      <w:rFonts w:ascii="Times New Roman" w:hAnsi="Times New Roman" w:cs="宋体"/>
      <w:bCs w:val="0"/>
    </w:rPr>
  </w:style>
  <w:style w:type="paragraph" w:customStyle="1" w:styleId="24">
    <w:name w:val="普通(网站)1"/>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oleObject" Target="embeddings/oleObject1.bin"/><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 and Settings\Administrator\Application Data\Kingsoft\wps\addons\pool\win-i386\knewfileruby_1.0.0.12\template\wps\0.doc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b676a52-46bb-4aa1-b993-5287513bd33c}"/>
        <w:style w:val=""/>
        <w:category>
          <w:name w:val="常规"/>
          <w:gallery w:val="placeholder"/>
        </w:category>
        <w:types>
          <w:type w:val="bbPlcHdr"/>
        </w:types>
        <w:behaviors>
          <w:behavior w:val="content"/>
        </w:behaviors>
        <w:description w:val=""/>
        <w:guid w:val="{0b676a52-46bb-4aa1-b993-5287513bd33c}"/>
      </w:docPartPr>
      <w:docPartBody>
        <w:p>
          <w:r>
            <w:rPr>
              <w:color w:val="808080"/>
            </w:rPr>
            <w:t>单击此处输入文字。</w:t>
          </w:r>
        </w:p>
      </w:docPartBody>
    </w:docPart>
    <w:docPart>
      <w:docPartPr>
        <w:name w:val="{449f847a-1fd0-4a0f-aefc-cee6b22c936f}"/>
        <w:style w:val=""/>
        <w:category>
          <w:name w:val="常规"/>
          <w:gallery w:val="placeholder"/>
        </w:category>
        <w:types>
          <w:type w:val="bbPlcHdr"/>
        </w:types>
        <w:behaviors>
          <w:behavior w:val="content"/>
        </w:behaviors>
        <w:description w:val=""/>
        <w:guid w:val="{449f847a-1fd0-4a0f-aefc-cee6b22c936f}"/>
      </w:docPartPr>
      <w:docPartBody>
        <w:p>
          <w:r>
            <w:rPr>
              <w:color w:val="808080"/>
            </w:rPr>
            <w:t>单击此处输入文字。</w:t>
          </w:r>
        </w:p>
      </w:docPartBody>
    </w:docPart>
    <w:docPart>
      <w:docPartPr>
        <w:name w:val="{657f06da-ba94-47f5-8f3c-9e5cb788761a}"/>
        <w:style w:val=""/>
        <w:category>
          <w:name w:val="常规"/>
          <w:gallery w:val="placeholder"/>
        </w:category>
        <w:types>
          <w:type w:val="bbPlcHdr"/>
        </w:types>
        <w:behaviors>
          <w:behavior w:val="content"/>
        </w:behaviors>
        <w:description w:val=""/>
        <w:guid w:val="{657f06da-ba94-47f5-8f3c-9e5cb788761a}"/>
      </w:docPartPr>
      <w:docPartBody>
        <w:p>
          <w:r>
            <w:rPr>
              <w:color w:val="808080"/>
            </w:rPr>
            <w:t>单击此处输入文字。</w:t>
          </w:r>
        </w:p>
      </w:docPartBody>
    </w:docPart>
    <w:docPart>
      <w:docPartPr>
        <w:name w:val="{5385b841-8748-4909-9a98-e615b23bdb9e}"/>
        <w:style w:val=""/>
        <w:category>
          <w:name w:val="常规"/>
          <w:gallery w:val="placeholder"/>
        </w:category>
        <w:types>
          <w:type w:val="bbPlcHdr"/>
        </w:types>
        <w:behaviors>
          <w:behavior w:val="content"/>
        </w:behaviors>
        <w:description w:val=""/>
        <w:guid w:val="{5385b841-8748-4909-9a98-e615b23bdb9e}"/>
      </w:docPartPr>
      <w:docPartBody>
        <w:p>
          <w:r>
            <w:rPr>
              <w:color w:val="808080"/>
            </w:rPr>
            <w:t>单击此处输入文字。</w:t>
          </w:r>
        </w:p>
      </w:docPartBody>
    </w:docPart>
    <w:docPart>
      <w:docPartPr>
        <w:name w:val="{3dd29562-6dab-4a2c-ada7-c8cab67eb4ba}"/>
        <w:style w:val=""/>
        <w:category>
          <w:name w:val="常规"/>
          <w:gallery w:val="placeholder"/>
        </w:category>
        <w:types>
          <w:type w:val="bbPlcHdr"/>
        </w:types>
        <w:behaviors>
          <w:behavior w:val="content"/>
        </w:behaviors>
        <w:description w:val=""/>
        <w:guid w:val="{3dd29562-6dab-4a2c-ada7-c8cab67eb4ba}"/>
      </w:docPartPr>
      <w:docPartBody>
        <w:p>
          <w:r>
            <w:rPr>
              <w:color w:val="808080"/>
            </w:rPr>
            <w:t>单击此处输入文字。</w:t>
          </w:r>
        </w:p>
      </w:docPartBody>
    </w:docPart>
    <w:docPart>
      <w:docPartPr>
        <w:name w:val="{88b2858c-6125-4e45-91e2-c46b6dc9fc1f}"/>
        <w:style w:val=""/>
        <w:category>
          <w:name w:val="常规"/>
          <w:gallery w:val="placeholder"/>
        </w:category>
        <w:types>
          <w:type w:val="bbPlcHdr"/>
        </w:types>
        <w:behaviors>
          <w:behavior w:val="content"/>
        </w:behaviors>
        <w:description w:val=""/>
        <w:guid w:val="{88b2858c-6125-4e45-91e2-c46b6dc9fc1f}"/>
      </w:docPartPr>
      <w:docPartBody>
        <w:p>
          <w:r>
            <w:rPr>
              <w:color w:val="808080"/>
            </w:rPr>
            <w:t>单击此处输入文字。</w:t>
          </w:r>
        </w:p>
      </w:docPartBody>
    </w:docPart>
    <w:docPart>
      <w:docPartPr>
        <w:name w:val="{7ea0c7fd-1d8b-49a5-aef2-abf93e035125}"/>
        <w:style w:val=""/>
        <w:category>
          <w:name w:val="常规"/>
          <w:gallery w:val="placeholder"/>
        </w:category>
        <w:types>
          <w:type w:val="bbPlcHdr"/>
        </w:types>
        <w:behaviors>
          <w:behavior w:val="content"/>
        </w:behaviors>
        <w:description w:val=""/>
        <w:guid w:val="{7ea0c7fd-1d8b-49a5-aef2-abf93e035125}"/>
      </w:docPartPr>
      <w:docPartBody>
        <w:p>
          <w:r>
            <w:rPr>
              <w:color w:val="808080"/>
            </w:rPr>
            <w:t>单击此处输入文字。</w:t>
          </w:r>
        </w:p>
      </w:docPartBody>
    </w:docPart>
    <w:docPart>
      <w:docPartPr>
        <w:name w:val="{deaaa3dc-8dc5-474f-9385-425a7110df47}"/>
        <w:style w:val=""/>
        <w:category>
          <w:name w:val="常规"/>
          <w:gallery w:val="placeholder"/>
        </w:category>
        <w:types>
          <w:type w:val="bbPlcHdr"/>
        </w:types>
        <w:behaviors>
          <w:behavior w:val="content"/>
        </w:behaviors>
        <w:description w:val=""/>
        <w:guid w:val="{deaaa3dc-8dc5-474f-9385-425a7110df47}"/>
      </w:docPartPr>
      <w:docPartBody>
        <w:p>
          <w:r>
            <w:rPr>
              <w:color w:val="808080"/>
            </w:rPr>
            <w:t>单击此处输入文字。</w:t>
          </w:r>
        </w:p>
      </w:docPartBody>
    </w:docPart>
    <w:docPart>
      <w:docPartPr>
        <w:name w:val="{ff68e858-3114-4a23-8d42-65a4d6e5ff3a}"/>
        <w:style w:val=""/>
        <w:category>
          <w:name w:val="常规"/>
          <w:gallery w:val="placeholder"/>
        </w:category>
        <w:types>
          <w:type w:val="bbPlcHdr"/>
        </w:types>
        <w:behaviors>
          <w:behavior w:val="content"/>
        </w:behaviors>
        <w:description w:val=""/>
        <w:guid w:val="{ff68e858-3114-4a23-8d42-65a4d6e5ff3a}"/>
      </w:docPartPr>
      <w:docPartBody>
        <w:p>
          <w:r>
            <w:rPr>
              <w:color w:val="808080"/>
            </w:rPr>
            <w:t>单击此处输入文字。</w:t>
          </w:r>
        </w:p>
      </w:docPartBody>
    </w:docPart>
    <w:docPart>
      <w:docPartPr>
        <w:name w:val="{6d15c1f0-9363-42f9-aee7-f0fc0436cc20}"/>
        <w:style w:val=""/>
        <w:category>
          <w:name w:val="常规"/>
          <w:gallery w:val="placeholder"/>
        </w:category>
        <w:types>
          <w:type w:val="bbPlcHdr"/>
        </w:types>
        <w:behaviors>
          <w:behavior w:val="content"/>
        </w:behaviors>
        <w:description w:val=""/>
        <w:guid w:val="{6d15c1f0-9363-42f9-aee7-f0fc0436cc20}"/>
      </w:docPartPr>
      <w:docPartBody>
        <w:p>
          <w:r>
            <w:rPr>
              <w:color w:val="808080"/>
            </w:rPr>
            <w:t>单击此处输入文字。</w:t>
          </w:r>
        </w:p>
      </w:docPartBody>
    </w:docPart>
    <w:docPart>
      <w:docPartPr>
        <w:name w:val="{eae97df2-f71f-4aa7-94ba-adfdd8071331}"/>
        <w:style w:val=""/>
        <w:category>
          <w:name w:val="常规"/>
          <w:gallery w:val="placeholder"/>
        </w:category>
        <w:types>
          <w:type w:val="bbPlcHdr"/>
        </w:types>
        <w:behaviors>
          <w:behavior w:val="content"/>
        </w:behaviors>
        <w:description w:val=""/>
        <w:guid w:val="{eae97df2-f71f-4aa7-94ba-adfdd8071331}"/>
      </w:docPartPr>
      <w:docPartBody>
        <w:p>
          <w:r>
            <w:rPr>
              <w:color w:val="808080"/>
            </w:rPr>
            <w:t>单击此处输入文字。</w:t>
          </w:r>
        </w:p>
      </w:docPartBody>
    </w:docPart>
    <w:docPart>
      <w:docPartPr>
        <w:name w:val="{74c44454-6521-48e9-802e-daab7de5b227}"/>
        <w:style w:val=""/>
        <w:category>
          <w:name w:val="常规"/>
          <w:gallery w:val="placeholder"/>
        </w:category>
        <w:types>
          <w:type w:val="bbPlcHdr"/>
        </w:types>
        <w:behaviors>
          <w:behavior w:val="content"/>
        </w:behaviors>
        <w:description w:val=""/>
        <w:guid w:val="{74c44454-6521-48e9-802e-daab7de5b227}"/>
      </w:docPartPr>
      <w:docPartBody>
        <w:p>
          <w:r>
            <w:rPr>
              <w:color w:val="808080"/>
            </w:rPr>
            <w:t>单击此处输入文字。</w:t>
          </w:r>
        </w:p>
      </w:docPartBody>
    </w:docPart>
    <w:docPart>
      <w:docPartPr>
        <w:name w:val="{28ad9b79-b649-4583-ac87-459347344e7e}"/>
        <w:style w:val=""/>
        <w:category>
          <w:name w:val="常规"/>
          <w:gallery w:val="placeholder"/>
        </w:category>
        <w:types>
          <w:type w:val="bbPlcHdr"/>
        </w:types>
        <w:behaviors>
          <w:behavior w:val="content"/>
        </w:behaviors>
        <w:description w:val=""/>
        <w:guid w:val="{28ad9b79-b649-4583-ac87-459347344e7e}"/>
      </w:docPartPr>
      <w:docPartBody>
        <w:p>
          <w:r>
            <w:rPr>
              <w:color w:val="808080"/>
            </w:rPr>
            <w:t>单击此处输入文字。</w:t>
          </w:r>
        </w:p>
      </w:docPartBody>
    </w:docPart>
    <w:docPart>
      <w:docPartPr>
        <w:name w:val="{e8395216-1587-4582-90e0-abb6c258a7b0}"/>
        <w:style w:val=""/>
        <w:category>
          <w:name w:val="常规"/>
          <w:gallery w:val="placeholder"/>
        </w:category>
        <w:types>
          <w:type w:val="bbPlcHdr"/>
        </w:types>
        <w:behaviors>
          <w:behavior w:val="content"/>
        </w:behaviors>
        <w:description w:val=""/>
        <w:guid w:val="{e8395216-1587-4582-90e0-abb6c258a7b0}"/>
      </w:docPartPr>
      <w:docPartBody>
        <w:p>
          <w:r>
            <w:rPr>
              <w:color w:val="808080"/>
            </w:rPr>
            <w:t>单击此处输入文字。</w:t>
          </w:r>
        </w:p>
      </w:docPartBody>
    </w:docPart>
    <w:docPart>
      <w:docPartPr>
        <w:name w:val="{e875dbb4-b901-4303-92bf-c460ee9de5f5}"/>
        <w:style w:val=""/>
        <w:category>
          <w:name w:val="常规"/>
          <w:gallery w:val="placeholder"/>
        </w:category>
        <w:types>
          <w:type w:val="bbPlcHdr"/>
        </w:types>
        <w:behaviors>
          <w:behavior w:val="content"/>
        </w:behaviors>
        <w:description w:val=""/>
        <w:guid w:val="{e875dbb4-b901-4303-92bf-c460ee9de5f5}"/>
      </w:docPartPr>
      <w:docPartBody>
        <w:p>
          <w:r>
            <w:rPr>
              <w:color w:val="808080"/>
            </w:rPr>
            <w:t>单击此处输入文字。</w:t>
          </w:r>
        </w:p>
      </w:docPartBody>
    </w:docPart>
    <w:docPart>
      <w:docPartPr>
        <w:name w:val="{c4228c9d-7e1d-4c42-a7fb-adf38a595ccf}"/>
        <w:style w:val=""/>
        <w:category>
          <w:name w:val="常规"/>
          <w:gallery w:val="placeholder"/>
        </w:category>
        <w:types>
          <w:type w:val="bbPlcHdr"/>
        </w:types>
        <w:behaviors>
          <w:behavior w:val="content"/>
        </w:behaviors>
        <w:description w:val=""/>
        <w:guid w:val="{c4228c9d-7e1d-4c42-a7fb-adf38a595ccf}"/>
      </w:docPartPr>
      <w:docPartBody>
        <w:p>
          <w:r>
            <w:rPr>
              <w:color w:val="808080"/>
            </w:rPr>
            <w:t>单击此处输入文字。</w:t>
          </w:r>
        </w:p>
      </w:docPartBody>
    </w:docPart>
    <w:docPart>
      <w:docPartPr>
        <w:name w:val="{9df90360-6962-4003-a0e4-221fb9bc163e}"/>
        <w:style w:val=""/>
        <w:category>
          <w:name w:val="常规"/>
          <w:gallery w:val="placeholder"/>
        </w:category>
        <w:types>
          <w:type w:val="bbPlcHdr"/>
        </w:types>
        <w:behaviors>
          <w:behavior w:val="content"/>
        </w:behaviors>
        <w:description w:val=""/>
        <w:guid w:val="{9df90360-6962-4003-a0e4-221fb9bc163e}"/>
      </w:docPartPr>
      <w:docPartBody>
        <w:p>
          <w:r>
            <w:rPr>
              <w:color w:val="808080"/>
            </w:rPr>
            <w:t>单击此处输入文字。</w:t>
          </w:r>
        </w:p>
      </w:docPartBody>
    </w:docPart>
    <w:docPart>
      <w:docPartPr>
        <w:name w:val="{b4c3da70-35a0-46cc-982d-0592e3c6478f}"/>
        <w:style w:val=""/>
        <w:category>
          <w:name w:val="常规"/>
          <w:gallery w:val="placeholder"/>
        </w:category>
        <w:types>
          <w:type w:val="bbPlcHdr"/>
        </w:types>
        <w:behaviors>
          <w:behavior w:val="content"/>
        </w:behaviors>
        <w:description w:val=""/>
        <w:guid w:val="{b4c3da70-35a0-46cc-982d-0592e3c6478f}"/>
      </w:docPartPr>
      <w:docPartBody>
        <w:p>
          <w:r>
            <w:rPr>
              <w:color w:val="808080"/>
            </w:rPr>
            <w:t>单击此处输入文字。</w:t>
          </w:r>
        </w:p>
      </w:docPartBody>
    </w:docPart>
    <w:docPart>
      <w:docPartPr>
        <w:name w:val="{367a5d62-4364-4faf-8637-5f79d19221c1}"/>
        <w:style w:val=""/>
        <w:category>
          <w:name w:val="常规"/>
          <w:gallery w:val="placeholder"/>
        </w:category>
        <w:types>
          <w:type w:val="bbPlcHdr"/>
        </w:types>
        <w:behaviors>
          <w:behavior w:val="content"/>
        </w:behaviors>
        <w:description w:val=""/>
        <w:guid w:val="{367a5d62-4364-4faf-8637-5f79d19221c1}"/>
      </w:docPartPr>
      <w:docPartBody>
        <w:p>
          <w:r>
            <w:rPr>
              <w:color w:val="808080"/>
            </w:rPr>
            <w:t>单击此处输入文字。</w:t>
          </w:r>
        </w:p>
      </w:docPartBody>
    </w:docPart>
    <w:docPart>
      <w:docPartPr>
        <w:name w:val="{cc91b18b-ea35-4467-8ae6-64934f520fe5}"/>
        <w:style w:val=""/>
        <w:category>
          <w:name w:val="常规"/>
          <w:gallery w:val="placeholder"/>
        </w:category>
        <w:types>
          <w:type w:val="bbPlcHdr"/>
        </w:types>
        <w:behaviors>
          <w:behavior w:val="content"/>
        </w:behaviors>
        <w:description w:val=""/>
        <w:guid w:val="{cc91b18b-ea35-4467-8ae6-64934f520fe5}"/>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2018-11-26T00:49:00Z</dcterms:created>
  <dc:creator>Administrator</dc:creator>
  <cp:lastModifiedBy>TG</cp:lastModifiedBy>
  <dcterms:modified xsi:type="dcterms:W3CDTF">2019-03-08T09:19:10Z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