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12D" w:rsidRPr="000016B4" w:rsidRDefault="001F512D" w:rsidP="000016B4">
      <w:pPr>
        <w:spacing w:line="360" w:lineRule="auto"/>
        <w:ind w:firstLineChars="200" w:firstLine="480"/>
        <w:jc w:val="center"/>
        <w:rPr>
          <w:rFonts w:asciiTheme="minorEastAsia" w:eastAsiaTheme="minorEastAsia" w:hAnsiTheme="minorEastAsia"/>
          <w:sz w:val="24"/>
        </w:rPr>
      </w:pPr>
    </w:p>
    <w:p w:rsidR="00A24F2D" w:rsidRPr="000016B4" w:rsidRDefault="00A24F2D" w:rsidP="000016B4">
      <w:pPr>
        <w:spacing w:line="360" w:lineRule="auto"/>
        <w:ind w:firstLineChars="200" w:firstLine="640"/>
        <w:jc w:val="center"/>
        <w:rPr>
          <w:rFonts w:ascii="黑体" w:eastAsia="黑体" w:hAnsi="黑体"/>
          <w:sz w:val="32"/>
          <w:szCs w:val="32"/>
        </w:rPr>
      </w:pPr>
      <w:r w:rsidRPr="000016B4">
        <w:rPr>
          <w:rFonts w:ascii="黑体" w:eastAsia="黑体" w:hAnsi="黑体" w:hint="eastAsia"/>
          <w:sz w:val="32"/>
          <w:szCs w:val="32"/>
        </w:rPr>
        <w:t>核电用不锈钢</w:t>
      </w:r>
      <w:r w:rsidR="005729D7" w:rsidRPr="005729D7">
        <w:rPr>
          <w:rFonts w:ascii="黑体" w:eastAsia="黑体" w:hAnsi="黑体" w:hint="eastAsia"/>
          <w:sz w:val="32"/>
          <w:szCs w:val="32"/>
        </w:rPr>
        <w:t>基础知识普及</w:t>
      </w:r>
    </w:p>
    <w:p w:rsidR="00A24F2D" w:rsidRPr="0046114B" w:rsidRDefault="00A24F2D" w:rsidP="0046114B">
      <w:pPr>
        <w:spacing w:line="360" w:lineRule="auto"/>
        <w:ind w:firstLineChars="200" w:firstLine="482"/>
        <w:rPr>
          <w:rFonts w:asciiTheme="minorEastAsia" w:eastAsiaTheme="minorEastAsia" w:hAnsiTheme="minorEastAsia"/>
          <w:b/>
          <w:sz w:val="24"/>
        </w:rPr>
      </w:pPr>
      <w:r w:rsidRPr="0046114B">
        <w:rPr>
          <w:rFonts w:asciiTheme="minorEastAsia" w:eastAsiaTheme="minorEastAsia" w:hAnsiTheme="minorEastAsia" w:hint="eastAsia"/>
          <w:b/>
          <w:sz w:val="24"/>
        </w:rPr>
        <w:t>1</w:t>
      </w:r>
      <w:r w:rsidR="000016B4" w:rsidRPr="0046114B">
        <w:rPr>
          <w:rFonts w:asciiTheme="minorEastAsia" w:eastAsiaTheme="minorEastAsia" w:hAnsiTheme="minorEastAsia" w:hint="eastAsia"/>
          <w:b/>
          <w:sz w:val="24"/>
        </w:rPr>
        <w:t>.</w:t>
      </w:r>
      <w:r w:rsidRPr="0046114B">
        <w:rPr>
          <w:rFonts w:asciiTheme="minorEastAsia" w:eastAsiaTheme="minorEastAsia" w:hAnsiTheme="minorEastAsia" w:hint="eastAsia"/>
          <w:b/>
          <w:sz w:val="24"/>
        </w:rPr>
        <w:t xml:space="preserve"> 产品介绍</w:t>
      </w:r>
    </w:p>
    <w:p w:rsidR="00A24F2D" w:rsidRPr="000016B4" w:rsidRDefault="00A24F2D"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核电工业用不锈钢是指在核能利用项目上使用的不锈钢材料。目前世界范围内主要有压水堆、沸水堆、重水堆等热中子堆</w:t>
      </w:r>
      <w:r w:rsidR="00161D9F" w:rsidRPr="000016B4">
        <w:rPr>
          <w:rFonts w:asciiTheme="minorEastAsia" w:eastAsiaTheme="minorEastAsia" w:hAnsiTheme="minorEastAsia" w:hint="eastAsia"/>
          <w:sz w:val="24"/>
        </w:rPr>
        <w:t>，</w:t>
      </w:r>
      <w:r w:rsidRPr="000016B4">
        <w:rPr>
          <w:rFonts w:asciiTheme="minorEastAsia" w:eastAsiaTheme="minorEastAsia" w:hAnsiTheme="minorEastAsia" w:hint="eastAsia"/>
          <w:sz w:val="24"/>
        </w:rPr>
        <w:t>钠冷、铅冷、气冷等快中子增殖堆和聚变堆等，其中有已成熟并大量商用的核电站，也有处于试验和研制阶段的军工项目。</w:t>
      </w:r>
    </w:p>
    <w:p w:rsidR="00A24F2D" w:rsidRPr="0046114B" w:rsidRDefault="00A24F2D" w:rsidP="0046114B">
      <w:pPr>
        <w:spacing w:line="360" w:lineRule="auto"/>
        <w:ind w:firstLineChars="200" w:firstLine="482"/>
        <w:rPr>
          <w:rFonts w:asciiTheme="minorEastAsia" w:eastAsiaTheme="minorEastAsia" w:hAnsiTheme="minorEastAsia"/>
          <w:b/>
          <w:sz w:val="24"/>
        </w:rPr>
      </w:pPr>
      <w:r w:rsidRPr="0046114B">
        <w:rPr>
          <w:rFonts w:asciiTheme="minorEastAsia" w:eastAsiaTheme="minorEastAsia" w:hAnsiTheme="minorEastAsia" w:hint="eastAsia"/>
          <w:b/>
          <w:sz w:val="24"/>
        </w:rPr>
        <w:t>2</w:t>
      </w:r>
      <w:r w:rsidR="000016B4" w:rsidRPr="0046114B">
        <w:rPr>
          <w:rFonts w:asciiTheme="minorEastAsia" w:eastAsiaTheme="minorEastAsia" w:hAnsiTheme="minorEastAsia" w:hint="eastAsia"/>
          <w:b/>
          <w:sz w:val="24"/>
        </w:rPr>
        <w:t>.</w:t>
      </w:r>
      <w:r w:rsidRPr="0046114B">
        <w:rPr>
          <w:rFonts w:asciiTheme="minorEastAsia" w:eastAsiaTheme="minorEastAsia" w:hAnsiTheme="minorEastAsia" w:hint="eastAsia"/>
          <w:b/>
          <w:sz w:val="24"/>
        </w:rPr>
        <w:t>产品特点</w:t>
      </w:r>
    </w:p>
    <w:p w:rsidR="00A24F2D" w:rsidRPr="000016B4" w:rsidRDefault="00A24F2D"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由于核安全事故会严重危及社会及公众安全，核能利用上最重要的是安全性。因此，已商用的核电项目大都是采用我们对其使用性能十分了解，拥有成熟制造工艺的一类产品来制造；但是处于试验和研制阶段的核电项目，如快堆和聚变堆，由于其用途和工况的改变，对材料就提出了更高的要求。</w:t>
      </w:r>
    </w:p>
    <w:p w:rsidR="00A24F2D" w:rsidRPr="000016B4" w:rsidRDefault="00A24F2D"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出于对核安全的重视，对使用在核电项目关键部位和设备上的材料，要按照设备安全等级，划分质保等级，分级管理。材料制造厂要按照HAF601及其导则的要求建立并运行质量保证体系，生产过程中编制专项技术、质保文件，使得产品及其制造过程符合“凡事有据可依、凡事有据可查、凡事有人监督、凡事有人负责”的</w:t>
      </w:r>
      <w:proofErr w:type="gramStart"/>
      <w:r w:rsidRPr="000016B4">
        <w:rPr>
          <w:rFonts w:asciiTheme="minorEastAsia" w:eastAsiaTheme="minorEastAsia" w:hAnsiTheme="minorEastAsia" w:hint="eastAsia"/>
          <w:sz w:val="24"/>
        </w:rPr>
        <w:t>核文化</w:t>
      </w:r>
      <w:proofErr w:type="gramEnd"/>
      <w:r w:rsidRPr="000016B4">
        <w:rPr>
          <w:rFonts w:asciiTheme="minorEastAsia" w:eastAsiaTheme="minorEastAsia" w:hAnsiTheme="minorEastAsia" w:hint="eastAsia"/>
          <w:sz w:val="24"/>
        </w:rPr>
        <w:t>要求。</w:t>
      </w:r>
    </w:p>
    <w:p w:rsidR="001C563E" w:rsidRDefault="00A24F2D" w:rsidP="000016B4">
      <w:pPr>
        <w:spacing w:line="360" w:lineRule="auto"/>
        <w:ind w:firstLineChars="200" w:firstLine="480"/>
        <w:rPr>
          <w:rFonts w:asciiTheme="minorEastAsia" w:eastAsiaTheme="minorEastAsia" w:hAnsiTheme="minorEastAsia"/>
          <w:sz w:val="24"/>
        </w:rPr>
      </w:pPr>
      <w:proofErr w:type="gramStart"/>
      <w:r w:rsidRPr="000016B4">
        <w:rPr>
          <w:rFonts w:asciiTheme="minorEastAsia" w:eastAsiaTheme="minorEastAsia" w:hAnsiTheme="minorEastAsia" w:hint="eastAsia"/>
          <w:sz w:val="24"/>
        </w:rPr>
        <w:t>核级不锈钢</w:t>
      </w:r>
      <w:proofErr w:type="gramEnd"/>
      <w:r w:rsidRPr="000016B4">
        <w:rPr>
          <w:rFonts w:asciiTheme="minorEastAsia" w:eastAsiaTheme="minorEastAsia" w:hAnsiTheme="minorEastAsia" w:hint="eastAsia"/>
          <w:sz w:val="24"/>
        </w:rPr>
        <w:t>是用于核电站中与含有大量放射性物质的堆芯冷却剂相接触的奥氏体不锈钢。由于要受到高剂量中子的辐照，因此</w:t>
      </w:r>
      <w:proofErr w:type="gramStart"/>
      <w:r w:rsidRPr="000016B4">
        <w:rPr>
          <w:rFonts w:asciiTheme="minorEastAsia" w:eastAsiaTheme="minorEastAsia" w:hAnsiTheme="minorEastAsia" w:hint="eastAsia"/>
          <w:sz w:val="24"/>
        </w:rPr>
        <w:t>核级不锈钢钢应</w:t>
      </w:r>
      <w:proofErr w:type="gramEnd"/>
      <w:r w:rsidRPr="000016B4">
        <w:rPr>
          <w:rFonts w:asciiTheme="minorEastAsia" w:eastAsiaTheme="minorEastAsia" w:hAnsiTheme="minorEastAsia" w:hint="eastAsia"/>
          <w:sz w:val="24"/>
        </w:rPr>
        <w:t>满足：</w:t>
      </w:r>
    </w:p>
    <w:p w:rsidR="001C563E" w:rsidRDefault="0046114B" w:rsidP="000016B4">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A24F2D" w:rsidRPr="000016B4">
        <w:rPr>
          <w:rFonts w:asciiTheme="minorEastAsia" w:eastAsiaTheme="minorEastAsia" w:hAnsiTheme="minorEastAsia" w:hint="eastAsia"/>
          <w:sz w:val="24"/>
        </w:rPr>
        <w:t>1）感生放射性低</w:t>
      </w:r>
      <w:r>
        <w:rPr>
          <w:rFonts w:asciiTheme="minorEastAsia" w:eastAsiaTheme="minorEastAsia" w:hAnsiTheme="minorEastAsia" w:hint="eastAsia"/>
          <w:sz w:val="24"/>
        </w:rPr>
        <w:t>；</w:t>
      </w:r>
    </w:p>
    <w:p w:rsidR="001C563E" w:rsidRDefault="0046114B" w:rsidP="000016B4">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A24F2D" w:rsidRPr="000016B4">
        <w:rPr>
          <w:rFonts w:asciiTheme="minorEastAsia" w:eastAsiaTheme="minorEastAsia" w:hAnsiTheme="minorEastAsia" w:hint="eastAsia"/>
          <w:sz w:val="24"/>
        </w:rPr>
        <w:t>2）中子吸收截面小</w:t>
      </w:r>
      <w:r>
        <w:rPr>
          <w:rFonts w:asciiTheme="minorEastAsia" w:eastAsiaTheme="minorEastAsia" w:hAnsiTheme="minorEastAsia" w:hint="eastAsia"/>
          <w:sz w:val="24"/>
        </w:rPr>
        <w:t>；</w:t>
      </w:r>
    </w:p>
    <w:p w:rsidR="00A24F2D" w:rsidRPr="000016B4" w:rsidRDefault="0046114B" w:rsidP="000016B4">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A24F2D" w:rsidRPr="000016B4">
        <w:rPr>
          <w:rFonts w:asciiTheme="minorEastAsia" w:eastAsiaTheme="minorEastAsia" w:hAnsiTheme="minorEastAsia" w:hint="eastAsia"/>
          <w:sz w:val="24"/>
        </w:rPr>
        <w:t>3）组织稳定性高这三个基本特点。</w:t>
      </w:r>
    </w:p>
    <w:p w:rsidR="00495E02" w:rsidRPr="0046114B" w:rsidRDefault="00495E02" w:rsidP="0046114B">
      <w:pPr>
        <w:spacing w:line="360" w:lineRule="auto"/>
        <w:ind w:firstLineChars="200" w:firstLine="482"/>
        <w:rPr>
          <w:rFonts w:asciiTheme="minorEastAsia" w:eastAsiaTheme="minorEastAsia" w:hAnsiTheme="minorEastAsia"/>
          <w:b/>
          <w:sz w:val="24"/>
        </w:rPr>
      </w:pPr>
      <w:r w:rsidRPr="0046114B">
        <w:rPr>
          <w:rFonts w:asciiTheme="minorEastAsia" w:eastAsiaTheme="minorEastAsia" w:hAnsiTheme="minorEastAsia" w:hint="eastAsia"/>
          <w:b/>
          <w:sz w:val="24"/>
        </w:rPr>
        <w:t>3</w:t>
      </w:r>
      <w:r w:rsidR="000016B4" w:rsidRPr="0046114B">
        <w:rPr>
          <w:rFonts w:asciiTheme="minorEastAsia" w:eastAsiaTheme="minorEastAsia" w:hAnsiTheme="minorEastAsia" w:hint="eastAsia"/>
          <w:b/>
          <w:sz w:val="24"/>
        </w:rPr>
        <w:t>.</w:t>
      </w:r>
      <w:r w:rsidRPr="0046114B">
        <w:rPr>
          <w:rFonts w:asciiTheme="minorEastAsia" w:eastAsiaTheme="minorEastAsia" w:hAnsiTheme="minorEastAsia" w:hint="eastAsia"/>
          <w:b/>
          <w:sz w:val="24"/>
        </w:rPr>
        <w:t>太钢核电材料的研发历程</w:t>
      </w:r>
    </w:p>
    <w:p w:rsidR="00495E02" w:rsidRPr="000016B4" w:rsidRDefault="00495E02"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上世纪90年代，</w:t>
      </w:r>
      <w:r w:rsidR="00161D9F" w:rsidRPr="000016B4">
        <w:rPr>
          <w:rFonts w:asciiTheme="minorEastAsia" w:eastAsiaTheme="minorEastAsia" w:hAnsiTheme="minorEastAsia" w:hint="eastAsia"/>
          <w:sz w:val="24"/>
        </w:rPr>
        <w:t>太钢</w:t>
      </w:r>
      <w:r w:rsidRPr="000016B4">
        <w:rPr>
          <w:rFonts w:asciiTheme="minorEastAsia" w:eastAsiaTheme="minorEastAsia" w:hAnsiTheme="minorEastAsia" w:hint="eastAsia"/>
          <w:sz w:val="24"/>
        </w:rPr>
        <w:t>按照ASME BPVC规范为我国第一座自主核电站——秦山I期30万千瓦核电项目提供了304、316不锈钢板300余吨。</w:t>
      </w:r>
    </w:p>
    <w:p w:rsidR="00495E02" w:rsidRPr="000016B4" w:rsidRDefault="00495E02"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2006</w:t>
      </w:r>
      <w:r w:rsidR="000016B4" w:rsidRPr="000016B4">
        <w:rPr>
          <w:rFonts w:asciiTheme="minorEastAsia" w:eastAsiaTheme="minorEastAsia" w:hAnsiTheme="minorEastAsia" w:hint="eastAsia"/>
          <w:sz w:val="24"/>
        </w:rPr>
        <w:t>～</w:t>
      </w:r>
      <w:r w:rsidRPr="000016B4">
        <w:rPr>
          <w:rFonts w:asciiTheme="minorEastAsia" w:eastAsiaTheme="minorEastAsia" w:hAnsiTheme="minorEastAsia" w:hint="eastAsia"/>
          <w:sz w:val="24"/>
        </w:rPr>
        <w:t>2011年期间，为满足国内CPR1000</w:t>
      </w:r>
      <w:proofErr w:type="gramStart"/>
      <w:r w:rsidRPr="000016B4">
        <w:rPr>
          <w:rFonts w:asciiTheme="minorEastAsia" w:eastAsiaTheme="minorEastAsia" w:hAnsiTheme="minorEastAsia" w:hint="eastAsia"/>
          <w:sz w:val="24"/>
        </w:rPr>
        <w:t>二代半核电</w:t>
      </w:r>
      <w:proofErr w:type="gramEnd"/>
      <w:r w:rsidRPr="000016B4">
        <w:rPr>
          <w:rFonts w:asciiTheme="minorEastAsia" w:eastAsiaTheme="minorEastAsia" w:hAnsiTheme="minorEastAsia" w:hint="eastAsia"/>
          <w:sz w:val="24"/>
        </w:rPr>
        <w:t>项目需要，太钢按照法国RCC-M技术规范</w:t>
      </w:r>
      <w:proofErr w:type="gramStart"/>
      <w:r w:rsidRPr="000016B4">
        <w:rPr>
          <w:rFonts w:asciiTheme="minorEastAsia" w:eastAsiaTheme="minorEastAsia" w:hAnsiTheme="minorEastAsia" w:hint="eastAsia"/>
          <w:sz w:val="24"/>
        </w:rPr>
        <w:t>生产核级奥氏体不锈钢</w:t>
      </w:r>
      <w:proofErr w:type="gramEnd"/>
      <w:r w:rsidRPr="000016B4">
        <w:rPr>
          <w:rFonts w:asciiTheme="minorEastAsia" w:eastAsiaTheme="minorEastAsia" w:hAnsiTheme="minorEastAsia" w:hint="eastAsia"/>
          <w:sz w:val="24"/>
        </w:rPr>
        <w:t>板和</w:t>
      </w:r>
      <w:proofErr w:type="gramStart"/>
      <w:r w:rsidRPr="000016B4">
        <w:rPr>
          <w:rFonts w:asciiTheme="minorEastAsia" w:eastAsiaTheme="minorEastAsia" w:hAnsiTheme="minorEastAsia" w:hint="eastAsia"/>
          <w:sz w:val="24"/>
        </w:rPr>
        <w:t>碳钢板</w:t>
      </w:r>
      <w:proofErr w:type="gramEnd"/>
      <w:r w:rsidRPr="000016B4">
        <w:rPr>
          <w:rFonts w:asciiTheme="minorEastAsia" w:eastAsiaTheme="minorEastAsia" w:hAnsiTheme="minorEastAsia" w:hint="eastAsia"/>
          <w:sz w:val="24"/>
        </w:rPr>
        <w:t>，为自岭澳二期项目开始的20多套机组提供Z2CN18-10、Z2CN19-10（控氮）、Z2CND17-12、Z2CND18-12（控氮）、P265GH、P295GH、P355等牌号钢板累计6000余吨，00Cr19Ni10、</w:t>
      </w:r>
      <w:r w:rsidRPr="000016B4">
        <w:rPr>
          <w:rFonts w:asciiTheme="minorEastAsia" w:eastAsiaTheme="minorEastAsia" w:hAnsiTheme="minorEastAsia" w:hint="eastAsia"/>
          <w:sz w:val="24"/>
        </w:rPr>
        <w:lastRenderedPageBreak/>
        <w:t>00Cr17Ni14Mo2等</w:t>
      </w:r>
      <w:proofErr w:type="gramStart"/>
      <w:r w:rsidRPr="000016B4">
        <w:rPr>
          <w:rFonts w:asciiTheme="minorEastAsia" w:eastAsiaTheme="minorEastAsia" w:hAnsiTheme="minorEastAsia" w:hint="eastAsia"/>
          <w:sz w:val="24"/>
        </w:rPr>
        <w:t>非核级不锈钢</w:t>
      </w:r>
      <w:proofErr w:type="gramEnd"/>
      <w:r w:rsidRPr="000016B4">
        <w:rPr>
          <w:rFonts w:asciiTheme="minorEastAsia" w:eastAsiaTheme="minorEastAsia" w:hAnsiTheme="minorEastAsia" w:hint="eastAsia"/>
          <w:sz w:val="24"/>
        </w:rPr>
        <w:t>板9000余吨。率先在国内实现RCC-M</w:t>
      </w:r>
      <w:proofErr w:type="gramStart"/>
      <w:r w:rsidRPr="000016B4">
        <w:rPr>
          <w:rFonts w:asciiTheme="minorEastAsia" w:eastAsiaTheme="minorEastAsia" w:hAnsiTheme="minorEastAsia" w:hint="eastAsia"/>
          <w:sz w:val="24"/>
        </w:rPr>
        <w:t>规范核级不锈钢</w:t>
      </w:r>
      <w:proofErr w:type="gramEnd"/>
      <w:r w:rsidRPr="000016B4">
        <w:rPr>
          <w:rFonts w:asciiTheme="minorEastAsia" w:eastAsiaTheme="minorEastAsia" w:hAnsiTheme="minorEastAsia" w:hint="eastAsia"/>
          <w:sz w:val="24"/>
        </w:rPr>
        <w:t>、碳钢材料的国产化，其中包括堆内构件、控制棒驱动控制机构、安注箱等核岛关键大型设备不锈钢材料的国产化，</w:t>
      </w:r>
      <w:proofErr w:type="gramStart"/>
      <w:r w:rsidRPr="000016B4">
        <w:rPr>
          <w:rFonts w:asciiTheme="minorEastAsia" w:eastAsiaTheme="minorEastAsia" w:hAnsiTheme="minorEastAsia" w:hint="eastAsia"/>
          <w:sz w:val="24"/>
        </w:rPr>
        <w:t>超宽核级奥氏体不锈钢</w:t>
      </w:r>
      <w:proofErr w:type="gramEnd"/>
      <w:r w:rsidRPr="000016B4">
        <w:rPr>
          <w:rFonts w:asciiTheme="minorEastAsia" w:eastAsiaTheme="minorEastAsia" w:hAnsiTheme="minorEastAsia" w:hint="eastAsia"/>
          <w:sz w:val="24"/>
        </w:rPr>
        <w:t>特厚板和宽幅、厚</w:t>
      </w:r>
      <w:proofErr w:type="gramStart"/>
      <w:r w:rsidRPr="000016B4">
        <w:rPr>
          <w:rFonts w:asciiTheme="minorEastAsia" w:eastAsiaTheme="minorEastAsia" w:hAnsiTheme="minorEastAsia" w:hint="eastAsia"/>
          <w:sz w:val="24"/>
        </w:rPr>
        <w:t>规格核级奥氏体不锈钢</w:t>
      </w:r>
      <w:proofErr w:type="gramEnd"/>
      <w:r w:rsidRPr="000016B4">
        <w:rPr>
          <w:rFonts w:asciiTheme="minorEastAsia" w:eastAsiaTheme="minorEastAsia" w:hAnsiTheme="minorEastAsia" w:hint="eastAsia"/>
          <w:sz w:val="24"/>
        </w:rPr>
        <w:t>冷轧板，填补了国内空白。</w:t>
      </w:r>
    </w:p>
    <w:p w:rsidR="001B10C4" w:rsidRPr="000016B4" w:rsidRDefault="00495E02"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2011年福岛事故后，为适应我国以AP1000为代表的三代核电项目的发展，</w:t>
      </w:r>
      <w:r w:rsidR="00161D9F" w:rsidRPr="000016B4">
        <w:rPr>
          <w:rFonts w:asciiTheme="minorEastAsia" w:eastAsiaTheme="minorEastAsia" w:hAnsiTheme="minorEastAsia" w:hint="eastAsia"/>
          <w:sz w:val="24"/>
        </w:rPr>
        <w:t>太钢</w:t>
      </w:r>
      <w:r w:rsidRPr="000016B4">
        <w:rPr>
          <w:rFonts w:asciiTheme="minorEastAsia" w:eastAsiaTheme="minorEastAsia" w:hAnsiTheme="minorEastAsia" w:hint="eastAsia"/>
          <w:sz w:val="24"/>
        </w:rPr>
        <w:t>按照ASME BPVC规范，生产CAP1000、CAP1400技术核电机组所需不锈钢材料。先后在国内率先实现了堆内构件用304/304H不锈钢板、燃料厂房及乏燃料水池模块用S32101不锈钢板、安注箱用304L+SA-533 B Cl.1复合钢板的国产化。</w:t>
      </w:r>
      <w:r w:rsidR="001B10C4" w:rsidRPr="000016B4">
        <w:rPr>
          <w:rFonts w:asciiTheme="minorEastAsia" w:eastAsiaTheme="minorEastAsia" w:hAnsiTheme="minorEastAsia" w:hint="eastAsia"/>
          <w:sz w:val="24"/>
        </w:rPr>
        <w:t>国际上首次采用热挤压的方式，生产出AP1000项目余热排出系统H型、W型型钢，成功替代了原有焊接工艺，大幅提高了设备安全性能。</w:t>
      </w:r>
    </w:p>
    <w:p w:rsidR="00495E02" w:rsidRPr="000016B4" w:rsidRDefault="00495E02"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太钢自2007年开始，进行了由国际上9个国家承担的国际热核试验堆——ITER计划用不锈钢材料的研制工作。先后完成我国承担该项目支撑包、CC包、FEEDER包等项目钢板、锻件</w:t>
      </w:r>
      <w:r w:rsidR="001B10C4" w:rsidRPr="000016B4">
        <w:rPr>
          <w:rFonts w:asciiTheme="minorEastAsia" w:eastAsiaTheme="minorEastAsia" w:hAnsiTheme="minorEastAsia" w:hint="eastAsia"/>
          <w:sz w:val="24"/>
        </w:rPr>
        <w:t>和</w:t>
      </w:r>
      <w:r w:rsidRPr="000016B4">
        <w:rPr>
          <w:rFonts w:asciiTheme="minorEastAsia" w:eastAsiaTheme="minorEastAsia" w:hAnsiTheme="minorEastAsia" w:hint="eastAsia"/>
          <w:sz w:val="24"/>
        </w:rPr>
        <w:t>“内方外圆”、“内圆外方”、C型</w:t>
      </w:r>
      <w:r w:rsidR="001B10C4" w:rsidRPr="000016B4">
        <w:rPr>
          <w:rFonts w:asciiTheme="minorEastAsia" w:eastAsiaTheme="minorEastAsia" w:hAnsiTheme="minorEastAsia" w:hint="eastAsia"/>
          <w:sz w:val="24"/>
        </w:rPr>
        <w:t>等型</w:t>
      </w:r>
      <w:r w:rsidRPr="000016B4">
        <w:rPr>
          <w:rFonts w:asciiTheme="minorEastAsia" w:eastAsiaTheme="minorEastAsia" w:hAnsiTheme="minorEastAsia" w:hint="eastAsia"/>
          <w:sz w:val="24"/>
        </w:rPr>
        <w:t>钢的研制，得到了ITER计划国际组织（IO）的认可</w:t>
      </w:r>
      <w:r w:rsidR="001B10C4" w:rsidRPr="000016B4">
        <w:rPr>
          <w:rFonts w:asciiTheme="minorEastAsia" w:eastAsiaTheme="minorEastAsia" w:hAnsiTheme="minorEastAsia" w:hint="eastAsia"/>
          <w:sz w:val="24"/>
        </w:rPr>
        <w:t>，取得了供货资质，实现了批量供货。</w:t>
      </w:r>
    </w:p>
    <w:p w:rsidR="001B10C4" w:rsidRPr="000016B4" w:rsidRDefault="001B10C4" w:rsidP="000016B4">
      <w:pPr>
        <w:spacing w:line="360" w:lineRule="auto"/>
        <w:ind w:firstLineChars="200" w:firstLine="480"/>
        <w:rPr>
          <w:rFonts w:asciiTheme="minorEastAsia" w:eastAsiaTheme="minorEastAsia" w:hAnsiTheme="minorEastAsia"/>
          <w:sz w:val="24"/>
        </w:rPr>
      </w:pPr>
      <w:r w:rsidRPr="000016B4">
        <w:rPr>
          <w:rFonts w:asciiTheme="minorEastAsia" w:eastAsiaTheme="minorEastAsia" w:hAnsiTheme="minorEastAsia" w:hint="eastAsia"/>
          <w:sz w:val="24"/>
        </w:rPr>
        <w:t>同时，太钢紧跟国内快堆发展步伐。2011年加入中国快堆联盟，作为理事单位，积极参与和推进我国快堆的发展。目前，我国</w:t>
      </w:r>
      <w:proofErr w:type="gramStart"/>
      <w:r w:rsidRPr="000016B4">
        <w:rPr>
          <w:rFonts w:asciiTheme="minorEastAsia" w:eastAsiaTheme="minorEastAsia" w:hAnsiTheme="minorEastAsia" w:hint="eastAsia"/>
          <w:sz w:val="24"/>
        </w:rPr>
        <w:t>首座钠冷快堆</w:t>
      </w:r>
      <w:proofErr w:type="gramEnd"/>
      <w:r w:rsidRPr="000016B4">
        <w:rPr>
          <w:rFonts w:asciiTheme="minorEastAsia" w:eastAsiaTheme="minorEastAsia" w:hAnsiTheme="minorEastAsia" w:hint="eastAsia"/>
          <w:sz w:val="24"/>
        </w:rPr>
        <w:t>示范堆—CFR600在福建霞浦开工建设，</w:t>
      </w:r>
      <w:r w:rsidR="00161D9F" w:rsidRPr="000016B4">
        <w:rPr>
          <w:rFonts w:asciiTheme="minorEastAsia" w:eastAsiaTheme="minorEastAsia" w:hAnsiTheme="minorEastAsia" w:hint="eastAsia"/>
          <w:sz w:val="24"/>
        </w:rPr>
        <w:t>太钢</w:t>
      </w:r>
      <w:r w:rsidRPr="000016B4">
        <w:rPr>
          <w:rFonts w:asciiTheme="minorEastAsia" w:eastAsiaTheme="minorEastAsia" w:hAnsiTheme="minorEastAsia" w:hint="eastAsia"/>
          <w:sz w:val="24"/>
        </w:rPr>
        <w:t>突破了堆容器、堆内构件用316H钢板制造关键技术，产品及其制造技术水平处于国际领先水平。</w:t>
      </w:r>
      <w:bookmarkStart w:id="0" w:name="_GoBack"/>
      <w:bookmarkEnd w:id="0"/>
    </w:p>
    <w:sectPr w:rsidR="001B10C4" w:rsidRPr="000016B4" w:rsidSect="004449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32C" w:rsidRDefault="0034432C" w:rsidP="00161D9F">
      <w:r>
        <w:separator/>
      </w:r>
    </w:p>
  </w:endnote>
  <w:endnote w:type="continuationSeparator" w:id="0">
    <w:p w:rsidR="0034432C" w:rsidRDefault="0034432C" w:rsidP="00161D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32C" w:rsidRDefault="0034432C" w:rsidP="00161D9F">
      <w:r>
        <w:separator/>
      </w:r>
    </w:p>
  </w:footnote>
  <w:footnote w:type="continuationSeparator" w:id="0">
    <w:p w:rsidR="0034432C" w:rsidRDefault="0034432C" w:rsidP="00161D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4F2D"/>
    <w:rsid w:val="000016B4"/>
    <w:rsid w:val="00161D9F"/>
    <w:rsid w:val="001B10C4"/>
    <w:rsid w:val="001C563E"/>
    <w:rsid w:val="001F512D"/>
    <w:rsid w:val="001F6061"/>
    <w:rsid w:val="0034432C"/>
    <w:rsid w:val="0044497B"/>
    <w:rsid w:val="0046114B"/>
    <w:rsid w:val="00473E3C"/>
    <w:rsid w:val="00482C4E"/>
    <w:rsid w:val="00495E02"/>
    <w:rsid w:val="005729D7"/>
    <w:rsid w:val="00A24F2D"/>
    <w:rsid w:val="00E85EFC"/>
    <w:rsid w:val="00ED12F5"/>
    <w:rsid w:val="00FE76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F2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24F2D"/>
    <w:rPr>
      <w:sz w:val="18"/>
      <w:szCs w:val="18"/>
    </w:rPr>
  </w:style>
  <w:style w:type="character" w:customStyle="1" w:styleId="Char">
    <w:name w:val="批注框文本 Char"/>
    <w:basedOn w:val="a0"/>
    <w:link w:val="a3"/>
    <w:uiPriority w:val="99"/>
    <w:semiHidden/>
    <w:rsid w:val="00A24F2D"/>
    <w:rPr>
      <w:rFonts w:ascii="Times New Roman" w:eastAsia="宋体" w:hAnsi="Times New Roman" w:cs="Times New Roman"/>
      <w:sz w:val="18"/>
      <w:szCs w:val="18"/>
    </w:rPr>
  </w:style>
  <w:style w:type="paragraph" w:styleId="a4">
    <w:name w:val="header"/>
    <w:basedOn w:val="a"/>
    <w:link w:val="Char0"/>
    <w:uiPriority w:val="99"/>
    <w:unhideWhenUsed/>
    <w:rsid w:val="00161D9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161D9F"/>
    <w:rPr>
      <w:rFonts w:ascii="Times New Roman" w:eastAsia="宋体" w:hAnsi="Times New Roman" w:cs="Times New Roman"/>
      <w:sz w:val="18"/>
      <w:szCs w:val="18"/>
    </w:rPr>
  </w:style>
  <w:style w:type="paragraph" w:styleId="a5">
    <w:name w:val="footer"/>
    <w:basedOn w:val="a"/>
    <w:link w:val="Char1"/>
    <w:uiPriority w:val="99"/>
    <w:unhideWhenUsed/>
    <w:rsid w:val="00161D9F"/>
    <w:pPr>
      <w:tabs>
        <w:tab w:val="center" w:pos="4153"/>
        <w:tab w:val="right" w:pos="8306"/>
      </w:tabs>
      <w:snapToGrid w:val="0"/>
      <w:jc w:val="left"/>
    </w:pPr>
    <w:rPr>
      <w:sz w:val="18"/>
      <w:szCs w:val="18"/>
    </w:rPr>
  </w:style>
  <w:style w:type="character" w:customStyle="1" w:styleId="Char1">
    <w:name w:val="页脚 Char"/>
    <w:basedOn w:val="a0"/>
    <w:link w:val="a5"/>
    <w:uiPriority w:val="99"/>
    <w:rsid w:val="00161D9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439645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214</Words>
  <Characters>1223</Characters>
  <Application>Microsoft Office Word</Application>
  <DocSecurity>0</DocSecurity>
  <Lines>10</Lines>
  <Paragraphs>2</Paragraphs>
  <ScaleCrop>false</ScaleCrop>
  <Company>Lenovo</Company>
  <LinksUpToDate>false</LinksUpToDate>
  <CharactersWithSpaces>1435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庄迎</dc:creator>
  <cp:lastModifiedBy>武滨</cp:lastModifiedBy>
  <cp:revision>6</cp:revision>
  <dcterms:created xsi:type="dcterms:W3CDTF">2019-02-15T00:45:00Z</dcterms:created>
  <dcterms:modified xsi:type="dcterms:W3CDTF">2019-02-18T07:40:00Z</dcterms:modified>
</cp:coreProperties>
</file>