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B06" w:rsidRPr="00425B06" w:rsidRDefault="00425B06" w:rsidP="00425B06">
      <w:pPr>
        <w:jc w:val="center"/>
        <w:rPr>
          <w:b/>
          <w:sz w:val="28"/>
          <w:szCs w:val="28"/>
        </w:rPr>
      </w:pPr>
      <w:r w:rsidRPr="00425B06">
        <w:rPr>
          <w:rFonts w:cs="宋体" w:hint="eastAsia"/>
          <w:b/>
          <w:sz w:val="28"/>
          <w:szCs w:val="28"/>
        </w:rPr>
        <w:t>山西太钢不锈钢股份有限</w:t>
      </w:r>
      <w:r w:rsidRPr="00425B06">
        <w:rPr>
          <w:rFonts w:hint="eastAsia"/>
          <w:b/>
          <w:sz w:val="28"/>
          <w:szCs w:val="28"/>
        </w:rPr>
        <w:t>公司</w:t>
      </w:r>
    </w:p>
    <w:p w:rsidR="00425B06" w:rsidRPr="00425B06" w:rsidRDefault="00425B06" w:rsidP="00425B06">
      <w:pPr>
        <w:jc w:val="center"/>
        <w:rPr>
          <w:b/>
          <w:sz w:val="28"/>
          <w:szCs w:val="28"/>
        </w:rPr>
      </w:pPr>
      <w:r w:rsidRPr="00425B06">
        <w:rPr>
          <w:b/>
          <w:sz w:val="28"/>
          <w:szCs w:val="28"/>
        </w:rPr>
        <w:t>20</w:t>
      </w:r>
      <w:r w:rsidRPr="00425B06"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8</w:t>
      </w:r>
      <w:r w:rsidRPr="00425B06">
        <w:rPr>
          <w:rFonts w:hint="eastAsia"/>
          <w:b/>
          <w:sz w:val="28"/>
          <w:szCs w:val="28"/>
        </w:rPr>
        <w:t>年三季度</w:t>
      </w:r>
      <w:r w:rsidRPr="00425B06">
        <w:rPr>
          <w:rFonts w:cs="宋体" w:hint="eastAsia"/>
          <w:b/>
          <w:sz w:val="28"/>
          <w:szCs w:val="28"/>
        </w:rPr>
        <w:t>报告</w:t>
      </w:r>
      <w:proofErr w:type="gramStart"/>
      <w:r w:rsidRPr="00425B06">
        <w:rPr>
          <w:rFonts w:cs="宋体" w:hint="eastAsia"/>
          <w:b/>
          <w:sz w:val="28"/>
          <w:szCs w:val="28"/>
        </w:rPr>
        <w:t>期末利润</w:t>
      </w:r>
      <w:proofErr w:type="gramEnd"/>
      <w:r w:rsidRPr="00425B06">
        <w:rPr>
          <w:rFonts w:cs="宋体" w:hint="eastAsia"/>
          <w:b/>
          <w:sz w:val="28"/>
          <w:szCs w:val="28"/>
        </w:rPr>
        <w:t>表及</w:t>
      </w:r>
      <w:r w:rsidRPr="00425B06">
        <w:rPr>
          <w:rFonts w:hint="eastAsia"/>
          <w:b/>
          <w:sz w:val="28"/>
          <w:szCs w:val="28"/>
        </w:rPr>
        <w:t>现金流量表</w:t>
      </w:r>
    </w:p>
    <w:p w:rsidR="00425B06" w:rsidRPr="00425B06" w:rsidRDefault="00425B06" w:rsidP="00425B06">
      <w:pPr>
        <w:jc w:val="center"/>
        <w:rPr>
          <w:b/>
          <w:sz w:val="24"/>
          <w:szCs w:val="24"/>
        </w:rPr>
      </w:pPr>
    </w:p>
    <w:p w:rsidR="00425B06" w:rsidRDefault="00425B06" w:rsidP="00425B06">
      <w:pPr>
        <w:jc w:val="center"/>
        <w:rPr>
          <w:b/>
          <w:sz w:val="24"/>
          <w:szCs w:val="24"/>
        </w:rPr>
      </w:pPr>
      <w:r w:rsidRPr="00425B06">
        <w:rPr>
          <w:rFonts w:hint="eastAsia"/>
          <w:b/>
          <w:sz w:val="24"/>
          <w:szCs w:val="24"/>
        </w:rPr>
        <w:t>合并利润表</w:t>
      </w:r>
    </w:p>
    <w:p w:rsidR="00425B06" w:rsidRPr="00211BCB" w:rsidRDefault="00425B06" w:rsidP="00425B06">
      <w:pPr>
        <w:jc w:val="left"/>
        <w:rPr>
          <w:rFonts w:ascii="宋体"/>
          <w:szCs w:val="24"/>
        </w:rPr>
      </w:pPr>
      <w:r>
        <w:rPr>
          <w:rFonts w:cs="宋体" w:hint="eastAsia"/>
        </w:rPr>
        <w:t>编制单位：山西太钢不锈钢股份有限公司</w:t>
      </w:r>
      <w:r>
        <w:t xml:space="preserve">                201</w:t>
      </w:r>
      <w:r>
        <w:rPr>
          <w:rFonts w:hint="eastAsia"/>
        </w:rPr>
        <w:t>8</w:t>
      </w:r>
      <w:r>
        <w:rPr>
          <w:rFonts w:cs="宋体" w:hint="eastAsia"/>
        </w:rPr>
        <w:t>年</w:t>
      </w:r>
      <w:r>
        <w:t>1-9</w:t>
      </w:r>
      <w:r>
        <w:rPr>
          <w:rFonts w:cs="宋体" w:hint="eastAsia"/>
        </w:rPr>
        <w:t>月</w:t>
      </w:r>
      <w:r>
        <w:rPr>
          <w:rFonts w:cs="宋体" w:hint="eastAsia"/>
        </w:rPr>
        <w:t xml:space="preserve">                  </w:t>
      </w:r>
      <w:r w:rsidRPr="00211BCB">
        <w:rPr>
          <w:rFonts w:ascii="宋体" w:hAnsi="宋体" w:hint="eastAsia"/>
          <w:szCs w:val="24"/>
        </w:rPr>
        <w:t>单位：元</w:t>
      </w:r>
    </w:p>
    <w:tbl>
      <w:tblPr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794"/>
        <w:gridCol w:w="1784"/>
        <w:gridCol w:w="1784"/>
      </w:tblGrid>
      <w:tr w:rsidR="00425B06" w:rsidRPr="00211BCB" w:rsidTr="00A201CB">
        <w:trPr>
          <w:tblHeader/>
        </w:trPr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center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>项目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center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>本期发生额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center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>上期发生额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>一、营业总收入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18,295,771,488.36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17,172,166,543.20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其中：营业收入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18,295,771,488.36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17,172,166,543.20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利息收入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已赚保费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手续费及佣金收入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>二、营业总成本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17,023,098,560.76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15,770,842,355.33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其中：营业成本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15,467,726,802.78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14,296,289,936.51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利息支出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手续费及佣金支出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退保金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赔付支出净额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提取保险合同准备金净额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保单红利支出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分保费用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税金及附加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120,904,056.67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135,325,306.18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销售费用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404,367,703.19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407,549,523.50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管理费用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135,808,073.25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144,423,870.13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研发费用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631,392,624.15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478,477,081.53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财务费用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262,899,300.72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308,776,637.48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　其中：利息费用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284,185,558.19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304,277,532.83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　　　　利息收入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18,075,320.64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9,487,936.51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资产减值损失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加：其他收益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3,969,231.76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3,455,375.80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投资收益（损失以</w:t>
            </w:r>
            <w:r w:rsidRPr="00211BCB">
              <w:rPr>
                <w:rFonts w:ascii="宋体" w:hint="eastAsia"/>
                <w:szCs w:val="24"/>
              </w:rPr>
              <w:t>“</w:t>
            </w:r>
            <w:r w:rsidRPr="00211BCB">
              <w:rPr>
                <w:rFonts w:ascii="宋体" w:hAnsi="宋体" w:hint="eastAsia"/>
                <w:szCs w:val="24"/>
              </w:rPr>
              <w:t>－</w:t>
            </w:r>
            <w:r w:rsidRPr="00211BCB">
              <w:rPr>
                <w:rFonts w:ascii="宋体" w:hint="eastAsia"/>
                <w:szCs w:val="24"/>
              </w:rPr>
              <w:t>”</w:t>
            </w:r>
            <w:r w:rsidRPr="00211BCB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25,285,203.52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-18,698,658.59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其中：对联营企业和合营企业的投资收益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29,945,203.52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24,685,266.51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公允价值变动收益（损失以</w:t>
            </w:r>
            <w:r w:rsidRPr="00211BCB">
              <w:rPr>
                <w:rFonts w:ascii="宋体" w:hint="eastAsia"/>
                <w:szCs w:val="24"/>
              </w:rPr>
              <w:t>“</w:t>
            </w:r>
            <w:r w:rsidRPr="00211BCB">
              <w:rPr>
                <w:rFonts w:ascii="宋体" w:hAnsi="宋体" w:hint="eastAsia"/>
                <w:szCs w:val="24"/>
              </w:rPr>
              <w:t>－</w:t>
            </w:r>
            <w:r w:rsidRPr="00211BCB">
              <w:rPr>
                <w:rFonts w:ascii="宋体" w:hint="eastAsia"/>
                <w:szCs w:val="24"/>
              </w:rPr>
              <w:t>”</w:t>
            </w:r>
            <w:r w:rsidRPr="00211BCB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10,891,798.99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汇兑收益（损失以</w:t>
            </w:r>
            <w:r w:rsidRPr="00211BCB">
              <w:rPr>
                <w:rFonts w:ascii="宋体" w:hint="eastAsia"/>
                <w:szCs w:val="24"/>
              </w:rPr>
              <w:t>“</w:t>
            </w:r>
            <w:r w:rsidRPr="00211BCB">
              <w:rPr>
                <w:rFonts w:ascii="宋体"/>
                <w:szCs w:val="24"/>
              </w:rPr>
              <w:t>-</w:t>
            </w:r>
            <w:r w:rsidRPr="00211BCB">
              <w:rPr>
                <w:rFonts w:ascii="宋体" w:hint="eastAsia"/>
                <w:szCs w:val="24"/>
              </w:rPr>
              <w:t>”</w:t>
            </w:r>
            <w:r w:rsidRPr="00211BCB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lastRenderedPageBreak/>
              <w:t xml:space="preserve">　　　　资产处置收益（损失以</w:t>
            </w:r>
            <w:r w:rsidRPr="00211BCB">
              <w:rPr>
                <w:rFonts w:ascii="宋体" w:hint="eastAsia"/>
                <w:szCs w:val="24"/>
              </w:rPr>
              <w:t>“</w:t>
            </w:r>
            <w:r w:rsidRPr="00211BCB">
              <w:rPr>
                <w:rFonts w:ascii="宋体"/>
                <w:szCs w:val="24"/>
              </w:rPr>
              <w:t>-</w:t>
            </w:r>
            <w:r w:rsidRPr="00211BCB">
              <w:rPr>
                <w:rFonts w:ascii="宋体" w:hint="eastAsia"/>
                <w:szCs w:val="24"/>
              </w:rPr>
              <w:t>”</w:t>
            </w:r>
            <w:r w:rsidRPr="00211BCB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69,500.00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>三、营业利润（亏损以</w:t>
            </w:r>
            <w:r w:rsidRPr="00211BCB">
              <w:rPr>
                <w:rFonts w:ascii="宋体" w:hint="eastAsia"/>
                <w:szCs w:val="24"/>
              </w:rPr>
              <w:t>“</w:t>
            </w:r>
            <w:r w:rsidRPr="00211BCB">
              <w:rPr>
                <w:rFonts w:ascii="宋体" w:hAnsi="宋体" w:hint="eastAsia"/>
                <w:szCs w:val="24"/>
              </w:rPr>
              <w:t>－</w:t>
            </w:r>
            <w:r w:rsidRPr="00211BCB">
              <w:rPr>
                <w:rFonts w:ascii="宋体" w:hint="eastAsia"/>
                <w:szCs w:val="24"/>
              </w:rPr>
              <w:t>”</w:t>
            </w:r>
            <w:r w:rsidRPr="00211BCB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1,301,996,862.88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1,396,972,704.07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加：营业外收入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3,362,126.53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2,769,841.30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减：营业外支出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1,459,777.03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6,254,037.31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>四、利润总额（亏损总额以</w:t>
            </w:r>
            <w:r w:rsidRPr="00211BCB">
              <w:rPr>
                <w:rFonts w:ascii="宋体" w:hint="eastAsia"/>
                <w:szCs w:val="24"/>
              </w:rPr>
              <w:t>“</w:t>
            </w:r>
            <w:r w:rsidRPr="00211BCB">
              <w:rPr>
                <w:rFonts w:ascii="宋体" w:hAnsi="宋体" w:hint="eastAsia"/>
                <w:szCs w:val="24"/>
              </w:rPr>
              <w:t>－</w:t>
            </w:r>
            <w:r w:rsidRPr="00211BCB">
              <w:rPr>
                <w:rFonts w:ascii="宋体" w:hint="eastAsia"/>
                <w:szCs w:val="24"/>
              </w:rPr>
              <w:t>”</w:t>
            </w:r>
            <w:r w:rsidRPr="00211BCB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1,303,899,212.38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1,393,488,508.06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减：所得税费用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91,658,194.31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4,535,362.69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>五、净利润（净亏损以</w:t>
            </w:r>
            <w:r w:rsidRPr="00211BCB">
              <w:rPr>
                <w:rFonts w:ascii="宋体" w:hint="eastAsia"/>
                <w:szCs w:val="24"/>
              </w:rPr>
              <w:t>“</w:t>
            </w:r>
            <w:r w:rsidRPr="00211BCB">
              <w:rPr>
                <w:rFonts w:ascii="宋体" w:hAnsi="宋体" w:hint="eastAsia"/>
                <w:szCs w:val="24"/>
              </w:rPr>
              <w:t>－</w:t>
            </w:r>
            <w:r w:rsidRPr="00211BCB">
              <w:rPr>
                <w:rFonts w:ascii="宋体" w:hint="eastAsia"/>
                <w:szCs w:val="24"/>
              </w:rPr>
              <w:t>”</w:t>
            </w:r>
            <w:r w:rsidRPr="00211BCB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1,212,241,018.07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1,388,953,145.37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（一）持续经营净利润（净亏损以</w:t>
            </w:r>
            <w:r w:rsidRPr="00211BCB">
              <w:rPr>
                <w:rFonts w:ascii="宋体" w:hint="eastAsia"/>
                <w:szCs w:val="24"/>
              </w:rPr>
              <w:t>“</w:t>
            </w:r>
            <w:r w:rsidRPr="00211BCB">
              <w:rPr>
                <w:rFonts w:ascii="宋体" w:hAnsi="宋体" w:hint="eastAsia"/>
                <w:szCs w:val="24"/>
              </w:rPr>
              <w:t>－</w:t>
            </w:r>
            <w:r w:rsidRPr="00211BCB">
              <w:rPr>
                <w:rFonts w:ascii="宋体" w:hint="eastAsia"/>
                <w:szCs w:val="24"/>
              </w:rPr>
              <w:t>”</w:t>
            </w:r>
            <w:r w:rsidRPr="00211BCB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1,212,241,018.07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1,388,953,145.37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（二）终止经营净利润（净亏损以</w:t>
            </w:r>
            <w:r w:rsidRPr="00211BCB">
              <w:rPr>
                <w:rFonts w:ascii="宋体" w:hint="eastAsia"/>
                <w:szCs w:val="24"/>
              </w:rPr>
              <w:t>“</w:t>
            </w:r>
            <w:r w:rsidRPr="00211BCB">
              <w:rPr>
                <w:rFonts w:ascii="宋体" w:hAnsi="宋体" w:hint="eastAsia"/>
                <w:szCs w:val="24"/>
              </w:rPr>
              <w:t>－</w:t>
            </w:r>
            <w:r w:rsidRPr="00211BCB">
              <w:rPr>
                <w:rFonts w:ascii="宋体" w:hint="eastAsia"/>
                <w:szCs w:val="24"/>
              </w:rPr>
              <w:t>”</w:t>
            </w:r>
            <w:r w:rsidRPr="00211BCB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归属于母公司所有者的净利润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1,225,005,958.98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1,417,740,553.60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少数股东损益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-12,764,940.91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-28,787,408.23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>六、其他综合收益的税后净额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24,884,684.74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21,409,369.70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归属母公司所有者的其他综合收益的税后净额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24,884,684.74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21,409,369.70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（一）不能重分类进损益的其他综合收益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</w:t>
            </w:r>
            <w:r w:rsidRPr="00211BCB">
              <w:rPr>
                <w:rFonts w:ascii="宋体" w:hAnsi="宋体"/>
                <w:szCs w:val="24"/>
              </w:rPr>
              <w:t>1.</w:t>
            </w:r>
            <w:r w:rsidRPr="00211BCB">
              <w:rPr>
                <w:rFonts w:ascii="宋体" w:hAnsi="宋体" w:hint="eastAsia"/>
                <w:szCs w:val="24"/>
              </w:rPr>
              <w:t>重新计量设定受益计划变动额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</w:t>
            </w:r>
            <w:r w:rsidRPr="00211BCB">
              <w:rPr>
                <w:rFonts w:ascii="宋体" w:hAnsi="宋体"/>
                <w:szCs w:val="24"/>
              </w:rPr>
              <w:t>2.</w:t>
            </w:r>
            <w:r w:rsidRPr="00211BCB">
              <w:rPr>
                <w:rFonts w:ascii="宋体" w:hAnsi="宋体" w:hint="eastAsia"/>
                <w:szCs w:val="24"/>
              </w:rPr>
              <w:t>权益法下不能转损益的其他综合收益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（二）将重分类进损益的其他综合收益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24,884,684.74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21,409,369.70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</w:t>
            </w:r>
            <w:r w:rsidRPr="00211BCB">
              <w:rPr>
                <w:rFonts w:ascii="宋体" w:hAnsi="宋体"/>
                <w:szCs w:val="24"/>
              </w:rPr>
              <w:t>1.</w:t>
            </w:r>
            <w:r w:rsidRPr="00211BCB">
              <w:rPr>
                <w:rFonts w:ascii="宋体" w:hAnsi="宋体" w:hint="eastAsia"/>
                <w:szCs w:val="24"/>
              </w:rPr>
              <w:t>权益法下可转损益的其他综合收益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</w:t>
            </w:r>
            <w:r w:rsidRPr="00211BCB">
              <w:rPr>
                <w:rFonts w:ascii="宋体" w:hAnsi="宋体"/>
                <w:szCs w:val="24"/>
              </w:rPr>
              <w:t>2.</w:t>
            </w:r>
            <w:r w:rsidRPr="00211BCB">
              <w:rPr>
                <w:rFonts w:ascii="宋体" w:hAnsi="宋体" w:hint="eastAsia"/>
                <w:szCs w:val="24"/>
              </w:rPr>
              <w:t>可供出售金融资产公允价值变动损益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26,220,426.25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28,587,607.00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</w:t>
            </w:r>
            <w:r w:rsidRPr="00211BCB">
              <w:rPr>
                <w:rFonts w:ascii="宋体" w:hAnsi="宋体"/>
                <w:szCs w:val="24"/>
              </w:rPr>
              <w:t>3.</w:t>
            </w:r>
            <w:r w:rsidRPr="00211BCB">
              <w:rPr>
                <w:rFonts w:ascii="宋体" w:hAnsi="宋体" w:hint="eastAsia"/>
                <w:szCs w:val="24"/>
              </w:rPr>
              <w:t>持有至到期</w:t>
            </w:r>
            <w:proofErr w:type="gramStart"/>
            <w:r w:rsidRPr="00211BCB">
              <w:rPr>
                <w:rFonts w:ascii="宋体" w:hAnsi="宋体" w:hint="eastAsia"/>
                <w:szCs w:val="24"/>
              </w:rPr>
              <w:t>投资重</w:t>
            </w:r>
            <w:proofErr w:type="gramEnd"/>
            <w:r w:rsidRPr="00211BCB">
              <w:rPr>
                <w:rFonts w:ascii="宋体" w:hAnsi="宋体" w:hint="eastAsia"/>
                <w:szCs w:val="24"/>
              </w:rPr>
              <w:t>分类为可供出售金融资产损益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</w:t>
            </w:r>
            <w:r w:rsidRPr="00211BCB">
              <w:rPr>
                <w:rFonts w:ascii="宋体" w:hAnsi="宋体"/>
                <w:szCs w:val="24"/>
              </w:rPr>
              <w:t>4.</w:t>
            </w:r>
            <w:r w:rsidRPr="00211BCB">
              <w:rPr>
                <w:rFonts w:ascii="宋体" w:hAnsi="宋体" w:hint="eastAsia"/>
                <w:szCs w:val="24"/>
              </w:rPr>
              <w:t>现金流量套期损益的有效部分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-2,007,550.00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-1,182,140.00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</w:t>
            </w:r>
            <w:r w:rsidRPr="00211BCB">
              <w:rPr>
                <w:rFonts w:ascii="宋体" w:hAnsi="宋体"/>
                <w:szCs w:val="24"/>
              </w:rPr>
              <w:t>5.</w:t>
            </w:r>
            <w:r w:rsidRPr="00211BCB">
              <w:rPr>
                <w:rFonts w:ascii="宋体" w:hAnsi="宋体" w:hint="eastAsia"/>
                <w:szCs w:val="24"/>
              </w:rPr>
              <w:t>外币财务报表折算差额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671,808.49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-5,996,097.30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　　　</w:t>
            </w:r>
            <w:r w:rsidRPr="00211BCB">
              <w:rPr>
                <w:rFonts w:ascii="宋体" w:hAnsi="宋体"/>
                <w:szCs w:val="24"/>
              </w:rPr>
              <w:t>6.</w:t>
            </w:r>
            <w:r w:rsidRPr="00211BCB">
              <w:rPr>
                <w:rFonts w:ascii="宋体" w:hAnsi="宋体" w:hint="eastAsia"/>
                <w:szCs w:val="24"/>
              </w:rPr>
              <w:t>其他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归属于少数股东的其他综合收益的税后净额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>七、综合收益总额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1,237,125,702.81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1,410,362,515.07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归属于母公司所有者的综合收益总额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1,249,890,643.72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1,439,149,923.30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归属于少数股东的综合收益总额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-12,764,940.91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-28,787,408.23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>八、每股收益：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（一）基本每股收益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0.215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0.249</w:t>
            </w:r>
          </w:p>
        </w:tc>
      </w:tr>
      <w:tr w:rsidR="00425B06" w:rsidRPr="00211BCB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211BCB" w:rsidRDefault="00425B06" w:rsidP="00A201CB">
            <w:pPr>
              <w:jc w:val="left"/>
              <w:rPr>
                <w:rFonts w:ascii="宋体"/>
                <w:szCs w:val="24"/>
              </w:rPr>
            </w:pPr>
            <w:r w:rsidRPr="00211BCB">
              <w:rPr>
                <w:rFonts w:ascii="宋体" w:hAnsi="宋体" w:hint="eastAsia"/>
                <w:szCs w:val="24"/>
              </w:rPr>
              <w:t xml:space="preserve">　　（二）稀释每股收益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0.215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211BCB" w:rsidRDefault="00425B06" w:rsidP="00A201CB">
            <w:pPr>
              <w:jc w:val="right"/>
              <w:rPr>
                <w:rFonts w:ascii="宋体" w:hAnsi="宋体"/>
                <w:szCs w:val="24"/>
              </w:rPr>
            </w:pPr>
            <w:r w:rsidRPr="00211BCB">
              <w:rPr>
                <w:rFonts w:ascii="宋体" w:hAnsi="宋体"/>
                <w:szCs w:val="24"/>
              </w:rPr>
              <w:t>0.249</w:t>
            </w:r>
          </w:p>
        </w:tc>
      </w:tr>
    </w:tbl>
    <w:p w:rsidR="00425B06" w:rsidRPr="00211BCB" w:rsidRDefault="00425B06" w:rsidP="00425B06">
      <w:pPr>
        <w:spacing w:before="300"/>
        <w:rPr>
          <w:rFonts w:ascii="宋体"/>
          <w:szCs w:val="24"/>
        </w:rPr>
      </w:pPr>
    </w:p>
    <w:p w:rsidR="00180340" w:rsidRDefault="00180340"/>
    <w:p w:rsidR="00425B06" w:rsidRPr="00425B06" w:rsidRDefault="00425B06" w:rsidP="00425B06">
      <w:pPr>
        <w:keepNext/>
        <w:keepLines/>
        <w:spacing w:before="300" w:after="300" w:line="241" w:lineRule="auto"/>
        <w:jc w:val="center"/>
        <w:outlineLvl w:val="2"/>
        <w:rPr>
          <w:rFonts w:ascii="宋体"/>
          <w:b/>
          <w:kern w:val="28"/>
          <w:sz w:val="21"/>
          <w:szCs w:val="24"/>
        </w:rPr>
      </w:pPr>
      <w:r w:rsidRPr="00425B06">
        <w:rPr>
          <w:rFonts w:ascii="宋体" w:hAnsi="宋体" w:hint="eastAsia"/>
          <w:b/>
          <w:kern w:val="28"/>
          <w:sz w:val="21"/>
          <w:szCs w:val="24"/>
        </w:rPr>
        <w:lastRenderedPageBreak/>
        <w:t>母公司本报告期利润表</w:t>
      </w:r>
    </w:p>
    <w:p w:rsidR="00425B06" w:rsidRPr="00425B06" w:rsidRDefault="00425B06" w:rsidP="00425B06">
      <w:pPr>
        <w:jc w:val="right"/>
        <w:rPr>
          <w:rFonts w:ascii="宋体"/>
          <w:szCs w:val="24"/>
        </w:rPr>
      </w:pPr>
      <w:r w:rsidRPr="00425B06">
        <w:rPr>
          <w:rFonts w:ascii="宋体" w:hAnsi="宋体" w:hint="eastAsia"/>
          <w:szCs w:val="24"/>
        </w:rPr>
        <w:t>单位：元</w:t>
      </w: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795"/>
        <w:gridCol w:w="1784"/>
        <w:gridCol w:w="1783"/>
      </w:tblGrid>
      <w:tr w:rsidR="00425B06" w:rsidRPr="00425B06" w:rsidTr="00FF68B5">
        <w:trPr>
          <w:tblHeader/>
        </w:trPr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center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项目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center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本期发生额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center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上期发生额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一、营业收入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17,934,283,950.06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16,992,083,281.00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减：营业成本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15,186,397,784.19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14,172,679,579.63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税金及附加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111,247,614.18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120,902,321.97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销售费用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353,855,236.61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362,424,228.65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管理费用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126,028,364.33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132,744,578.17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研发费用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631,392,624.15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478,477,081.53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财务费用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248,400,016.24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298,919,521.40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　其中：利息费用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271,015,610.81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277,945,210.17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　　　　利息收入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17,096,453.47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7,875,073.91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资产减值损失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加：其他收益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3,430,416.76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2,951,469.73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投资收益（损失以</w:t>
            </w:r>
            <w:r w:rsidRPr="00425B06">
              <w:rPr>
                <w:rFonts w:ascii="宋体" w:hint="eastAsia"/>
                <w:szCs w:val="24"/>
              </w:rPr>
              <w:t>“</w:t>
            </w:r>
            <w:r w:rsidRPr="00425B06">
              <w:rPr>
                <w:rFonts w:ascii="宋体" w:hAnsi="宋体" w:hint="eastAsia"/>
                <w:szCs w:val="24"/>
              </w:rPr>
              <w:t>－</w:t>
            </w:r>
            <w:r w:rsidRPr="00425B06">
              <w:rPr>
                <w:rFonts w:ascii="宋体" w:hint="eastAsia"/>
                <w:szCs w:val="24"/>
              </w:rPr>
              <w:t>”</w:t>
            </w:r>
            <w:r w:rsidRPr="00425B06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25,285,203.52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-18,698,658.59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其中：对联营企业和合营企业的投资收益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29,945,203.52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24,685,266.51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公允价值变动收益（损失以</w:t>
            </w:r>
            <w:r w:rsidRPr="00425B06">
              <w:rPr>
                <w:rFonts w:ascii="宋体" w:hint="eastAsia"/>
                <w:szCs w:val="24"/>
              </w:rPr>
              <w:t>“</w:t>
            </w:r>
            <w:r w:rsidRPr="00425B06">
              <w:rPr>
                <w:rFonts w:ascii="宋体" w:hAnsi="宋体" w:hint="eastAsia"/>
                <w:szCs w:val="24"/>
              </w:rPr>
              <w:t>－</w:t>
            </w:r>
            <w:r w:rsidRPr="00425B06">
              <w:rPr>
                <w:rFonts w:ascii="宋体" w:hint="eastAsia"/>
                <w:szCs w:val="24"/>
              </w:rPr>
              <w:t>”</w:t>
            </w:r>
            <w:r w:rsidRPr="00425B06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10,891,798.99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资产处置收益（损失以</w:t>
            </w:r>
            <w:r w:rsidRPr="00425B06">
              <w:rPr>
                <w:rFonts w:ascii="宋体" w:hint="eastAsia"/>
                <w:szCs w:val="24"/>
              </w:rPr>
              <w:t>“</w:t>
            </w:r>
            <w:r w:rsidRPr="00425B06">
              <w:rPr>
                <w:rFonts w:ascii="宋体"/>
                <w:szCs w:val="24"/>
              </w:rPr>
              <w:t>-</w:t>
            </w:r>
            <w:r w:rsidRPr="00425B06">
              <w:rPr>
                <w:rFonts w:ascii="宋体" w:hint="eastAsia"/>
                <w:szCs w:val="24"/>
              </w:rPr>
              <w:t>”</w:t>
            </w:r>
            <w:r w:rsidRPr="00425B06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69,500.00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二、营业利润（亏损以</w:t>
            </w:r>
            <w:r w:rsidRPr="00425B06">
              <w:rPr>
                <w:rFonts w:ascii="宋体" w:hint="eastAsia"/>
                <w:szCs w:val="24"/>
              </w:rPr>
              <w:t>“</w:t>
            </w:r>
            <w:r w:rsidRPr="00425B06">
              <w:rPr>
                <w:rFonts w:ascii="宋体" w:hAnsi="宋体" w:hint="eastAsia"/>
                <w:szCs w:val="24"/>
              </w:rPr>
              <w:t>－</w:t>
            </w:r>
            <w:r w:rsidRPr="00425B06">
              <w:rPr>
                <w:rFonts w:ascii="宋体" w:hint="eastAsia"/>
                <w:szCs w:val="24"/>
              </w:rPr>
              <w:t>”</w:t>
            </w:r>
            <w:r w:rsidRPr="00425B06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1,305,747,430.64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1,421,080,579.78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加：营业外收入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3,291,315.97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2,744,605.58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减：营业外支出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1,242,198.80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5,765,499.91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三、利润总额（亏损总额以</w:t>
            </w:r>
            <w:r w:rsidRPr="00425B06">
              <w:rPr>
                <w:rFonts w:ascii="宋体" w:hint="eastAsia"/>
                <w:szCs w:val="24"/>
              </w:rPr>
              <w:t>“</w:t>
            </w:r>
            <w:r w:rsidRPr="00425B06">
              <w:rPr>
                <w:rFonts w:ascii="宋体" w:hAnsi="宋体" w:hint="eastAsia"/>
                <w:szCs w:val="24"/>
              </w:rPr>
              <w:t>－</w:t>
            </w:r>
            <w:r w:rsidRPr="00425B06">
              <w:rPr>
                <w:rFonts w:ascii="宋体" w:hint="eastAsia"/>
                <w:szCs w:val="24"/>
              </w:rPr>
              <w:t>”</w:t>
            </w:r>
            <w:r w:rsidRPr="00425B06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1,307,796,547.81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1,418,059,685.45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减：所得税费用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86,570,867.86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四、净利润（净亏损以</w:t>
            </w:r>
            <w:r w:rsidRPr="00425B06">
              <w:rPr>
                <w:rFonts w:ascii="宋体" w:hint="eastAsia"/>
                <w:szCs w:val="24"/>
              </w:rPr>
              <w:t>“</w:t>
            </w:r>
            <w:r w:rsidRPr="00425B06">
              <w:rPr>
                <w:rFonts w:ascii="宋体" w:hAnsi="宋体" w:hint="eastAsia"/>
                <w:szCs w:val="24"/>
              </w:rPr>
              <w:t>－</w:t>
            </w:r>
            <w:r w:rsidRPr="00425B06">
              <w:rPr>
                <w:rFonts w:ascii="宋体" w:hint="eastAsia"/>
                <w:szCs w:val="24"/>
              </w:rPr>
              <w:t>”</w:t>
            </w:r>
            <w:r w:rsidRPr="00425B06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1,221,225,679.95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1,418,059,685.45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（一）持续经营净利润（净亏损以</w:t>
            </w:r>
            <w:r w:rsidRPr="00425B06">
              <w:rPr>
                <w:rFonts w:ascii="宋体" w:hint="eastAsia"/>
                <w:szCs w:val="24"/>
              </w:rPr>
              <w:t>“</w:t>
            </w:r>
            <w:r w:rsidRPr="00425B06">
              <w:rPr>
                <w:rFonts w:ascii="宋体" w:hAnsi="宋体" w:hint="eastAsia"/>
                <w:szCs w:val="24"/>
              </w:rPr>
              <w:t>－</w:t>
            </w:r>
            <w:r w:rsidRPr="00425B06">
              <w:rPr>
                <w:rFonts w:ascii="宋体" w:hint="eastAsia"/>
                <w:szCs w:val="24"/>
              </w:rPr>
              <w:t>”</w:t>
            </w:r>
            <w:r w:rsidRPr="00425B06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1,221,225,679.95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1,418,059,685.45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（二）终止经营净利润（净亏损以</w:t>
            </w:r>
            <w:r w:rsidRPr="00425B06">
              <w:rPr>
                <w:rFonts w:ascii="宋体" w:hint="eastAsia"/>
                <w:szCs w:val="24"/>
              </w:rPr>
              <w:t>“</w:t>
            </w:r>
            <w:r w:rsidRPr="00425B06">
              <w:rPr>
                <w:rFonts w:ascii="宋体" w:hAnsi="宋体" w:hint="eastAsia"/>
                <w:szCs w:val="24"/>
              </w:rPr>
              <w:t>－</w:t>
            </w:r>
            <w:r w:rsidRPr="00425B06">
              <w:rPr>
                <w:rFonts w:ascii="宋体" w:hint="eastAsia"/>
                <w:szCs w:val="24"/>
              </w:rPr>
              <w:t>”</w:t>
            </w:r>
            <w:r w:rsidRPr="00425B06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五、其他综合收益的税后净额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-2,007,550.00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-1,182,140.00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（一）不能重分类进损益的其他综合收益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　</w:t>
            </w:r>
            <w:r w:rsidRPr="00425B06">
              <w:rPr>
                <w:rFonts w:ascii="宋体" w:hAnsi="宋体"/>
                <w:szCs w:val="24"/>
              </w:rPr>
              <w:t>1.</w:t>
            </w:r>
            <w:r w:rsidRPr="00425B06">
              <w:rPr>
                <w:rFonts w:ascii="宋体" w:hAnsi="宋体" w:hint="eastAsia"/>
                <w:szCs w:val="24"/>
              </w:rPr>
              <w:t>重新计量设定受益计划变动额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　</w:t>
            </w:r>
            <w:r w:rsidRPr="00425B06">
              <w:rPr>
                <w:rFonts w:ascii="宋体" w:hAnsi="宋体"/>
                <w:szCs w:val="24"/>
              </w:rPr>
              <w:t>2.</w:t>
            </w:r>
            <w:r w:rsidRPr="00425B06">
              <w:rPr>
                <w:rFonts w:ascii="宋体" w:hAnsi="宋体" w:hint="eastAsia"/>
                <w:szCs w:val="24"/>
              </w:rPr>
              <w:t>权益法下不能转损益的其他综合收益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（二）将重分类进损益的其他综合收益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-2,007,550.00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-1,182,140.00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　</w:t>
            </w:r>
            <w:r w:rsidRPr="00425B06">
              <w:rPr>
                <w:rFonts w:ascii="宋体" w:hAnsi="宋体"/>
                <w:szCs w:val="24"/>
              </w:rPr>
              <w:t>1.</w:t>
            </w:r>
            <w:r w:rsidRPr="00425B06">
              <w:rPr>
                <w:rFonts w:ascii="宋体" w:hAnsi="宋体" w:hint="eastAsia"/>
                <w:szCs w:val="24"/>
              </w:rPr>
              <w:t>权益法下可转损益的其他综合收益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　</w:t>
            </w:r>
            <w:r w:rsidRPr="00425B06">
              <w:rPr>
                <w:rFonts w:ascii="宋体" w:hAnsi="宋体"/>
                <w:szCs w:val="24"/>
              </w:rPr>
              <w:t>2.</w:t>
            </w:r>
            <w:r w:rsidRPr="00425B06">
              <w:rPr>
                <w:rFonts w:ascii="宋体" w:hAnsi="宋体" w:hint="eastAsia"/>
                <w:szCs w:val="24"/>
              </w:rPr>
              <w:t>可供出售金融资产公允价值变动损益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　</w:t>
            </w:r>
            <w:r w:rsidRPr="00425B06">
              <w:rPr>
                <w:rFonts w:ascii="宋体" w:hAnsi="宋体"/>
                <w:szCs w:val="24"/>
              </w:rPr>
              <w:t>3.</w:t>
            </w:r>
            <w:r w:rsidRPr="00425B06">
              <w:rPr>
                <w:rFonts w:ascii="宋体" w:hAnsi="宋体" w:hint="eastAsia"/>
                <w:szCs w:val="24"/>
              </w:rPr>
              <w:t>持有至到期</w:t>
            </w:r>
            <w:proofErr w:type="gramStart"/>
            <w:r w:rsidRPr="00425B06">
              <w:rPr>
                <w:rFonts w:ascii="宋体" w:hAnsi="宋体" w:hint="eastAsia"/>
                <w:szCs w:val="24"/>
              </w:rPr>
              <w:t>投资重</w:t>
            </w:r>
            <w:proofErr w:type="gramEnd"/>
            <w:r w:rsidRPr="00425B06">
              <w:rPr>
                <w:rFonts w:ascii="宋体" w:hAnsi="宋体" w:hint="eastAsia"/>
                <w:szCs w:val="24"/>
              </w:rPr>
              <w:t>分类为可供出售金融资产损</w:t>
            </w:r>
            <w:r w:rsidRPr="00425B06">
              <w:rPr>
                <w:rFonts w:ascii="宋体" w:hAnsi="宋体" w:hint="eastAsia"/>
                <w:szCs w:val="24"/>
              </w:rPr>
              <w:lastRenderedPageBreak/>
              <w:t>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lastRenderedPageBreak/>
              <w:t xml:space="preserve">　　　　　</w:t>
            </w:r>
            <w:r w:rsidRPr="00425B06">
              <w:rPr>
                <w:rFonts w:ascii="宋体" w:hAnsi="宋体"/>
                <w:szCs w:val="24"/>
              </w:rPr>
              <w:t>4.</w:t>
            </w:r>
            <w:r w:rsidRPr="00425B06">
              <w:rPr>
                <w:rFonts w:ascii="宋体" w:hAnsi="宋体" w:hint="eastAsia"/>
                <w:szCs w:val="24"/>
              </w:rPr>
              <w:t>现金流量套期损益的有效部分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-2,007,550.00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-1,182,140.00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　</w:t>
            </w:r>
            <w:r w:rsidRPr="00425B06">
              <w:rPr>
                <w:rFonts w:ascii="宋体" w:hAnsi="宋体"/>
                <w:szCs w:val="24"/>
              </w:rPr>
              <w:t>5.</w:t>
            </w:r>
            <w:r w:rsidRPr="00425B06">
              <w:rPr>
                <w:rFonts w:ascii="宋体" w:hAnsi="宋体" w:hint="eastAsia"/>
                <w:szCs w:val="24"/>
              </w:rPr>
              <w:t>外币财务报表折算差额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　　　</w:t>
            </w:r>
            <w:r w:rsidRPr="00425B06">
              <w:rPr>
                <w:rFonts w:ascii="宋体" w:hAnsi="宋体"/>
                <w:szCs w:val="24"/>
              </w:rPr>
              <w:t>6.</w:t>
            </w:r>
            <w:r w:rsidRPr="00425B06">
              <w:rPr>
                <w:rFonts w:ascii="宋体" w:hAnsi="宋体" w:hint="eastAsia"/>
                <w:szCs w:val="24"/>
              </w:rPr>
              <w:t>其他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六、综合收益总额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1,219,218,129.95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1,416,877,545.45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七、每股收益：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（一）基本每股收益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0.214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0.249</w:t>
            </w:r>
          </w:p>
        </w:tc>
      </w:tr>
      <w:tr w:rsidR="00425B06" w:rsidRPr="00425B06" w:rsidTr="00FF68B5">
        <w:tc>
          <w:tcPr>
            <w:tcW w:w="2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（二）稀释每股收益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0.214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0.249</w:t>
            </w:r>
          </w:p>
        </w:tc>
      </w:tr>
    </w:tbl>
    <w:p w:rsidR="00FF68B5" w:rsidRPr="00FF68B5" w:rsidRDefault="00FF68B5" w:rsidP="00FF68B5">
      <w:pPr>
        <w:keepNext/>
        <w:keepLines/>
        <w:spacing w:before="300" w:after="300" w:line="241" w:lineRule="auto"/>
        <w:jc w:val="center"/>
        <w:outlineLvl w:val="2"/>
        <w:rPr>
          <w:rFonts w:ascii="宋体"/>
          <w:b/>
          <w:kern w:val="28"/>
          <w:sz w:val="21"/>
          <w:szCs w:val="24"/>
        </w:rPr>
      </w:pPr>
      <w:bookmarkStart w:id="0" w:name="_GoBack"/>
      <w:bookmarkEnd w:id="0"/>
      <w:r w:rsidRPr="00FF68B5">
        <w:rPr>
          <w:rFonts w:ascii="宋体" w:hAnsi="宋体" w:hint="eastAsia"/>
          <w:b/>
          <w:kern w:val="28"/>
          <w:sz w:val="21"/>
          <w:szCs w:val="24"/>
        </w:rPr>
        <w:t>合并年初到报告</w:t>
      </w:r>
      <w:proofErr w:type="gramStart"/>
      <w:r w:rsidRPr="00FF68B5">
        <w:rPr>
          <w:rFonts w:ascii="宋体" w:hAnsi="宋体" w:hint="eastAsia"/>
          <w:b/>
          <w:kern w:val="28"/>
          <w:sz w:val="21"/>
          <w:szCs w:val="24"/>
        </w:rPr>
        <w:t>期末利润</w:t>
      </w:r>
      <w:proofErr w:type="gramEnd"/>
      <w:r w:rsidRPr="00FF68B5">
        <w:rPr>
          <w:rFonts w:ascii="宋体" w:hAnsi="宋体" w:hint="eastAsia"/>
          <w:b/>
          <w:kern w:val="28"/>
          <w:sz w:val="21"/>
          <w:szCs w:val="24"/>
        </w:rPr>
        <w:t>表</w:t>
      </w:r>
    </w:p>
    <w:p w:rsidR="00FF68B5" w:rsidRPr="00FF68B5" w:rsidRDefault="00FF68B5" w:rsidP="00FF68B5">
      <w:pPr>
        <w:jc w:val="right"/>
        <w:rPr>
          <w:rFonts w:ascii="宋体"/>
          <w:szCs w:val="24"/>
        </w:rPr>
      </w:pPr>
      <w:r w:rsidRPr="00FF68B5">
        <w:rPr>
          <w:rFonts w:ascii="宋体" w:hAnsi="宋体" w:hint="eastAsia"/>
          <w:szCs w:val="24"/>
        </w:rPr>
        <w:t>单位：元</w:t>
      </w: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794"/>
        <w:gridCol w:w="1784"/>
        <w:gridCol w:w="1784"/>
      </w:tblGrid>
      <w:tr w:rsidR="00FF68B5" w:rsidRPr="00FF68B5" w:rsidTr="00A201CB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center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项目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center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本期发生额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center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上期发生额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一、营业总收入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55,066,017,916.38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50,209,232,652.01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其中：营业收入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55,066,017,916.38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50,209,232,652.01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利息收入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已赚保费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手续费及佣金收入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二、营业总成本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50,590,964,717.83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48,150,505,629.81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其中：营业成本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45,967,578,605.49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43,597,972,681.46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利息支出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手续费及佣金支出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退保金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赔付支出净额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提取保险合同准备金净额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保单红利支出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分保费用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税金及附加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343,049,002.14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306,886,720.16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销售费用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1,195,314,351.06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1,224,215,269.37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管理费用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392,565,908.53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389,347,126.67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研发费用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1,654,534,269.67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1,385,391,557.38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财务费用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832,320,644.59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992,135,778.46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　其中：利息费用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858,334,171.20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1,024,888,963.42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　　　　利息收入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55,155,499.76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33,467,024.74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lastRenderedPageBreak/>
              <w:t xml:space="preserve">　　　　　资产减值损失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205,601,936.35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254,556,496.31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加：其他收益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15,966,716.76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38,985,161.00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投资收益（损失以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 w:hAnsi="宋体" w:hint="eastAsia"/>
                <w:szCs w:val="24"/>
              </w:rPr>
              <w:t>－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88,396,519.95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77,378,461.91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其中：对联营企业和合营企业的投资收益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92,836,519.95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66,649,109.41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公允价值变动收益（损失以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 w:hAnsi="宋体" w:hint="eastAsia"/>
                <w:szCs w:val="24"/>
              </w:rPr>
              <w:t>－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-5,977,781.76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-92,250,905.01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汇兑收益（损失以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/>
                <w:szCs w:val="24"/>
              </w:rPr>
              <w:t>-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资产处置收益（损失以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/>
                <w:szCs w:val="24"/>
              </w:rPr>
              <w:t>-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164,994.64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三、营业利润（亏损以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 w:hAnsi="宋体" w:hint="eastAsia"/>
                <w:szCs w:val="24"/>
              </w:rPr>
              <w:t>－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4,573,603,648.14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2,082,839,740.10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加：营业外收入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15,496,459.33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5,336,971.00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减：营业外支出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9,354,470.32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12,837,334.73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四、利润总额（亏损总额以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 w:hAnsi="宋体" w:hint="eastAsia"/>
                <w:szCs w:val="24"/>
              </w:rPr>
              <w:t>－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4,579,745,637.15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2,075,339,376.37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减：所得税费用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566,969,142.55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11,613,193.97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五、净利润（净亏损以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 w:hAnsi="宋体" w:hint="eastAsia"/>
                <w:szCs w:val="24"/>
              </w:rPr>
              <w:t>－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4,012,776,494.60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2,063,726,182.40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（一）持续经营净利润（净亏损以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 w:hAnsi="宋体" w:hint="eastAsia"/>
                <w:szCs w:val="24"/>
              </w:rPr>
              <w:t>－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4,012,776,494.60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2,063,726,182.40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（二）终止经营净利润（净亏损以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 w:hAnsi="宋体" w:hint="eastAsia"/>
                <w:szCs w:val="24"/>
              </w:rPr>
              <w:t>－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归属于母公司所有者的净利润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4,060,794,786.86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2,157,717,653.28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少数股东损益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-48,018,292.26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-93,991,470.88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六、其他综合收益的税后净额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-15,971,723.43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-1,885,256.99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归属母公司所有者的其他综合收益的税后净额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-15,971,723.43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-1,885,256.99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（一）不能重分类进损益的其他综合收益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</w:t>
            </w:r>
            <w:r w:rsidRPr="00FF68B5">
              <w:rPr>
                <w:rFonts w:ascii="宋体" w:hAnsi="宋体"/>
                <w:szCs w:val="24"/>
              </w:rPr>
              <w:t>1.</w:t>
            </w:r>
            <w:r w:rsidRPr="00FF68B5">
              <w:rPr>
                <w:rFonts w:ascii="宋体" w:hAnsi="宋体" w:hint="eastAsia"/>
                <w:szCs w:val="24"/>
              </w:rPr>
              <w:t>重新计量设定受益计划变动额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</w:t>
            </w:r>
            <w:r w:rsidRPr="00FF68B5">
              <w:rPr>
                <w:rFonts w:ascii="宋体" w:hAnsi="宋体"/>
                <w:szCs w:val="24"/>
              </w:rPr>
              <w:t>2.</w:t>
            </w:r>
            <w:r w:rsidRPr="00FF68B5">
              <w:rPr>
                <w:rFonts w:ascii="宋体" w:hAnsi="宋体" w:hint="eastAsia"/>
                <w:szCs w:val="24"/>
              </w:rPr>
              <w:t>权益法下不能转损益的其他综合收益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（二）将重分类进损益的其他综合收益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-15,971,723.43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-1,885,256.99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</w:t>
            </w:r>
            <w:r w:rsidRPr="00FF68B5">
              <w:rPr>
                <w:rFonts w:ascii="宋体" w:hAnsi="宋体"/>
                <w:szCs w:val="24"/>
              </w:rPr>
              <w:t>1.</w:t>
            </w:r>
            <w:r w:rsidRPr="00FF68B5">
              <w:rPr>
                <w:rFonts w:ascii="宋体" w:hAnsi="宋体" w:hint="eastAsia"/>
                <w:szCs w:val="24"/>
              </w:rPr>
              <w:t>权益法下可转损益的其他综合收益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</w:t>
            </w:r>
            <w:r w:rsidRPr="00FF68B5">
              <w:rPr>
                <w:rFonts w:ascii="宋体" w:hAnsi="宋体"/>
                <w:szCs w:val="24"/>
              </w:rPr>
              <w:t>2.</w:t>
            </w:r>
            <w:r w:rsidRPr="00FF68B5">
              <w:rPr>
                <w:rFonts w:ascii="宋体" w:hAnsi="宋体" w:hint="eastAsia"/>
                <w:szCs w:val="24"/>
              </w:rPr>
              <w:t>可供出售金融资产公允价值变动损益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-11,763,714.50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10,578,267.00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</w:t>
            </w:r>
            <w:r w:rsidRPr="00FF68B5">
              <w:rPr>
                <w:rFonts w:ascii="宋体" w:hAnsi="宋体"/>
                <w:szCs w:val="24"/>
              </w:rPr>
              <w:t>3.</w:t>
            </w:r>
            <w:r w:rsidRPr="00FF68B5">
              <w:rPr>
                <w:rFonts w:ascii="宋体" w:hAnsi="宋体" w:hint="eastAsia"/>
                <w:szCs w:val="24"/>
              </w:rPr>
              <w:t>持有至到期</w:t>
            </w:r>
            <w:proofErr w:type="gramStart"/>
            <w:r w:rsidRPr="00FF68B5">
              <w:rPr>
                <w:rFonts w:ascii="宋体" w:hAnsi="宋体" w:hint="eastAsia"/>
                <w:szCs w:val="24"/>
              </w:rPr>
              <w:t>投资重</w:t>
            </w:r>
            <w:proofErr w:type="gramEnd"/>
            <w:r w:rsidRPr="00FF68B5">
              <w:rPr>
                <w:rFonts w:ascii="宋体" w:hAnsi="宋体" w:hint="eastAsia"/>
                <w:szCs w:val="24"/>
              </w:rPr>
              <w:t>分类为可供出售金融资产损益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</w:t>
            </w:r>
            <w:r w:rsidRPr="00FF68B5">
              <w:rPr>
                <w:rFonts w:ascii="宋体" w:hAnsi="宋体"/>
                <w:szCs w:val="24"/>
              </w:rPr>
              <w:t>4.</w:t>
            </w:r>
            <w:r w:rsidRPr="00FF68B5">
              <w:rPr>
                <w:rFonts w:ascii="宋体" w:hAnsi="宋体" w:hint="eastAsia"/>
                <w:szCs w:val="24"/>
              </w:rPr>
              <w:t>现金流量套期损益的有效部分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-4,146,550.00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</w:t>
            </w:r>
            <w:r w:rsidRPr="00FF68B5">
              <w:rPr>
                <w:rFonts w:ascii="宋体" w:hAnsi="宋体"/>
                <w:szCs w:val="24"/>
              </w:rPr>
              <w:t>5.</w:t>
            </w:r>
            <w:r w:rsidRPr="00FF68B5">
              <w:rPr>
                <w:rFonts w:ascii="宋体" w:hAnsi="宋体" w:hint="eastAsia"/>
                <w:szCs w:val="24"/>
              </w:rPr>
              <w:t>外币财务报表折算差额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-61,458.93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-12,463,523.99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</w:t>
            </w:r>
            <w:r w:rsidRPr="00FF68B5">
              <w:rPr>
                <w:rFonts w:ascii="宋体" w:hAnsi="宋体"/>
                <w:szCs w:val="24"/>
              </w:rPr>
              <w:t>6.</w:t>
            </w:r>
            <w:r w:rsidRPr="00FF68B5">
              <w:rPr>
                <w:rFonts w:ascii="宋体" w:hAnsi="宋体" w:hint="eastAsia"/>
                <w:szCs w:val="24"/>
              </w:rPr>
              <w:t>其他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归属于少数股东的其他综合收益的税后净额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七、综合收益总额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3,996,804,771.17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2,061,840,925.41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归属于母公司所有者的综合收益总额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4,044,823,063.43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2,155,832,396.29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lastRenderedPageBreak/>
              <w:t xml:space="preserve">　　归属于少数股东的综合收益总额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-48,018,292.26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-93,991,470.88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八、每股收益：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（一）基本每股收益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0.713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0.379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（二）稀释每股收益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0.713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0.379</w:t>
            </w:r>
          </w:p>
        </w:tc>
      </w:tr>
    </w:tbl>
    <w:p w:rsidR="00FF68B5" w:rsidRPr="00FF68B5" w:rsidRDefault="00FF68B5" w:rsidP="00FF68B5">
      <w:pPr>
        <w:keepNext/>
        <w:keepLines/>
        <w:spacing w:before="300" w:after="300" w:line="241" w:lineRule="auto"/>
        <w:jc w:val="center"/>
        <w:outlineLvl w:val="2"/>
        <w:rPr>
          <w:rFonts w:ascii="宋体"/>
          <w:b/>
          <w:kern w:val="28"/>
          <w:sz w:val="21"/>
          <w:szCs w:val="24"/>
        </w:rPr>
      </w:pPr>
      <w:r w:rsidRPr="00FF68B5">
        <w:rPr>
          <w:rFonts w:ascii="宋体" w:hAnsi="宋体" w:hint="eastAsia"/>
          <w:b/>
          <w:kern w:val="28"/>
          <w:sz w:val="21"/>
          <w:szCs w:val="24"/>
        </w:rPr>
        <w:t>母公司年初到报告</w:t>
      </w:r>
      <w:proofErr w:type="gramStart"/>
      <w:r w:rsidRPr="00FF68B5">
        <w:rPr>
          <w:rFonts w:ascii="宋体" w:hAnsi="宋体" w:hint="eastAsia"/>
          <w:b/>
          <w:kern w:val="28"/>
          <w:sz w:val="21"/>
          <w:szCs w:val="24"/>
        </w:rPr>
        <w:t>期末利润</w:t>
      </w:r>
      <w:proofErr w:type="gramEnd"/>
      <w:r w:rsidRPr="00FF68B5">
        <w:rPr>
          <w:rFonts w:ascii="宋体" w:hAnsi="宋体" w:hint="eastAsia"/>
          <w:b/>
          <w:kern w:val="28"/>
          <w:sz w:val="21"/>
          <w:szCs w:val="24"/>
        </w:rPr>
        <w:t>表</w:t>
      </w:r>
    </w:p>
    <w:p w:rsidR="00FF68B5" w:rsidRPr="00FF68B5" w:rsidRDefault="00FF68B5" w:rsidP="00FF68B5">
      <w:pPr>
        <w:jc w:val="right"/>
        <w:rPr>
          <w:rFonts w:ascii="宋体"/>
          <w:szCs w:val="24"/>
        </w:rPr>
      </w:pPr>
      <w:r w:rsidRPr="00FF68B5">
        <w:rPr>
          <w:rFonts w:ascii="宋体" w:hAnsi="宋体" w:hint="eastAsia"/>
          <w:szCs w:val="24"/>
        </w:rPr>
        <w:t>单位：元</w:t>
      </w:r>
    </w:p>
    <w:tbl>
      <w:tblPr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794"/>
        <w:gridCol w:w="1784"/>
        <w:gridCol w:w="1784"/>
      </w:tblGrid>
      <w:tr w:rsidR="00FF68B5" w:rsidRPr="00FF68B5" w:rsidTr="00A201CB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center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项目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center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本期发生额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center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上期发生额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一、营业收入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54,112,825,381.34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49,451,838,897.89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减：营业成本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45,168,543,822.91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42,934,305,908.99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税金及附加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315,079,636.47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274,455,582.07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销售费用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1,062,366,962.17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1,094,771,557.17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管理费用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362,042,887.18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361,331,811.46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研发费用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1,654,534,269.67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1,385,391,557.38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财务费用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770,372,758.69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955,946,460.13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其中：利息费用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804,707,888.92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948,725,091.61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　　　利息收入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49,421,538.21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28,873,731.22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资产减值损失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236,763,395.60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254,112,251.80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加：其他收益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14,624,516.76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37,498,704.93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投资收益（损失以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 w:hAnsi="宋体" w:hint="eastAsia"/>
                <w:szCs w:val="24"/>
              </w:rPr>
              <w:t>－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122,512,812.15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116,614,598.80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其中：对联营企业和合营企业的投资收益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92,836,519.95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66,649,109.41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公允价值变动收益（损失以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 w:hAnsi="宋体" w:hint="eastAsia"/>
                <w:szCs w:val="24"/>
              </w:rPr>
              <w:t>－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-5,977,781.76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-92,250,905.01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资产处置收益（损失以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/>
                <w:szCs w:val="24"/>
              </w:rPr>
              <w:t>-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164,994.64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二、营业利润（亏损以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 w:hAnsi="宋体" w:hint="eastAsia"/>
                <w:szCs w:val="24"/>
              </w:rPr>
              <w:t>－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4,674,446,190.44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2,253,386,167.61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加：营业外收入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14,548,017.71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4,386,809.30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减：营业外支出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8,877,455.71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11,965,988.59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三、利润总额（亏损总额以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 w:hAnsi="宋体" w:hint="eastAsia"/>
                <w:szCs w:val="24"/>
              </w:rPr>
              <w:t>－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4,680,116,752.44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2,245,806,988.32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减：所得税费用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551,672,181.69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四、净利润（净亏损以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 w:hAnsi="宋体" w:hint="eastAsia"/>
                <w:szCs w:val="24"/>
              </w:rPr>
              <w:t>－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4,128,444,570.75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2,245,806,988.32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（一）持续经营净利润（净亏损以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 w:hAnsi="宋体" w:hint="eastAsia"/>
                <w:szCs w:val="24"/>
              </w:rPr>
              <w:t>－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4,128,444,570.75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2,245,806,988.32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（二）终止经营净利润（净亏损以</w:t>
            </w:r>
            <w:r w:rsidRPr="00FF68B5">
              <w:rPr>
                <w:rFonts w:ascii="宋体" w:hint="eastAsia"/>
                <w:szCs w:val="24"/>
              </w:rPr>
              <w:t>“</w:t>
            </w:r>
            <w:r w:rsidRPr="00FF68B5">
              <w:rPr>
                <w:rFonts w:ascii="宋体" w:hAnsi="宋体" w:hint="eastAsia"/>
                <w:szCs w:val="24"/>
              </w:rPr>
              <w:t>－</w:t>
            </w:r>
            <w:r w:rsidRPr="00FF68B5">
              <w:rPr>
                <w:rFonts w:ascii="宋体" w:hint="eastAsia"/>
                <w:szCs w:val="24"/>
              </w:rPr>
              <w:t>”</w:t>
            </w:r>
            <w:r w:rsidRPr="00FF68B5">
              <w:rPr>
                <w:rFonts w:ascii="宋体" w:hAnsi="宋体" w:hint="eastAsia"/>
                <w:szCs w:val="24"/>
              </w:rPr>
              <w:t>号填列）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五、其他综合收益的税后净额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-4,146,550.00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（一）不能重分类进损益的其他综合收益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lastRenderedPageBreak/>
              <w:t xml:space="preserve">　　　　　</w:t>
            </w:r>
            <w:r w:rsidRPr="00FF68B5">
              <w:rPr>
                <w:rFonts w:ascii="宋体" w:hAnsi="宋体"/>
                <w:szCs w:val="24"/>
              </w:rPr>
              <w:t>1.</w:t>
            </w:r>
            <w:r w:rsidRPr="00FF68B5">
              <w:rPr>
                <w:rFonts w:ascii="宋体" w:hAnsi="宋体" w:hint="eastAsia"/>
                <w:szCs w:val="24"/>
              </w:rPr>
              <w:t>重新计量设定受益计划变动额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</w:t>
            </w:r>
            <w:r w:rsidRPr="00FF68B5">
              <w:rPr>
                <w:rFonts w:ascii="宋体" w:hAnsi="宋体"/>
                <w:szCs w:val="24"/>
              </w:rPr>
              <w:t>2.</w:t>
            </w:r>
            <w:r w:rsidRPr="00FF68B5">
              <w:rPr>
                <w:rFonts w:ascii="宋体" w:hAnsi="宋体" w:hint="eastAsia"/>
                <w:szCs w:val="24"/>
              </w:rPr>
              <w:t>权益法下不能转损益的其他综合收益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（二）将重分类进损益的其他综合收益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-4,146,550.00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</w:t>
            </w:r>
            <w:r w:rsidRPr="00FF68B5">
              <w:rPr>
                <w:rFonts w:ascii="宋体" w:hAnsi="宋体"/>
                <w:szCs w:val="24"/>
              </w:rPr>
              <w:t>1.</w:t>
            </w:r>
            <w:r w:rsidRPr="00FF68B5">
              <w:rPr>
                <w:rFonts w:ascii="宋体" w:hAnsi="宋体" w:hint="eastAsia"/>
                <w:szCs w:val="24"/>
              </w:rPr>
              <w:t>权益法下可转损益的其他综合收益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</w:t>
            </w:r>
            <w:r w:rsidRPr="00FF68B5">
              <w:rPr>
                <w:rFonts w:ascii="宋体" w:hAnsi="宋体"/>
                <w:szCs w:val="24"/>
              </w:rPr>
              <w:t>2.</w:t>
            </w:r>
            <w:r w:rsidRPr="00FF68B5">
              <w:rPr>
                <w:rFonts w:ascii="宋体" w:hAnsi="宋体" w:hint="eastAsia"/>
                <w:szCs w:val="24"/>
              </w:rPr>
              <w:t>可供出售金融资产公允价值变动损益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</w:t>
            </w:r>
            <w:r w:rsidRPr="00FF68B5">
              <w:rPr>
                <w:rFonts w:ascii="宋体" w:hAnsi="宋体"/>
                <w:szCs w:val="24"/>
              </w:rPr>
              <w:t>3.</w:t>
            </w:r>
            <w:r w:rsidRPr="00FF68B5">
              <w:rPr>
                <w:rFonts w:ascii="宋体" w:hAnsi="宋体" w:hint="eastAsia"/>
                <w:szCs w:val="24"/>
              </w:rPr>
              <w:t>持有至到期</w:t>
            </w:r>
            <w:proofErr w:type="gramStart"/>
            <w:r w:rsidRPr="00FF68B5">
              <w:rPr>
                <w:rFonts w:ascii="宋体" w:hAnsi="宋体" w:hint="eastAsia"/>
                <w:szCs w:val="24"/>
              </w:rPr>
              <w:t>投资重</w:t>
            </w:r>
            <w:proofErr w:type="gramEnd"/>
            <w:r w:rsidRPr="00FF68B5">
              <w:rPr>
                <w:rFonts w:ascii="宋体" w:hAnsi="宋体" w:hint="eastAsia"/>
                <w:szCs w:val="24"/>
              </w:rPr>
              <w:t>分类为可供出售金融资产损益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</w:t>
            </w:r>
            <w:r w:rsidRPr="00FF68B5">
              <w:rPr>
                <w:rFonts w:ascii="宋体" w:hAnsi="宋体"/>
                <w:szCs w:val="24"/>
              </w:rPr>
              <w:t>4.</w:t>
            </w:r>
            <w:r w:rsidRPr="00FF68B5">
              <w:rPr>
                <w:rFonts w:ascii="宋体" w:hAnsi="宋体" w:hint="eastAsia"/>
                <w:szCs w:val="24"/>
              </w:rPr>
              <w:t>现金流量套期损益的有效部分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-4,146,550.00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</w:t>
            </w:r>
            <w:r w:rsidRPr="00FF68B5">
              <w:rPr>
                <w:rFonts w:ascii="宋体" w:hAnsi="宋体"/>
                <w:szCs w:val="24"/>
              </w:rPr>
              <w:t>5.</w:t>
            </w:r>
            <w:r w:rsidRPr="00FF68B5">
              <w:rPr>
                <w:rFonts w:ascii="宋体" w:hAnsi="宋体" w:hint="eastAsia"/>
                <w:szCs w:val="24"/>
              </w:rPr>
              <w:t>外币财务报表折算差额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　　　</w:t>
            </w:r>
            <w:r w:rsidRPr="00FF68B5">
              <w:rPr>
                <w:rFonts w:ascii="宋体" w:hAnsi="宋体"/>
                <w:szCs w:val="24"/>
              </w:rPr>
              <w:t>6.</w:t>
            </w:r>
            <w:r w:rsidRPr="00FF68B5">
              <w:rPr>
                <w:rFonts w:ascii="宋体" w:hAnsi="宋体" w:hint="eastAsia"/>
                <w:szCs w:val="24"/>
              </w:rPr>
              <w:t>其他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六、综合收益总额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4,124,298,020.75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2,245,806,988.32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>七、每股收益：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（一）基本每股收益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0.725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0.394</w:t>
            </w:r>
          </w:p>
        </w:tc>
      </w:tr>
      <w:tr w:rsidR="00FF68B5" w:rsidRPr="00FF68B5" w:rsidTr="00A201CB">
        <w:tblPrEx>
          <w:tblCellMar>
            <w:top w:w="0" w:type="dxa"/>
            <w:bottom w:w="0" w:type="dxa"/>
          </w:tblCellMar>
        </w:tblPrEx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FF68B5" w:rsidRPr="00FF68B5" w:rsidRDefault="00FF68B5" w:rsidP="00FF68B5">
            <w:pPr>
              <w:jc w:val="left"/>
              <w:rPr>
                <w:rFonts w:ascii="宋体"/>
                <w:szCs w:val="24"/>
              </w:rPr>
            </w:pPr>
            <w:r w:rsidRPr="00FF68B5">
              <w:rPr>
                <w:rFonts w:ascii="宋体" w:hAnsi="宋体" w:hint="eastAsia"/>
                <w:szCs w:val="24"/>
              </w:rPr>
              <w:t xml:space="preserve">　　（二）稀释每股收益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0.725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68B5" w:rsidRPr="00FF68B5" w:rsidRDefault="00FF68B5" w:rsidP="00FF68B5">
            <w:pPr>
              <w:jc w:val="right"/>
              <w:rPr>
                <w:rFonts w:ascii="宋体" w:hAnsi="宋体"/>
                <w:szCs w:val="24"/>
              </w:rPr>
            </w:pPr>
            <w:r w:rsidRPr="00FF68B5">
              <w:rPr>
                <w:rFonts w:ascii="宋体" w:hAnsi="宋体"/>
                <w:szCs w:val="24"/>
              </w:rPr>
              <w:t>0.394</w:t>
            </w:r>
          </w:p>
        </w:tc>
      </w:tr>
    </w:tbl>
    <w:p w:rsidR="00425B06" w:rsidRPr="00425B06" w:rsidRDefault="00425B06" w:rsidP="00425B06">
      <w:pPr>
        <w:keepNext/>
        <w:keepLines/>
        <w:spacing w:before="300" w:after="300" w:line="241" w:lineRule="auto"/>
        <w:jc w:val="center"/>
        <w:outlineLvl w:val="2"/>
        <w:rPr>
          <w:rFonts w:ascii="宋体"/>
          <w:b/>
          <w:kern w:val="28"/>
          <w:sz w:val="21"/>
          <w:szCs w:val="24"/>
        </w:rPr>
      </w:pPr>
      <w:r w:rsidRPr="00425B06">
        <w:rPr>
          <w:rFonts w:ascii="宋体" w:hAnsi="宋体" w:hint="eastAsia"/>
          <w:b/>
          <w:kern w:val="28"/>
          <w:sz w:val="21"/>
          <w:szCs w:val="24"/>
        </w:rPr>
        <w:t>合并年初到报告期末现金流量表</w:t>
      </w:r>
    </w:p>
    <w:p w:rsidR="00425B06" w:rsidRPr="00425B06" w:rsidRDefault="00425B06" w:rsidP="00425B06">
      <w:pPr>
        <w:jc w:val="right"/>
        <w:rPr>
          <w:rFonts w:ascii="宋体"/>
          <w:szCs w:val="24"/>
        </w:rPr>
      </w:pPr>
      <w:r w:rsidRPr="00425B06">
        <w:rPr>
          <w:rFonts w:ascii="宋体" w:hAnsi="宋体" w:hint="eastAsia"/>
          <w:szCs w:val="24"/>
        </w:rPr>
        <w:t>单位：元</w:t>
      </w:r>
    </w:p>
    <w:tbl>
      <w:tblPr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794"/>
        <w:gridCol w:w="1784"/>
        <w:gridCol w:w="1784"/>
      </w:tblGrid>
      <w:tr w:rsidR="00425B06" w:rsidRPr="00425B06" w:rsidTr="00A201CB">
        <w:trPr>
          <w:tblHeader/>
        </w:trPr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center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项目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center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本期发生额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center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上期发生额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一、经营活动产生的现金流量：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销售商品、提供劳务收到的现金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59,544,228,283.20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62,164,878,663.09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客户存款和同业存放款项净增加额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向中央银行借款净增加额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向其他金融机构拆入资金净增加额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收到原保险合同保费取得的现金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收到再保险业务现金净额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保户储金及投资款净增加额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处置以公允价值计量且其变动计入当期损益的金融资产净增加额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收取利息、手续费及佣金的现金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拆入资金净增加额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回购业务资金净增加额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收到的税费返还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39,218,840.88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3,033,341.88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收到其他与经营活动有关的现金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363,206,240.60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338,221,203.05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lastRenderedPageBreak/>
              <w:t>经营活动现金流入小计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59,946,653,364.68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62,506,133,208.02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购买商品、接受劳务支付的现金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48,416,265,109.59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50,382,469,695.26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客户贷款及垫款净增加额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存放中央银行和同业款项净增加额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支付原保险合同赔付款项的现金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支付利息、手续费及佣金的现金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支付保单红利的现金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支付给职工以及为职工支付的现金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2,205,672,740.23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2,005,249,442.74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支付的各项税费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2,308,870,640.11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1,437,150,067.09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支付其他与经营活动有关的现金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548,043,912.61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480,089,066.67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经营活动现金流出小计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53,478,852,402.54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54,304,958,271.76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经营活动产生的现金流量净额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6,467,800,962.14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8,201,174,936.26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二、投资活动产生的现金流量：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收回投资收到的现金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取得投资收益收到的现金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3,808,213.32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12,640,953.85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处置固定资产、无形资产和其他长期资产收回的现金净额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562,313.30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处置子公司及其他营业单位收到的现金净额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收到其他与投资活动有关的现金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31,170,938.00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14,618,735.41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投资活动现金流入小计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35,541,464.62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27,259,689.26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购建固定资产、无形资产和其他长期资产支付的现金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464,543,681.21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538,732,741.42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投资支付的现金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376,040,850.00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质押贷款净增加额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取得子公司及其他营业单位支付的现金净额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支付其他与投资活动有关的现金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64,665,000.00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64,000.00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投资活动现金流出小计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529,208,681.21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914,837,591.42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投资活动产生的现金流量净额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-493,667,216.59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-887,577,902.16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三、筹资活动产生的现金流量：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吸收投资收到的现金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其中：子公司吸收少数股东投资收到的现金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取得借款收到的现金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10,401,174,000.00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10,889,560,955.06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发行债券收到的现金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收到其他与筹资活动有关的现金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60,624,326.29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142,290,363.57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lastRenderedPageBreak/>
              <w:t>筹资活动现金流入小计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10,461,798,326.29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11,031,851,318.63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偿还债务支付的现金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16,776,584,268.00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16,840,566,053.48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分配股利、利润或偿付利息支付的现金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2,349,432,420.56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1,354,974,344.16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其中：子公司支付给少数股东的股利、利润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支付其他与筹资活动有关的现金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963,686,595.02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161,948,217.99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筹资活动现金流出小计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20,089,703,283.58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18,357,488,615.63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筹资活动产生的现金流量净额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-9,627,904,957.29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-7,325,637,297.00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四、汇率变动对现金及现金等价物的影响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92,249,670.30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-62,530,483.03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五、现金及现金等价物净增加额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-3,561,521,541.44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-74,570,745.93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加：期初现金及现金等价物余额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9,921,555,652.18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6,449,220,118.87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六、期末现金及现金等价物余额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6,360,034,110.74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6,374,649,372.94</w:t>
            </w:r>
          </w:p>
        </w:tc>
      </w:tr>
    </w:tbl>
    <w:p w:rsidR="00425B06" w:rsidRPr="00425B06" w:rsidRDefault="00425B06" w:rsidP="00425B06">
      <w:pPr>
        <w:keepNext/>
        <w:keepLines/>
        <w:spacing w:before="300" w:after="300" w:line="241" w:lineRule="auto"/>
        <w:jc w:val="center"/>
        <w:outlineLvl w:val="2"/>
        <w:rPr>
          <w:rFonts w:ascii="宋体"/>
          <w:b/>
          <w:kern w:val="28"/>
          <w:sz w:val="21"/>
          <w:szCs w:val="24"/>
        </w:rPr>
      </w:pPr>
      <w:r w:rsidRPr="00425B06">
        <w:rPr>
          <w:rFonts w:ascii="宋体" w:hAnsi="宋体" w:hint="eastAsia"/>
          <w:b/>
          <w:kern w:val="28"/>
          <w:sz w:val="21"/>
          <w:szCs w:val="24"/>
        </w:rPr>
        <w:t>母公司年初到报告期末现金流量表</w:t>
      </w:r>
    </w:p>
    <w:p w:rsidR="00425B06" w:rsidRPr="00425B06" w:rsidRDefault="00425B06" w:rsidP="00425B06">
      <w:pPr>
        <w:jc w:val="right"/>
        <w:rPr>
          <w:rFonts w:ascii="宋体"/>
          <w:szCs w:val="24"/>
        </w:rPr>
      </w:pPr>
      <w:r w:rsidRPr="00425B06">
        <w:rPr>
          <w:rFonts w:ascii="宋体" w:hAnsi="宋体" w:hint="eastAsia"/>
          <w:szCs w:val="24"/>
        </w:rPr>
        <w:t>单位：元</w:t>
      </w:r>
    </w:p>
    <w:tbl>
      <w:tblPr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794"/>
        <w:gridCol w:w="1784"/>
        <w:gridCol w:w="1784"/>
      </w:tblGrid>
      <w:tr w:rsidR="00425B06" w:rsidRPr="00425B06" w:rsidTr="00A201CB">
        <w:trPr>
          <w:tblHeader/>
        </w:trPr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center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项目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center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本期发生额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center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上期发生额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一、经营活动产生的现金流量：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销售商品、提供劳务收到的现金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59,311,335,216.17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54,876,800,697.85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收到的税费返还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收到其他与经营活动有关的现金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402,296,009.60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294,234,597.26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经营活动现金流入小计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59,713,631,225.77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55,171,035,295.11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购买商品、接受劳务支付的现金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48,964,736,639.41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42,667,993,766.28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支付给职工以及为职工支付的现金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2,085,682,874.88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1,897,913,138.04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支付的各项税费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2,206,406,881.01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1,371,999,284.29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支付其他与经营活动有关的现金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477,960,538.43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355,384,539.18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经营活动现金流出小计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53,734,786,933.73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46,293,290,727.79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经营活动产生的现金流量净额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5,978,844,292.04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8,877,744,567.32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二、投资活动产生的现金流量：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收回投资收到的现金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取得投资收益收到的现金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37,924,505.52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41,071,486.74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处置固定资产、无形资产和其他长期资产收回的现金净额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561,994.30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处置子公司及其他营业单位收到的现金净额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收到其他与投资活动有关的现金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41,170,938.00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282,233,935.41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lastRenderedPageBreak/>
              <w:t>投资活动现金流入小计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79,657,437.82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323,305,422.15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购建固定资产、无形资产和其他长期资产支付的现金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459,518,352.97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528,425,709.63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投资支付的现金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54,370,200.00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取得子公司及其他营业单位支付的现金净额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支付其他与投资活动有关的现金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793,665,000.00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238,064,000.00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投资活动现金流出小计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1,253,183,352.97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820,859,909.63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投资活动产生的现金流量净额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-1,173,525,915.15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-497,554,487.48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三、筹资活动产生的现金流量：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吸收投资收到的现金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取得借款收到的现金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10,381,174,000.00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8,251,536,232.31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发行债券收到的现金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收到其他与筹资活动有关的现金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/>
                <w:szCs w:val="24"/>
              </w:rPr>
            </w:pP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筹资活动现金流入小计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10,381,174,000.00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8,251,536,232.31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偿还债务支付的现金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15,762,844,469.00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15,055,266,279.00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分配股利、利润或偿付利息支付的现金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2,293,395,123.05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1,265,947,343.33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支付其他与筹资活动有关的现金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961,969,356.74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157,757,504.33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筹资活动现金流出小计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19,018,208,948.79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16,478,971,126.66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筹资活动产生的现金流量净额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-8,637,034,948.79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-8,227,434,894.35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四、汇率变动对现金及现金等价物的影响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31,972,654.17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-57,483,195.27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五、现金及现金等价物净增加额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-3,799,743,917.73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95,271,990.22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 xml:space="preserve">　　加：期初现金及现金等价物余额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9,281,277,262.29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5,712,793,281.44</w:t>
            </w:r>
          </w:p>
        </w:tc>
      </w:tr>
      <w:tr w:rsidR="00425B06" w:rsidRPr="00425B06" w:rsidTr="00A201CB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425B06" w:rsidRPr="00425B06" w:rsidRDefault="00425B06" w:rsidP="00425B06">
            <w:pPr>
              <w:jc w:val="left"/>
              <w:rPr>
                <w:rFonts w:ascii="宋体"/>
                <w:szCs w:val="24"/>
              </w:rPr>
            </w:pPr>
            <w:r w:rsidRPr="00425B06">
              <w:rPr>
                <w:rFonts w:ascii="宋体" w:hAnsi="宋体" w:hint="eastAsia"/>
                <w:szCs w:val="24"/>
              </w:rPr>
              <w:t>六、期末现金及现金等价物余额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5,481,533,344.56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5B06" w:rsidRPr="00425B06" w:rsidRDefault="00425B06" w:rsidP="00425B06">
            <w:pPr>
              <w:jc w:val="right"/>
              <w:rPr>
                <w:rFonts w:ascii="宋体" w:hAnsi="宋体"/>
                <w:szCs w:val="24"/>
              </w:rPr>
            </w:pPr>
            <w:r w:rsidRPr="00425B06">
              <w:rPr>
                <w:rFonts w:ascii="宋体" w:hAnsi="宋体"/>
                <w:szCs w:val="24"/>
              </w:rPr>
              <w:t>5,808,065,271.66</w:t>
            </w:r>
          </w:p>
        </w:tc>
      </w:tr>
    </w:tbl>
    <w:p w:rsidR="00425B06" w:rsidRPr="00425B06" w:rsidRDefault="00425B06"/>
    <w:sectPr w:rsidR="00425B06" w:rsidRPr="00425B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6C8" w:rsidRDefault="002356C8" w:rsidP="00FF68B5">
      <w:pPr>
        <w:spacing w:before="0" w:after="0"/>
      </w:pPr>
      <w:r>
        <w:separator/>
      </w:r>
    </w:p>
  </w:endnote>
  <w:endnote w:type="continuationSeparator" w:id="0">
    <w:p w:rsidR="002356C8" w:rsidRDefault="002356C8" w:rsidP="00FF68B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6C8" w:rsidRDefault="002356C8" w:rsidP="00FF68B5">
      <w:pPr>
        <w:spacing w:before="0" w:after="0"/>
      </w:pPr>
      <w:r>
        <w:separator/>
      </w:r>
    </w:p>
  </w:footnote>
  <w:footnote w:type="continuationSeparator" w:id="0">
    <w:p w:rsidR="002356C8" w:rsidRDefault="002356C8" w:rsidP="00FF68B5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B06"/>
    <w:rsid w:val="00180340"/>
    <w:rsid w:val="002356C8"/>
    <w:rsid w:val="00425B06"/>
    <w:rsid w:val="00FF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B06"/>
    <w:pPr>
      <w:widowControl w:val="0"/>
      <w:spacing w:before="40" w:after="40"/>
      <w:jc w:val="both"/>
    </w:pPr>
    <w:rPr>
      <w:rFonts w:ascii="Times New Roman" w:eastAsia="宋体" w:hAnsi="Times New Roman" w:cs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ection">
    <w:name w:val="Section"/>
    <w:next w:val="a"/>
    <w:uiPriority w:val="99"/>
    <w:rsid w:val="00425B06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 w:cs="Times New Roman"/>
      <w:b/>
      <w:bCs/>
      <w:kern w:val="28"/>
      <w:szCs w:val="21"/>
    </w:rPr>
  </w:style>
  <w:style w:type="paragraph" w:styleId="a3">
    <w:name w:val="header"/>
    <w:basedOn w:val="a"/>
    <w:link w:val="Char"/>
    <w:uiPriority w:val="99"/>
    <w:unhideWhenUsed/>
    <w:rsid w:val="00FF68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">
    <w:name w:val="页眉 Char"/>
    <w:basedOn w:val="a0"/>
    <w:link w:val="a3"/>
    <w:uiPriority w:val="99"/>
    <w:rsid w:val="00FF68B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68B5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0">
    <w:name w:val="页脚 Char"/>
    <w:basedOn w:val="a0"/>
    <w:link w:val="a4"/>
    <w:uiPriority w:val="99"/>
    <w:rsid w:val="00FF68B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B06"/>
    <w:pPr>
      <w:widowControl w:val="0"/>
      <w:spacing w:before="40" w:after="40"/>
      <w:jc w:val="both"/>
    </w:pPr>
    <w:rPr>
      <w:rFonts w:ascii="Times New Roman" w:eastAsia="宋体" w:hAnsi="Times New Roman" w:cs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ection">
    <w:name w:val="Section"/>
    <w:next w:val="a"/>
    <w:uiPriority w:val="99"/>
    <w:rsid w:val="00425B06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 w:cs="Times New Roman"/>
      <w:b/>
      <w:bCs/>
      <w:kern w:val="28"/>
      <w:szCs w:val="21"/>
    </w:rPr>
  </w:style>
  <w:style w:type="paragraph" w:styleId="a3">
    <w:name w:val="header"/>
    <w:basedOn w:val="a"/>
    <w:link w:val="Char"/>
    <w:uiPriority w:val="99"/>
    <w:unhideWhenUsed/>
    <w:rsid w:val="00FF68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">
    <w:name w:val="页眉 Char"/>
    <w:basedOn w:val="a0"/>
    <w:link w:val="a3"/>
    <w:uiPriority w:val="99"/>
    <w:rsid w:val="00FF68B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68B5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0">
    <w:name w:val="页脚 Char"/>
    <w:basedOn w:val="a0"/>
    <w:link w:val="a4"/>
    <w:uiPriority w:val="99"/>
    <w:rsid w:val="00FF68B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1594</Words>
  <Characters>9089</Characters>
  <Application>Microsoft Office Word</Application>
  <DocSecurity>0</DocSecurity>
  <Lines>75</Lines>
  <Paragraphs>21</Paragraphs>
  <ScaleCrop>false</ScaleCrop>
  <Company>Microsoft</Company>
  <LinksUpToDate>false</LinksUpToDate>
  <CharactersWithSpaces>10662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</dc:creator>
  <cp:lastModifiedBy>yang</cp:lastModifiedBy>
  <cp:revision>2</cp:revision>
  <dcterms:created xsi:type="dcterms:W3CDTF">2018-11-09T00:40:00Z</dcterms:created>
  <dcterms:modified xsi:type="dcterms:W3CDTF">2018-11-09T00:53:00Z</dcterms:modified>
</cp:coreProperties>
</file>