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505" w:rsidRDefault="00D71505" w:rsidP="00D71505">
      <w:pPr>
        <w:jc w:val="center"/>
        <w:rPr>
          <w:rFonts w:hint="eastAsia"/>
          <w:b/>
          <w:sz w:val="28"/>
          <w:szCs w:val="28"/>
        </w:rPr>
      </w:pPr>
      <w:r w:rsidRPr="00846DE4">
        <w:rPr>
          <w:rFonts w:hint="eastAsia"/>
          <w:b/>
          <w:sz w:val="28"/>
          <w:szCs w:val="28"/>
        </w:rPr>
        <w:t>山西太钢不锈钢股份有限</w:t>
      </w:r>
      <w:r w:rsidRPr="00ED6D06">
        <w:rPr>
          <w:rFonts w:hint="eastAsia"/>
          <w:b/>
          <w:sz w:val="28"/>
          <w:szCs w:val="28"/>
        </w:rPr>
        <w:t>公司</w:t>
      </w:r>
    </w:p>
    <w:p w:rsidR="00180340" w:rsidRDefault="00D71505" w:rsidP="00D71505">
      <w:pPr>
        <w:jc w:val="center"/>
        <w:rPr>
          <w:rFonts w:cs="宋体" w:hint="eastAsia"/>
          <w:b/>
          <w:sz w:val="28"/>
          <w:szCs w:val="28"/>
        </w:rPr>
      </w:pPr>
      <w:bookmarkStart w:id="0" w:name="_GoBack"/>
      <w:r w:rsidRPr="00ED6D06"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8</w:t>
      </w:r>
      <w:r w:rsidRPr="00ED6D06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三季报</w:t>
      </w:r>
      <w:r w:rsidRPr="00ED6D06">
        <w:rPr>
          <w:rFonts w:cs="宋体" w:hint="eastAsia"/>
          <w:b/>
          <w:sz w:val="28"/>
          <w:szCs w:val="28"/>
        </w:rPr>
        <w:t>资产负债表</w:t>
      </w:r>
      <w:bookmarkEnd w:id="0"/>
    </w:p>
    <w:p w:rsidR="00D71505" w:rsidRPr="00D71505" w:rsidRDefault="00D71505" w:rsidP="00D71505">
      <w:pPr>
        <w:spacing w:before="0" w:after="0"/>
        <w:jc w:val="left"/>
        <w:rPr>
          <w:rFonts w:ascii="宋体"/>
          <w:szCs w:val="24"/>
        </w:rPr>
      </w:pPr>
      <w:r w:rsidRPr="00D71505">
        <w:rPr>
          <w:rFonts w:ascii="宋体" w:hAnsi="宋体" w:hint="eastAsia"/>
          <w:szCs w:val="24"/>
        </w:rPr>
        <w:t>编制单位：山西太钢不锈钢股份有限公司</w:t>
      </w:r>
    </w:p>
    <w:p w:rsidR="00D71505" w:rsidRPr="00D71505" w:rsidRDefault="00D71505" w:rsidP="00D71505">
      <w:pPr>
        <w:spacing w:before="0" w:after="0"/>
        <w:jc w:val="center"/>
        <w:rPr>
          <w:rFonts w:ascii="宋体"/>
          <w:szCs w:val="24"/>
        </w:rPr>
      </w:pPr>
      <w:r w:rsidRPr="00D71505">
        <w:rPr>
          <w:rFonts w:ascii="宋体" w:hAnsi="宋体"/>
          <w:szCs w:val="24"/>
        </w:rPr>
        <w:t>2018</w:t>
      </w:r>
      <w:r w:rsidRPr="00D71505">
        <w:rPr>
          <w:rFonts w:ascii="宋体" w:hAnsi="宋体" w:hint="eastAsia"/>
          <w:szCs w:val="24"/>
        </w:rPr>
        <w:t>年</w:t>
      </w:r>
      <w:r w:rsidRPr="00D71505">
        <w:rPr>
          <w:rFonts w:ascii="宋体" w:hAnsi="宋体"/>
          <w:szCs w:val="24"/>
        </w:rPr>
        <w:t>09</w:t>
      </w:r>
      <w:r w:rsidRPr="00D71505">
        <w:rPr>
          <w:rFonts w:ascii="宋体" w:hAnsi="宋体" w:hint="eastAsia"/>
          <w:szCs w:val="24"/>
        </w:rPr>
        <w:t>月</w:t>
      </w:r>
      <w:r w:rsidRPr="00D71505">
        <w:rPr>
          <w:rFonts w:ascii="宋体" w:hAnsi="宋体"/>
          <w:szCs w:val="24"/>
        </w:rPr>
        <w:t>30</w:t>
      </w:r>
      <w:r w:rsidRPr="00D71505">
        <w:rPr>
          <w:rFonts w:ascii="宋体" w:hAnsi="宋体" w:hint="eastAsia"/>
          <w:szCs w:val="24"/>
        </w:rPr>
        <w:t>日</w:t>
      </w:r>
    </w:p>
    <w:p w:rsidR="00D71505" w:rsidRPr="00D71505" w:rsidRDefault="00D71505" w:rsidP="00D71505">
      <w:pPr>
        <w:spacing w:before="0"/>
        <w:jc w:val="right"/>
        <w:rPr>
          <w:rFonts w:ascii="宋体"/>
          <w:szCs w:val="24"/>
        </w:rPr>
      </w:pPr>
      <w:r w:rsidRPr="00D71505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71"/>
        <w:gridCol w:w="1835"/>
        <w:gridCol w:w="1856"/>
      </w:tblGrid>
      <w:tr w:rsidR="00D71505" w:rsidRPr="00D71505" w:rsidTr="00A201CB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center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center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期末余额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center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期初余额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流动资产：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货币资金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7,529,199,916.71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10,193,329,693.08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结算备付金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拆出资金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以公允价值计量且其变动计入当期损益的金融资产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衍生金融资产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2,139,000.00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应收票据及应收账款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4,898,946,290.54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4,280,948,979.53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其中：应收票据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2,969,323,464.08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2,755,299,789.58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　　　应收账款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1,929,622,826.46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1,525,649,189.95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预付款项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202,725,465.25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68,162,758.49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应收保费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应收分保账款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应收分保合同准备金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其他应收款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89,896,708.34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68,744,173.51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买入返售金融资产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存货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8,239,182,573.57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7,696,543,356.39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持有待售资产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一年内到期的非流动资产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其他流动资产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12,810,798.69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16,290,692.46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流动资产合计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20,972,761,753.10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22,326,158,653.46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非流动资产：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发放贷款及垫款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可供出售金融资产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280,728,244.65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292,491,959.15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持有至到期投资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长期应收款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长期股权投资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1,477,994,680.17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1,388,966,373.54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投资性房地产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46,741,163.25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42,240,203.16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lastRenderedPageBreak/>
              <w:t xml:space="preserve">　　固定资产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47,077,042,724.78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49,501,521,683.96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在建工程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339,244,237.04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268,754,548.16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生产性生物资产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油气资产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无形资产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264,426,340.30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292,226,869.40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开发支出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商誉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长期待摊费用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2,484,999.51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2,639,499.54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递延所得税资产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2,591,903.97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2,264,903.01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其他非流动资产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357,007,677.46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378,825,864.06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非流动资产合计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49,848,261,971.13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52,169,931,903.98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资产总计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70,821,023,724.23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74,496,090,557.44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流动负债：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短期借款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4,402,525,258.33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8,634,499,190.00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向中央银行借款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吸收存款及同业存放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拆入资金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以公允价值计量且其变动计入当期损益的金融负债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衍生金融负债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7,985,331.76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应付票据及应付账款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12,749,635,566.44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13,018,874,029.12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预收款项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2,883,263,133.96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2,516,389,935.89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卖出回购金融资产款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应付手续费及佣金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应付职工薪酬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26,466,715.94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60,497,226.71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应交税费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299,387,460.14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254,528,376.58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其他应付款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1,026,386,503.80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1,136,712,010.25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应付分保账款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保险合同准备金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代理买卖证券款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代理承销证券款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持有待售负债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一年内到期的非流动负债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6,985,817,271.22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12,068,562,944.62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其他流动负债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14,760,439.05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8,711,282.55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lastRenderedPageBreak/>
              <w:t>流动负债合计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28,396,227,680.64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37,698,774,995.72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非流动负债：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长期借款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12,286,031,951.08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9,281,935,816.99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应付债券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长期应付款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长期应付职工薪酬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170,605,478.70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170,605,478.70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预计负债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递延收益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11,101,846.17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5,761,350.78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递延所得税负债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88,748.56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84,297.71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其他非流动负债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非流动负债合计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12,467,828,024.51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9,458,386,944.18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负债合计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40,864,055,705.15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47,157,161,939.90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所有者权益：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股本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5,696,247,796.00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5,696,247,796.00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其他权益工具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资本公积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6,772,368,957.65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6,764,198,957.63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减：库存股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其他综合收益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-50,581,489.68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-34,609,766.25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专项储备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6,712,982.10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2,379,079.54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盈余公积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2,569,085,150.43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2,569,085,150.43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一般风险准备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未分配利润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14,581,471,878.01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11,904,865,305.58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归属于母公司所有者权益合计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29,575,305,274.51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26,902,166,522.93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少数股东权益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381,662,744.57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436,762,094.61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所有者权益合计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29,956,968,019.08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27,338,928,617.54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负债和所有者权益总计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70,821,023,724.23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74,496,090,557.44</w:t>
            </w:r>
          </w:p>
        </w:tc>
      </w:tr>
    </w:tbl>
    <w:p w:rsidR="00D71505" w:rsidRPr="00D71505" w:rsidRDefault="00D71505" w:rsidP="00D71505">
      <w:pPr>
        <w:spacing w:before="300"/>
        <w:rPr>
          <w:rFonts w:ascii="宋体"/>
          <w:szCs w:val="24"/>
        </w:rPr>
      </w:pPr>
    </w:p>
    <w:p w:rsidR="00D71505" w:rsidRPr="00D71505" w:rsidRDefault="00D71505" w:rsidP="00D71505">
      <w:pPr>
        <w:keepNext/>
        <w:keepLines/>
        <w:spacing w:before="300" w:after="300" w:line="241" w:lineRule="auto"/>
        <w:jc w:val="center"/>
        <w:outlineLvl w:val="2"/>
        <w:rPr>
          <w:rFonts w:ascii="宋体"/>
          <w:b/>
          <w:kern w:val="28"/>
          <w:sz w:val="21"/>
          <w:szCs w:val="24"/>
        </w:rPr>
      </w:pPr>
      <w:r w:rsidRPr="00D71505">
        <w:rPr>
          <w:rFonts w:ascii="宋体" w:hAnsi="宋体" w:hint="eastAsia"/>
          <w:b/>
          <w:kern w:val="28"/>
          <w:sz w:val="21"/>
          <w:szCs w:val="24"/>
        </w:rPr>
        <w:lastRenderedPageBreak/>
        <w:t>母公司资产负债表</w:t>
      </w:r>
    </w:p>
    <w:p w:rsidR="00D71505" w:rsidRPr="00D71505" w:rsidRDefault="00D71505" w:rsidP="00D71505">
      <w:pPr>
        <w:jc w:val="right"/>
        <w:rPr>
          <w:rFonts w:ascii="宋体"/>
          <w:szCs w:val="24"/>
        </w:rPr>
      </w:pPr>
      <w:r w:rsidRPr="00D71505">
        <w:rPr>
          <w:rFonts w:ascii="宋体" w:hAnsi="宋体" w:hint="eastAsia"/>
          <w:szCs w:val="24"/>
        </w:rPr>
        <w:t>单位：元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16"/>
        <w:gridCol w:w="1873"/>
        <w:gridCol w:w="1873"/>
      </w:tblGrid>
      <w:tr w:rsidR="00D71505" w:rsidRPr="00D71505" w:rsidTr="00A201CB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center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center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期末余额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center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期初余额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流动资产：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货币资金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6,643,339,251.26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9,486,784,315.91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以公允价值计量且其变动计入当期损益的金融资产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衍生金融资产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2,139,000.00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应收票据及应收账款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6,803,304,623.56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5,822,570,184.63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其中：应收票据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3,283,721,258.69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2,674,006,106.88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　　　应收账款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3,519,583,364.87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3,148,564,077.75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预付款项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201,419,904.90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67,187,945.39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其他应收款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92,746,523.09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40,060,739.84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存货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7,732,704,292.85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7,270,092,021.87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持有待售资产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一年内到期的非流动资产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其他流动资产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119,000,000.00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6,210,455.65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流动资产合计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21,592,514,595.66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22,695,044,663.29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非流动资产：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可供出售金融资产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30,580,458.40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30,580,458.40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持有至到期投资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长期应收款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长期股权投资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3,496,094,733.04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3,407,066,426.41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投资性房地产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48,220,792.57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43,738,444.14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固定资产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42,511,390,676.09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44,676,289,535.51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在建工程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339,116,811.19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258,437,786.72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生产性生物资产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油气资产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无形资产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92,711,256.70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108,328,043.96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开发支出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商誉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长期待摊费用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递延所得税资产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其他非流动资产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801,581,903.66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174,297,778.73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非流动资产合计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47,319,696,631.65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48,698,738,473.87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lastRenderedPageBreak/>
              <w:t>资产总计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68,912,211,227.31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71,393,783,137.16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流动负债：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短期借款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4,402,525,258.33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8,307,789,190.00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以公允价值计量且其变动计入当期损益的金融负债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衍生金融负债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7,985,331.76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应付票据及应付账款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12,525,975,175.41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12,735,722,305.85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预收款项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2,677,892,080.77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2,347,916,011.61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应付职工薪酬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21,158,189.83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56,109,144.74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应交税费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273,753,506.48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239,765,460.48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其他应付款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1,015,957,488.81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1,124,363,887.83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持有待售负债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一年内到期的非流动负债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6,819,483,804.55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11,322,229,477.95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其他流动负债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14,760,439.05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8,711,282.55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流动负债合计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27,759,491,274.99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36,142,606,761.01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非流动负债：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长期借款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11,485,365,617.75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8,398,269,383.66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应付债券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长期应付款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长期应付职工薪酬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170,605,478.70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170,605,478.70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预计负债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递延收益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11,101,846.17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5,761,350.78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递延所得税负债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其他非流动负债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非流动负债合计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11,667,072,942.62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8,574,636,213.14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负债合计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39,426,564,217.61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44,717,242,974.15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所有者权益：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股本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5,696,247,796.00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5,696,247,796.00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其他权益工具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资本公积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6,778,917,625.63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6,709,917,625.61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lastRenderedPageBreak/>
              <w:t xml:space="preserve">　　减：库存股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/>
                <w:szCs w:val="24"/>
              </w:rPr>
            </w:pP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其他综合收益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-2,007,550.00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2,139,000.00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专项储备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1,874,600.05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1,877,559.70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盈余公积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2,565,723,344.64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2,565,723,344.64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 xml:space="preserve">　　未分配利润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14,444,891,193.38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11,700,634,837.06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所有者权益合计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29,485,647,009.70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26,676,540,163.01</w:t>
            </w:r>
          </w:p>
        </w:tc>
      </w:tr>
      <w:tr w:rsidR="00D71505" w:rsidRPr="00D71505" w:rsidTr="00A201CB">
        <w:tblPrEx>
          <w:tblCellMar>
            <w:top w:w="0" w:type="dxa"/>
            <w:bottom w:w="0" w:type="dxa"/>
          </w:tblCellMar>
        </w:tblPrEx>
        <w:tc>
          <w:tcPr>
            <w:tcW w:w="2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D71505" w:rsidRPr="00D71505" w:rsidRDefault="00D71505" w:rsidP="00D71505">
            <w:pPr>
              <w:jc w:val="left"/>
              <w:rPr>
                <w:rFonts w:ascii="宋体"/>
                <w:szCs w:val="24"/>
              </w:rPr>
            </w:pPr>
            <w:r w:rsidRPr="00D71505">
              <w:rPr>
                <w:rFonts w:ascii="宋体" w:hAnsi="宋体" w:hint="eastAsia"/>
                <w:szCs w:val="24"/>
              </w:rPr>
              <w:t>负债和所有者权益总计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68,912,211,227.31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1505" w:rsidRPr="00D71505" w:rsidRDefault="00D71505" w:rsidP="00D71505">
            <w:pPr>
              <w:jc w:val="right"/>
              <w:rPr>
                <w:rFonts w:ascii="宋体" w:hAnsi="宋体"/>
                <w:szCs w:val="24"/>
              </w:rPr>
            </w:pPr>
            <w:r w:rsidRPr="00D71505">
              <w:rPr>
                <w:rFonts w:ascii="宋体" w:hAnsi="宋体"/>
                <w:szCs w:val="24"/>
              </w:rPr>
              <w:t>71,393,783,137.16</w:t>
            </w:r>
          </w:p>
        </w:tc>
      </w:tr>
    </w:tbl>
    <w:p w:rsidR="00D71505" w:rsidRDefault="00D71505" w:rsidP="00D71505">
      <w:pPr>
        <w:jc w:val="center"/>
      </w:pPr>
    </w:p>
    <w:sectPr w:rsidR="00D715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505"/>
    <w:rsid w:val="00180340"/>
    <w:rsid w:val="00D7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505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D71505"/>
    <w:pPr>
      <w:widowControl/>
      <w:spacing w:before="0"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505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D71505"/>
    <w:pPr>
      <w:widowControl/>
      <w:spacing w:before="0"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694</Words>
  <Characters>3959</Characters>
  <Application>Microsoft Office Word</Application>
  <DocSecurity>0</DocSecurity>
  <Lines>32</Lines>
  <Paragraphs>9</Paragraphs>
  <ScaleCrop>false</ScaleCrop>
  <Company>Microsoft</Company>
  <LinksUpToDate>false</LinksUpToDate>
  <CharactersWithSpaces>4644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yang</cp:lastModifiedBy>
  <cp:revision>1</cp:revision>
  <dcterms:created xsi:type="dcterms:W3CDTF">2018-11-09T01:09:00Z</dcterms:created>
  <dcterms:modified xsi:type="dcterms:W3CDTF">2018-11-09T01:11:00Z</dcterms:modified>
</cp:coreProperties>
</file>