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614" w:rsidRDefault="00212614" w:rsidP="00212614">
      <w:pPr>
        <w:jc w:val="center"/>
        <w:rPr>
          <w:rFonts w:hint="eastAsia"/>
          <w:b/>
          <w:sz w:val="28"/>
          <w:szCs w:val="28"/>
        </w:rPr>
      </w:pPr>
      <w:r w:rsidRPr="00846DE4">
        <w:rPr>
          <w:rFonts w:hint="eastAsia"/>
          <w:b/>
          <w:sz w:val="28"/>
          <w:szCs w:val="28"/>
        </w:rPr>
        <w:t>山西太钢不锈钢股份有限</w:t>
      </w:r>
      <w:r w:rsidRPr="00ED6D06">
        <w:rPr>
          <w:rFonts w:hint="eastAsia"/>
          <w:b/>
          <w:sz w:val="28"/>
          <w:szCs w:val="28"/>
        </w:rPr>
        <w:t>公司</w:t>
      </w:r>
    </w:p>
    <w:p w:rsidR="00212614" w:rsidRPr="00ED6D06" w:rsidRDefault="00212614" w:rsidP="00212614">
      <w:pPr>
        <w:jc w:val="center"/>
        <w:rPr>
          <w:rFonts w:cs="宋体" w:hint="eastAsia"/>
          <w:b/>
          <w:sz w:val="28"/>
          <w:szCs w:val="28"/>
        </w:rPr>
      </w:pPr>
      <w:bookmarkStart w:id="0" w:name="_GoBack"/>
      <w:r w:rsidRPr="00ED6D06"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8</w:t>
      </w:r>
      <w:r w:rsidRPr="00ED6D06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半年</w:t>
      </w:r>
      <w:r w:rsidRPr="00ED6D06">
        <w:rPr>
          <w:rFonts w:hint="eastAsia"/>
          <w:b/>
          <w:sz w:val="28"/>
          <w:szCs w:val="28"/>
        </w:rPr>
        <w:t>度</w:t>
      </w:r>
      <w:r w:rsidRPr="00ED6D06">
        <w:rPr>
          <w:rFonts w:cs="宋体" w:hint="eastAsia"/>
          <w:b/>
          <w:sz w:val="28"/>
          <w:szCs w:val="28"/>
        </w:rPr>
        <w:t>资产负债表</w:t>
      </w:r>
    </w:p>
    <w:bookmarkEnd w:id="0"/>
    <w:p w:rsidR="00212614" w:rsidRDefault="00212614" w:rsidP="00212614">
      <w:pPr>
        <w:adjustRightInd w:val="0"/>
        <w:snapToGrid w:val="0"/>
        <w:jc w:val="center"/>
        <w:outlineLvl w:val="0"/>
        <w:rPr>
          <w:rFonts w:hint="eastAsia"/>
          <w:b/>
          <w:sz w:val="24"/>
          <w:szCs w:val="24"/>
        </w:rPr>
      </w:pPr>
    </w:p>
    <w:p w:rsidR="00212614" w:rsidRPr="00CC1512" w:rsidRDefault="00212614" w:rsidP="00212614">
      <w:pPr>
        <w:adjustRightInd w:val="0"/>
        <w:snapToGrid w:val="0"/>
        <w:jc w:val="center"/>
        <w:outlineLvl w:val="0"/>
        <w:rPr>
          <w:rFonts w:ascii="宋体" w:hAnsi="宋体" w:hint="eastAsia"/>
          <w:b/>
          <w:sz w:val="24"/>
          <w:szCs w:val="24"/>
        </w:rPr>
      </w:pPr>
      <w:r w:rsidRPr="00972698">
        <w:rPr>
          <w:b/>
          <w:sz w:val="24"/>
          <w:szCs w:val="24"/>
        </w:rPr>
        <w:t>合并</w:t>
      </w:r>
      <w:r w:rsidRPr="00CC1512">
        <w:rPr>
          <w:b/>
          <w:sz w:val="24"/>
          <w:szCs w:val="24"/>
        </w:rPr>
        <w:t>资产负债表</w:t>
      </w:r>
    </w:p>
    <w:p w:rsidR="00212614" w:rsidRPr="00CC1512" w:rsidRDefault="00212614" w:rsidP="00212614">
      <w:pPr>
        <w:adjustRightInd w:val="0"/>
        <w:snapToGrid w:val="0"/>
        <w:jc w:val="center"/>
        <w:outlineLvl w:val="0"/>
        <w:rPr>
          <w:rFonts w:ascii="宋体" w:hAnsi="宋体"/>
          <w:b/>
          <w:sz w:val="21"/>
          <w:szCs w:val="21"/>
        </w:rPr>
      </w:pPr>
      <w:r w:rsidRPr="00CC1512">
        <w:rPr>
          <w:rFonts w:ascii="宋体" w:hAnsi="宋体"/>
          <w:b/>
          <w:sz w:val="21"/>
          <w:szCs w:val="21"/>
        </w:rPr>
        <w:fldChar w:fldCharType="begin"/>
      </w:r>
      <w:r w:rsidRPr="00CC1512">
        <w:rPr>
          <w:rFonts w:ascii="宋体" w:hAnsi="宋体"/>
          <w:b/>
          <w:sz w:val="21"/>
          <w:szCs w:val="21"/>
        </w:rPr>
        <w:instrText xml:space="preserve"> DOCVARIABLE "取项目信息_项目资产负债表日_" \* MERGEFORMAT </w:instrText>
      </w:r>
      <w:r w:rsidRPr="00CC1512">
        <w:rPr>
          <w:rFonts w:ascii="宋体" w:hAnsi="宋体"/>
          <w:b/>
          <w:sz w:val="21"/>
          <w:szCs w:val="21"/>
        </w:rPr>
        <w:fldChar w:fldCharType="separate"/>
      </w:r>
      <w:r w:rsidRPr="00CC1512">
        <w:rPr>
          <w:rFonts w:ascii="宋体" w:hAnsi="宋体"/>
          <w:b/>
          <w:sz w:val="21"/>
          <w:szCs w:val="21"/>
        </w:rPr>
        <w:t>201</w:t>
      </w:r>
      <w:r>
        <w:rPr>
          <w:rFonts w:ascii="宋体" w:hAnsi="宋体" w:hint="eastAsia"/>
          <w:b/>
          <w:sz w:val="21"/>
          <w:szCs w:val="21"/>
        </w:rPr>
        <w:t>8</w:t>
      </w:r>
      <w:r w:rsidRPr="00CC1512">
        <w:rPr>
          <w:rFonts w:ascii="宋体" w:hAnsi="宋体"/>
          <w:b/>
          <w:sz w:val="21"/>
          <w:szCs w:val="21"/>
        </w:rPr>
        <w:t>年6月30日</w:t>
      </w:r>
      <w:r w:rsidRPr="00CC1512">
        <w:rPr>
          <w:rFonts w:ascii="宋体" w:hAnsi="宋体"/>
          <w:b/>
          <w:sz w:val="21"/>
          <w:szCs w:val="21"/>
        </w:rPr>
        <w:fldChar w:fldCharType="end"/>
      </w:r>
    </w:p>
    <w:p w:rsidR="002B3404" w:rsidRDefault="00212614" w:rsidP="00212614">
      <w:pPr>
        <w:ind w:firstLineChars="4044" w:firstLine="7308"/>
        <w:rPr>
          <w:rFonts w:hint="eastAsia"/>
          <w:b/>
          <w:szCs w:val="21"/>
        </w:rPr>
      </w:pPr>
      <w:r w:rsidRPr="001B37BC">
        <w:rPr>
          <w:b/>
          <w:szCs w:val="21"/>
        </w:rPr>
        <w:t>（单位</w:t>
      </w:r>
      <w:r>
        <w:rPr>
          <w:rFonts w:hint="eastAsia"/>
          <w:b/>
          <w:szCs w:val="21"/>
        </w:rPr>
        <w:t>：</w:t>
      </w:r>
      <w:r w:rsidRPr="001B37BC">
        <w:rPr>
          <w:b/>
          <w:szCs w:val="21"/>
        </w:rPr>
        <w:t>元）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71"/>
        <w:gridCol w:w="1845"/>
        <w:gridCol w:w="1846"/>
      </w:tblGrid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  <w:tblHeader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center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center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期末余额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center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期初余额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流动资产：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货币资金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7,233,002,935.03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10,193,329,693.08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结算备付金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拆出资金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以公允价值计量且其变动计入当期损益的金融资产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衍生金融资产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         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2,139,000.00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应收票据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3,832,330,298.99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2,755,299,789.58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应收账款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1,971,139,106.17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1,525,649,189.95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预付款项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88,694,299.24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68,162,758.49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应收保费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应收分保账款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应收分保合同准备金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应收利息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应收股利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其他应收款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72,859,683.96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68,744,173.51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买入返售金融资产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存货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7,834,964,576.49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7,696,543,356.39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持有待售的资产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一年内到期的非流动资产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其他流动资产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13,180,282.25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16,290,692.46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流动资产合计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21,046,171,182.13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22,326,158,653.46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非流动资产：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发放贷款及垫款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可供出售金融资产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254,507,818.40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292,491,959.15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持有至到期投资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长期应收款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长期股权投资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1,448,049,476.65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1,388,966,373.54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lastRenderedPageBreak/>
              <w:t xml:space="preserve">　　投资性房地产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47,039,128.16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42,240,203.16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固定资产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47,913,807,817.64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49,501,521,683.96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在建工程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261,183,213.75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268,754,548.16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工程物资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固定资产清理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生产性生物资产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油气资产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无形资产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269,092,849.71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292,226,869.40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开发支出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商誉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长期待摊费用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2,536,499.52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2,639,499.54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递延所得税资产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2,557,833.45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2,264,903.01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其他非流动资产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377,551,244.29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378,825,864.06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非流动资产合计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50,576,325,881.57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52,169,931,903.98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资产总计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71,622,497,063.70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74,496,090,557.44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流动负债：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rPr>
                <w:rFonts w:ascii="宋体" w:hAnsi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rPr>
                <w:rFonts w:ascii="宋体" w:hAnsi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短期借款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8,539,305,466.67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8,634,499,190.00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向中央银行借款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吸收存款及同业存放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拆入资金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以公允价值计量且其变动计入当期损益的金融负债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衍生金融负债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5,977,781.76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        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应付票据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6,309,397,904.66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5,923,402,482.05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应付账款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6,129,207,378.06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7,095,471,547.07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预收款项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2,189,946,469.01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2,516,389,935.89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卖出回购金融资产款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应付手续费及佣金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应付职工薪酬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37,777,053.58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60,497,226.71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应交税费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449,343,563.99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254,528,376.58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应付利息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160,744,226.12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198,686,740.98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应付股利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1,384,188,214.43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          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其他应付款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</w:t>
            </w:r>
            <w:r w:rsidRPr="00212614">
              <w:rPr>
                <w:rFonts w:ascii="宋体" w:hAnsi="宋体"/>
                <w:color w:val="000000"/>
              </w:rPr>
              <w:lastRenderedPageBreak/>
              <w:t xml:space="preserve">950,695,967.60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lastRenderedPageBreak/>
              <w:t xml:space="preserve">      </w:t>
            </w:r>
            <w:r w:rsidRPr="00212614">
              <w:rPr>
                <w:rFonts w:ascii="宋体" w:hAnsi="宋体"/>
                <w:color w:val="000000"/>
              </w:rPr>
              <w:lastRenderedPageBreak/>
              <w:t xml:space="preserve">938,025,269.27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lastRenderedPageBreak/>
              <w:t xml:space="preserve">　　应付分保账款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保险合同准备金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代理买卖证券款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代理承销证券款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持有待售的负债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一年内到期的非流动负债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9,140,454,330.36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12,068,562,944.62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其他流动负债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7,162,417.16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8,711,282.55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流动负债合计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35,304,200,773.40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37,698,774,995.72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非流动负债：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长期借款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7,421,021,891.74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9,281,935,816.99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应付债券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　其中：优先股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　　　　永续债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长期应付款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长期应付职工薪酬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170,605,478.70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170,605,478.70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专项应付款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预计负债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递延收益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8,233,016.17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5,761,350.78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递延所得税负债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   85,360.76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   84,297.71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其他非流动负债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非流动负债合计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7,599,945,747.37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9,458,386,944.18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负债合计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42,904,146,520.77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47,157,161,939.90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所有者权益：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股本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5,696,247,796.00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5,696,247,796.00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其他权益工具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　其中：优先股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　　　　永续债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资本公积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6,772,368,957.63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6,764,198,957.63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减：库存股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其他综合收益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-75,466,174.42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-34,609,766.25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专项储备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5,457,845.81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  2,379,079.54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盈余公积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2,569,085,150.43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2,569,085,150.43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lastRenderedPageBreak/>
              <w:t xml:space="preserve">　　一般风险准备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未分配利润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13,356,465,919.03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11,904,865,305.58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归属于母公司所有者权益合计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28,324,159,494.48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26,902,166,522.93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 xml:space="preserve">　　少数股东权益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394,191,048.45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   436,762,094.61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212614">
              <w:rPr>
                <w:rFonts w:ascii="宋体" w:hAnsi="宋体" w:hint="eastAsia"/>
                <w:szCs w:val="24"/>
              </w:rPr>
              <w:t>所有者权益合计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28,718,350,542.93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27,338,928,617.54 </w:t>
            </w:r>
          </w:p>
        </w:tc>
      </w:tr>
      <w:tr w:rsidR="00212614" w:rsidRPr="00212614" w:rsidTr="008E6AE8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212614" w:rsidRDefault="00212614" w:rsidP="00212614">
            <w:pPr>
              <w:tabs>
                <w:tab w:val="left" w:pos="1095"/>
              </w:tabs>
              <w:spacing w:before="0" w:after="0" w:line="240" w:lineRule="exact"/>
              <w:jc w:val="left"/>
              <w:rPr>
                <w:rFonts w:ascii="宋体" w:hAnsi="宋体"/>
              </w:rPr>
            </w:pPr>
            <w:r w:rsidRPr="00212614">
              <w:rPr>
                <w:rFonts w:ascii="宋体" w:hAnsi="宋体" w:hint="eastAsia"/>
              </w:rPr>
              <w:t>负债和所有者权益总计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71,622,497,063.70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212614" w:rsidRDefault="00212614" w:rsidP="00212614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212614">
              <w:rPr>
                <w:rFonts w:ascii="宋体" w:hAnsi="宋体"/>
                <w:color w:val="000000"/>
              </w:rPr>
              <w:t xml:space="preserve">   74,496,090,557.44 </w:t>
            </w:r>
          </w:p>
        </w:tc>
      </w:tr>
    </w:tbl>
    <w:p w:rsidR="00212614" w:rsidRDefault="00212614" w:rsidP="00212614">
      <w:pPr>
        <w:adjustRightInd w:val="0"/>
        <w:snapToGrid w:val="0"/>
        <w:jc w:val="center"/>
        <w:outlineLvl w:val="0"/>
        <w:rPr>
          <w:rFonts w:hint="eastAsia"/>
          <w:b/>
          <w:sz w:val="24"/>
          <w:szCs w:val="24"/>
        </w:rPr>
      </w:pPr>
    </w:p>
    <w:p w:rsidR="00212614" w:rsidRDefault="00212614" w:rsidP="00212614">
      <w:pPr>
        <w:adjustRightInd w:val="0"/>
        <w:snapToGrid w:val="0"/>
        <w:jc w:val="center"/>
        <w:outlineLvl w:val="0"/>
        <w:rPr>
          <w:rFonts w:hint="eastAsia"/>
          <w:b/>
          <w:sz w:val="24"/>
          <w:szCs w:val="24"/>
        </w:rPr>
      </w:pPr>
    </w:p>
    <w:p w:rsidR="00212614" w:rsidRDefault="00212614" w:rsidP="00212614">
      <w:pPr>
        <w:adjustRightInd w:val="0"/>
        <w:snapToGrid w:val="0"/>
        <w:jc w:val="center"/>
        <w:outlineLvl w:val="0"/>
        <w:rPr>
          <w:rFonts w:hint="eastAsia"/>
          <w:b/>
          <w:sz w:val="24"/>
          <w:szCs w:val="24"/>
        </w:rPr>
      </w:pPr>
    </w:p>
    <w:p w:rsidR="00212614" w:rsidRPr="00972698" w:rsidRDefault="00212614" w:rsidP="00212614">
      <w:pPr>
        <w:adjustRightInd w:val="0"/>
        <w:snapToGrid w:val="0"/>
        <w:jc w:val="center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母公司</w:t>
      </w:r>
      <w:r w:rsidRPr="00972698">
        <w:rPr>
          <w:b/>
          <w:sz w:val="24"/>
          <w:szCs w:val="24"/>
        </w:rPr>
        <w:t>资产负债表</w:t>
      </w:r>
    </w:p>
    <w:p w:rsidR="00212614" w:rsidRPr="00CC1512" w:rsidRDefault="00212614" w:rsidP="00212614">
      <w:pPr>
        <w:autoSpaceDE w:val="0"/>
        <w:autoSpaceDN w:val="0"/>
        <w:adjustRightInd w:val="0"/>
        <w:snapToGrid w:val="0"/>
        <w:spacing w:line="288" w:lineRule="auto"/>
        <w:jc w:val="center"/>
        <w:textAlignment w:val="bottom"/>
        <w:rPr>
          <w:b/>
          <w:bCs/>
          <w:snapToGrid w:val="0"/>
          <w:sz w:val="21"/>
          <w:szCs w:val="21"/>
        </w:rPr>
      </w:pPr>
      <w:r w:rsidRPr="00CC1512">
        <w:rPr>
          <w:b/>
          <w:bCs/>
          <w:snapToGrid w:val="0"/>
          <w:sz w:val="21"/>
          <w:szCs w:val="21"/>
        </w:rPr>
        <w:fldChar w:fldCharType="begin"/>
      </w:r>
      <w:r w:rsidRPr="00CC1512">
        <w:rPr>
          <w:b/>
          <w:bCs/>
          <w:snapToGrid w:val="0"/>
          <w:sz w:val="21"/>
          <w:szCs w:val="21"/>
        </w:rPr>
        <w:instrText xml:space="preserve"> DOCVARIABLE "</w:instrText>
      </w:r>
      <w:r w:rsidRPr="00CC1512">
        <w:rPr>
          <w:b/>
          <w:bCs/>
          <w:snapToGrid w:val="0"/>
          <w:sz w:val="21"/>
          <w:szCs w:val="21"/>
        </w:rPr>
        <w:instrText>取项目信息</w:instrText>
      </w:r>
      <w:r w:rsidRPr="00CC1512">
        <w:rPr>
          <w:b/>
          <w:bCs/>
          <w:snapToGrid w:val="0"/>
          <w:sz w:val="21"/>
          <w:szCs w:val="21"/>
        </w:rPr>
        <w:instrText>_</w:instrText>
      </w:r>
      <w:r w:rsidRPr="00CC1512">
        <w:rPr>
          <w:b/>
          <w:bCs/>
          <w:snapToGrid w:val="0"/>
          <w:sz w:val="21"/>
          <w:szCs w:val="21"/>
        </w:rPr>
        <w:instrText>项目资产负债表日</w:instrText>
      </w:r>
      <w:r w:rsidRPr="00CC1512">
        <w:rPr>
          <w:b/>
          <w:bCs/>
          <w:snapToGrid w:val="0"/>
          <w:sz w:val="21"/>
          <w:szCs w:val="21"/>
        </w:rPr>
        <w:instrText xml:space="preserve">_" \* MERGEFORMAT </w:instrText>
      </w:r>
      <w:r w:rsidRPr="00CC1512">
        <w:rPr>
          <w:b/>
          <w:bCs/>
          <w:snapToGrid w:val="0"/>
          <w:sz w:val="21"/>
          <w:szCs w:val="21"/>
        </w:rPr>
        <w:fldChar w:fldCharType="separate"/>
      </w:r>
      <w:r w:rsidRPr="00CC1512">
        <w:rPr>
          <w:b/>
          <w:bCs/>
          <w:snapToGrid w:val="0"/>
          <w:sz w:val="21"/>
          <w:szCs w:val="21"/>
        </w:rPr>
        <w:t>201</w:t>
      </w:r>
      <w:r>
        <w:rPr>
          <w:rFonts w:hint="eastAsia"/>
          <w:b/>
          <w:bCs/>
          <w:snapToGrid w:val="0"/>
          <w:sz w:val="21"/>
          <w:szCs w:val="21"/>
        </w:rPr>
        <w:t>8</w:t>
      </w:r>
      <w:r w:rsidRPr="00CC1512">
        <w:rPr>
          <w:b/>
          <w:bCs/>
          <w:snapToGrid w:val="0"/>
          <w:sz w:val="21"/>
          <w:szCs w:val="21"/>
        </w:rPr>
        <w:t>年</w:t>
      </w:r>
      <w:r w:rsidRPr="00CC1512">
        <w:rPr>
          <w:b/>
          <w:bCs/>
          <w:snapToGrid w:val="0"/>
          <w:sz w:val="21"/>
          <w:szCs w:val="21"/>
        </w:rPr>
        <w:t>6</w:t>
      </w:r>
      <w:r w:rsidRPr="00CC1512">
        <w:rPr>
          <w:b/>
          <w:bCs/>
          <w:snapToGrid w:val="0"/>
          <w:sz w:val="21"/>
          <w:szCs w:val="21"/>
        </w:rPr>
        <w:t>月</w:t>
      </w:r>
      <w:r w:rsidRPr="00CC1512">
        <w:rPr>
          <w:b/>
          <w:bCs/>
          <w:snapToGrid w:val="0"/>
          <w:sz w:val="21"/>
          <w:szCs w:val="21"/>
        </w:rPr>
        <w:t>30</w:t>
      </w:r>
      <w:r w:rsidRPr="00CC1512">
        <w:rPr>
          <w:b/>
          <w:bCs/>
          <w:snapToGrid w:val="0"/>
          <w:sz w:val="21"/>
          <w:szCs w:val="21"/>
        </w:rPr>
        <w:t>日</w:t>
      </w:r>
      <w:r w:rsidRPr="00CC1512">
        <w:rPr>
          <w:b/>
          <w:bCs/>
          <w:snapToGrid w:val="0"/>
          <w:sz w:val="21"/>
          <w:szCs w:val="21"/>
        </w:rPr>
        <w:fldChar w:fldCharType="end"/>
      </w:r>
    </w:p>
    <w:p w:rsidR="00212614" w:rsidRDefault="00212614" w:rsidP="00212614">
      <w:pPr>
        <w:tabs>
          <w:tab w:val="left" w:pos="1440"/>
          <w:tab w:val="left" w:pos="1620"/>
          <w:tab w:val="left" w:pos="1800"/>
        </w:tabs>
        <w:jc w:val="right"/>
        <w:rPr>
          <w:rFonts w:hint="eastAsia"/>
          <w:b/>
          <w:szCs w:val="21"/>
        </w:rPr>
      </w:pPr>
      <w:r w:rsidRPr="001B37BC">
        <w:rPr>
          <w:b/>
          <w:szCs w:val="21"/>
        </w:rPr>
        <w:t>（单位</w:t>
      </w:r>
      <w:r>
        <w:rPr>
          <w:rFonts w:hint="eastAsia"/>
          <w:b/>
          <w:szCs w:val="21"/>
        </w:rPr>
        <w:t>：</w:t>
      </w:r>
      <w:r w:rsidRPr="001B37BC">
        <w:rPr>
          <w:b/>
          <w:szCs w:val="21"/>
        </w:rPr>
        <w:t>元）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71"/>
        <w:gridCol w:w="1845"/>
        <w:gridCol w:w="1846"/>
      </w:tblGrid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  <w:tblHeader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center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项目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center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期末余额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center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期初余额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流动资产：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货币资金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6,158,260,429.54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9,486,784,315.91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以公允价值计量且其变动计入当期损益的金融资产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衍生金融资产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          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2,139,000.00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应收票据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3,748,600,249.70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2,674,006,106.88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应收账款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4,237,878,118.78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3,148,564,077.75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预付款项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87,323,116.45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67,187,945.39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应收利息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8,370,819.47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4,231,194.46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应收股利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          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         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其他应收款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34,210,271.40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35,829,545.38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存货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7,345,088,542.86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7,270,092,021.87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持有待售的资产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一年内到期的非流动资产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其他流动资产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119,000,000.00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6,210,455.65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流动资产合计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21,738,731,548.20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22,695,044,663.29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非流动资产：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可供出售金融资产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30,580,458.40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30,580,458.40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持有至到期投资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长期应收款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长期股权投资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</w:t>
            </w:r>
            <w:r w:rsidRPr="00B06825">
              <w:rPr>
                <w:rFonts w:ascii="宋体" w:hAnsi="宋体"/>
                <w:color w:val="000000"/>
              </w:rPr>
              <w:lastRenderedPageBreak/>
              <w:t xml:space="preserve">3,466,149,529.52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lastRenderedPageBreak/>
              <w:t xml:space="preserve">    </w:t>
            </w:r>
            <w:r w:rsidRPr="00B06825">
              <w:rPr>
                <w:rFonts w:ascii="宋体" w:hAnsi="宋体"/>
                <w:color w:val="000000"/>
              </w:rPr>
              <w:lastRenderedPageBreak/>
              <w:t xml:space="preserve">3,407,066,426.41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lastRenderedPageBreak/>
              <w:t xml:space="preserve">　　投资性房地产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48,524,961.36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43,738,444.14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固定资产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43,269,138,896.73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44,676,289,535.51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在建工程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261,184,944.38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258,437,786.72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工程物资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固定资产清理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生产性生物资产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油气资产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无形资产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96,243,330.28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108,328,043.96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开发支出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商誉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长期待摊费用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递延所得税资产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其他非流动资产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213,992,496.80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174,297,778.73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非流动资产合计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47,385,814,617.47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48,698,738,473.87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资产总计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69,124,546,165.67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71,393,783,137.16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流动负债：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短期借款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8,519,305,466.67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8,307,789,190.00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以公允价值计量且其变动计入当期损益的金融负债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衍生金融负债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5,977,781.76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         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应付票据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6,309,302,304.66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5,923,402,482.05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应付账款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5,828,257,563.60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6,812,319,823.80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预收款项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2,050,255,613.81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2,347,916,011.61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应付职工薪酬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33,562,056.56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56,109,144.74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应交税费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425,337,985.70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239,765,460.48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应付利息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154,037,158.44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191,882,366.24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应付股利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1,384,188,214.43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          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其他应付款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944,079,545.93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932,481,521.59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持有待售的负债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一年内到期的非流动负债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8,414,120,863.69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11,322,229,477.95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其他流动负债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7,162,417.16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8,711,282.55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流动负债合计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</w:t>
            </w:r>
            <w:r w:rsidRPr="00B06825">
              <w:rPr>
                <w:rFonts w:ascii="宋体" w:hAnsi="宋体"/>
                <w:color w:val="000000"/>
              </w:rPr>
              <w:lastRenderedPageBreak/>
              <w:t xml:space="preserve">34,075,586,972.41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lastRenderedPageBreak/>
              <w:t xml:space="preserve">   </w:t>
            </w:r>
            <w:r w:rsidRPr="00B06825">
              <w:rPr>
                <w:rFonts w:ascii="宋体" w:hAnsi="宋体"/>
                <w:color w:val="000000"/>
              </w:rPr>
              <w:lastRenderedPageBreak/>
              <w:t xml:space="preserve">36,142,606,761.01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lastRenderedPageBreak/>
              <w:t>非流动负债：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长期借款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6,603,688,858.41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8,398,269,383.66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应付债券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　其中：优先股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　　　　永续债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长期应付款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长期应付职工薪酬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170,605,478.70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170,605,478.70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专项应付款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预计负债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递延收益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8,233,016.17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5,761,350.78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递延所得税负债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其他非流动负债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非流动负债合计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6,782,527,353.28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8,574,636,213.14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负债合计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40,858,114,325.69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44,717,242,974.15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所有者权益：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股本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5,696,247,796.00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5,696,247,796.00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其他权益工具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　其中：优先股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　　　　永续债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资本公积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6,778,917,625.61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6,709,917,625.61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减：库存股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其他综合收益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023398">
              <w:rPr>
                <w:rFonts w:ascii="宋体" w:hAnsi="宋体"/>
                <w:color w:val="000000"/>
              </w:rPr>
              <w:t>2,139,000.00</w:t>
            </w:r>
            <w:r w:rsidRPr="00B06825"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专项储备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1,877,560.30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    1,877,559.70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盈余公积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2,565,723,344.64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 2,565,723,344.64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 xml:space="preserve">　　未分配利润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13,223,665,513.43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11,700,634,837.06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所有者权益合计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28,266,431,839.98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26,676,540,163.01 </w:t>
            </w:r>
          </w:p>
        </w:tc>
      </w:tr>
      <w:tr w:rsidR="00212614" w:rsidRPr="00B06825" w:rsidTr="008E6AE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2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3D3D3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left"/>
              <w:rPr>
                <w:rFonts w:ascii="宋体" w:hAnsi="宋体"/>
                <w:szCs w:val="24"/>
              </w:rPr>
            </w:pPr>
            <w:r w:rsidRPr="00B06825">
              <w:rPr>
                <w:rFonts w:ascii="宋体" w:hAnsi="宋体" w:hint="eastAsia"/>
                <w:szCs w:val="24"/>
              </w:rPr>
              <w:t>负债和所有者权益总计</w:t>
            </w:r>
          </w:p>
        </w:tc>
        <w:tc>
          <w:tcPr>
            <w:tcW w:w="11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69,124,546,165.67 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2614" w:rsidRPr="00B06825" w:rsidRDefault="00212614" w:rsidP="008E6AE8">
            <w:pPr>
              <w:spacing w:before="0" w:after="0" w:line="240" w:lineRule="exact"/>
              <w:jc w:val="right"/>
              <w:rPr>
                <w:rFonts w:ascii="宋体" w:hAnsi="宋体" w:cs="宋体"/>
                <w:color w:val="000000"/>
              </w:rPr>
            </w:pPr>
            <w:r w:rsidRPr="00B06825">
              <w:rPr>
                <w:rFonts w:ascii="宋体" w:hAnsi="宋体"/>
                <w:color w:val="000000"/>
              </w:rPr>
              <w:t xml:space="preserve">   71,393,783,137.16 </w:t>
            </w:r>
          </w:p>
        </w:tc>
      </w:tr>
    </w:tbl>
    <w:p w:rsidR="00212614" w:rsidRDefault="00212614" w:rsidP="00212614">
      <w:pPr>
        <w:tabs>
          <w:tab w:val="left" w:pos="1440"/>
          <w:tab w:val="left" w:pos="1620"/>
          <w:tab w:val="left" w:pos="1800"/>
        </w:tabs>
        <w:jc w:val="right"/>
        <w:rPr>
          <w:rFonts w:hint="eastAsia"/>
          <w:b/>
          <w:bCs/>
          <w:snapToGrid w:val="0"/>
        </w:rPr>
      </w:pPr>
    </w:p>
    <w:p w:rsidR="00212614" w:rsidRDefault="00212614" w:rsidP="00212614"/>
    <w:sectPr w:rsidR="002126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614"/>
    <w:rsid w:val="00212614"/>
    <w:rsid w:val="002B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614"/>
    <w:pPr>
      <w:widowControl w:val="0"/>
      <w:spacing w:before="40" w:after="40"/>
      <w:jc w:val="both"/>
    </w:pPr>
    <w:rPr>
      <w:rFonts w:ascii="Times New Roman" w:eastAsia="宋体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212614"/>
    <w:pPr>
      <w:widowControl/>
      <w:spacing w:before="0"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614"/>
    <w:pPr>
      <w:widowControl w:val="0"/>
      <w:spacing w:before="40" w:after="40"/>
      <w:jc w:val="both"/>
    </w:pPr>
    <w:rPr>
      <w:rFonts w:ascii="Times New Roman" w:eastAsia="宋体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212614"/>
    <w:pPr>
      <w:widowControl/>
      <w:spacing w:before="0"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944</Words>
  <Characters>5386</Characters>
  <Application>Microsoft Office Word</Application>
  <DocSecurity>0</DocSecurity>
  <Lines>44</Lines>
  <Paragraphs>12</Paragraphs>
  <ScaleCrop>false</ScaleCrop>
  <Company>Microsoft</Company>
  <LinksUpToDate>false</LinksUpToDate>
  <CharactersWithSpaces>6318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yang</cp:lastModifiedBy>
  <cp:revision>1</cp:revision>
  <dcterms:created xsi:type="dcterms:W3CDTF">2018-09-18T02:04:00Z</dcterms:created>
  <dcterms:modified xsi:type="dcterms:W3CDTF">2018-09-18T02:09:00Z</dcterms:modified>
</cp:coreProperties>
</file>